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**ID__SOFARS_5603.104490__ID**</w:t>
      </w:r>
    </w:p>
    <w:p>
      <w:pPr>
        <w:pStyle w:val="Heading4"/>
        <w:spacing w:after="269"/>
        <w:ind w:left="120"/>
        <w:jc w:val="left"/>
      </w:pPr>
      <w:r>
        <w:rPr>
          <w:rFonts w:ascii="Times New Roman" w:hAnsi="Times New Roman"/>
          <w:i w:val="false"/>
          <w:color w:val="000000"/>
          <w:sz w:val="24"/>
        </w:rPr>
        <w:t>5603.104-4-90</w:t>
      </w:r>
      <w:r>
        <w:rPr>
          <w:rFonts w:ascii="Times New Roman" w:hAnsi="Times New Roman"/>
          <w:i w:val="false"/>
          <w:color w:val="000000"/>
          <w:sz w:val="24"/>
        </w:rPr>
        <w:t xml:space="preserve"> Ombudsman for Procurement Integrity</w:t>
      </w:r>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Recognizing the contracting officer has the primary responsibility for Procurement Integrity, the Ombudsman will provide a neutral, informal, confidential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Special Operations Forces Acquisition, Technology, &amp; Logistics (SOF AT&amp;L) Military Deputy to the Acquisition Executive (MDAE) is designated as the USSOCOM Ombudsman for Procurement Integrity and can be contacted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OMBUDSMAN@socom.mil</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OMBUDSMAN@socom.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