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**ID__SOFARS_5604.8041__ID**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5604.804-1</w:t>
      </w:r>
      <w:r>
        <w:rPr>
          <w:rFonts w:ascii="Times New Roman" w:hAnsi="Times New Roman"/>
          <w:i w:val="false"/>
          <w:color w:val="000000"/>
          <w:sz w:val="24"/>
        </w:rPr>
        <w:t xml:space="preserve"> Closeout by the Office Administering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are responsible for the proper closeout of all contract files in accordance with the procedures outlined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4.804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204.804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and within the time parameters established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4.804-1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Complete a DD1597, Contract Completion Statement, firm-fixed price contracts over the Simplified Acquisition Threshold that are not subject to the automated closeout procedures at PGI 204.804-3.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Contracting officers must use the DD1597, Contract Closeout Checklist, and DD1594, Contract Completion Statement, for all contracts other than firm-fixed price that are not administered by a Defense Contract Management Agency (DCMA) contract administration officer.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4-administrative-and-information-matters" Type="http://schemas.openxmlformats.org/officeDocument/2006/relationships/hyperlink" Id="rId4"/>
    <Relationship TargetMode="External" Target="https://www.acquisition.gov/dfars/part-204-%E2%80%93-administrative-and-information-matters" Type="http://schemas.openxmlformats.org/officeDocument/2006/relationships/hyperlink" Id="rId5"/>
    <Relationship TargetMode="External" Target="https://www.acquisition.gov/content/part-4-administrative-and-information-matters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