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**ID__SOFARS_5604.7107__ID**</w:t>
      </w:r>
    </w:p>
    <w:p>
      <w:pPr>
        <w:pStyle w:val="Heading3"/>
        <w:spacing w:after="199"/>
        <w:ind w:left="120"/>
        <w:jc w:val="left"/>
      </w:pPr>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