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**ID__SOFARS_5606.30390__ID**</w:t>
      </w:r>
    </w:p>
    <w:p>
      <w:pPr>
        <w:pStyle w:val="Heading4"/>
        <w:spacing w:after="269"/>
        <w:ind w:left="120"/>
        <w:jc w:val="left"/>
      </w:pPr>
      <w:r>
        <w:rPr>
          <w:rFonts w:ascii="Times New Roman" w:hAnsi="Times New Roman"/>
          <w:i w:val="false"/>
          <w:color w:val="000000"/>
          <w:sz w:val="24"/>
        </w:rPr>
        <w:t>5606.303-90</w:t>
      </w:r>
      <w:r>
        <w:rPr>
          <w:rFonts w:ascii="Times New Roman" w:hAnsi="Times New Roman"/>
          <w:i w:val="false"/>
          <w:color w:val="000000"/>
          <w:sz w:val="24"/>
        </w:rPr>
        <w:t xml:space="preserve"> Policy.</w:t>
      </w:r>
    </w:p>
    <w:p>
      <w:pPr>
        <w:pBdr>
          <w:top w:space="5"/>
          <w:left w:space="5"/>
          <w:bottom w:space="5"/>
          <w:right w:space="5"/>
        </w:pBdr>
        <w:spacing w:after="0"/>
        <w:ind w:left="225"/>
        <w:jc w:val="left"/>
      </w:pPr>
      <w:r>
        <w:rPr>
          <w:rFonts w:ascii="Times New Roman" w:hAnsi="Times New Roman"/>
          <w:b w:val="false"/>
          <w:i/>
          <w:color w:val="000000"/>
          <w:sz w:val="22"/>
        </w:rPr>
        <w:t>(Revised October 2019)</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When multiple sources are included in a class Justification and Approval (J&amp;A) request, each source specified must be fully justified in accordance with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r>
          <w:rPr>
            <w:rFonts w:ascii="Times New Roman" w:hAnsi="Times New Roman"/>
            <w:b w:val="false"/>
            <w:i w:val="false"/>
            <w:color w:val="0000ff"/>
            <w:sz w:val="22"/>
            <w:u w:val="single"/>
          </w:rPr>
          <w:t>6.303-2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Only one of the statutory authorities provided by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2304(c)</w:t>
        </w:r>
      </w:hyperlink>
      <w:r>
        <w:rPr>
          <w:rFonts w:ascii="Times New Roman" w:hAnsi="Times New Roman"/>
          <w:b w:val="false"/>
          <w:i w:val="false"/>
          <w:color w:val="000000"/>
          <w:sz w:val="22"/>
        </w:rPr>
        <w:t xml:space="preserve"> will be cited in Paragraph 4 of the J&amp;A. If another statutory authority applies that will strengthen the justification for other than full and open competition, it may be cited in Paragraph 8 of the J&amp;A.</w:t>
      </w:r>
    </w:p>
    <w:p>
      <w:pPr>
        <w:pBdr>
          <w:top w:space="5"/>
          <w:left w:space="5"/>
          <w:bottom w:space="5"/>
          <w:right w:space="5"/>
        </w:pBdr>
        <w:spacing w:after="0"/>
        <w:ind w:left="225"/>
        <w:jc w:val="left"/>
      </w:pPr>
      <w:r>
        <w:rPr>
          <w:rFonts w:ascii="Times New Roman" w:hAnsi="Times New Roman"/>
          <w:b w:val="false"/>
          <w:i w:val="false"/>
          <w:color w:val="000000"/>
          <w:sz w:val="22"/>
        </w:rPr>
        <w:t xml:space="preserve">(c) A full scale J&amp;A is not required for solicitations issued in accordance with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13</w:t>
        </w:r>
      </w:hyperlink>
      <w:r>
        <w:rPr>
          <w:rFonts w:ascii="Times New Roman" w:hAnsi="Times New Roman"/>
          <w:b w:val="false"/>
          <w:i w:val="false"/>
          <w:color w:val="000000"/>
          <w:sz w:val="22"/>
        </w:rPr>
        <w:t>, however the justification must be documented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(d) Follow the “Justification and Approvals (J&amp;As) and Exception to Fair Opportunity” review and approval thresholds found in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5601-1</w:t>
        </w:r>
      </w:hyperlink>
    </w:p>
    <w:p>
      <w:pPr>
        <w:pBdr>
          <w:top w:space="5"/>
          <w:left w:space="5"/>
          <w:bottom w:space="5"/>
          <w:right w:space="5"/>
        </w:pBdr>
        <w:spacing w:after="0"/>
        <w:ind w:left="225"/>
        <w:jc w:val="left"/>
      </w:pPr>
      <w:r>
        <w:rPr>
          <w:rFonts w:ascii="Times New Roman" w:hAnsi="Times New Roman"/>
          <w:b w:val="false"/>
          <w:i w:val="false"/>
          <w:color w:val="000000"/>
          <w:sz w:val="22"/>
        </w:rPr>
        <w:t>(e) See the DCG for the responsibilities for recording and tracking J&amp;As and Bridge Actions.</w:t>
      </w:r>
    </w:p>
    <w:p>
      <w:pPr>
        <w:pBdr>
          <w:top w:space="5"/>
          <w:left w:space="5"/>
          <w:bottom w:space="5"/>
          <w:right w:space="5"/>
        </w:pBdr>
        <w:spacing w:after="0"/>
        <w:ind w:left="225"/>
        <w:jc w:val="left"/>
      </w:pPr>
      <w:r>
        <w:rPr>
          <w:rFonts w:ascii="Times New Roman" w:hAnsi="Times New Roman"/>
          <w:b w:val="false"/>
          <w:i w:val="false"/>
          <w:color w:val="000000"/>
          <w:sz w:val="22"/>
        </w:rPr>
        <w:t>The J&amp;A template can be found in the DCG. All elements found in the template are mandatory and must be completed. If the template is not used, all mandatory elements must be included in the document submitted.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uisition.gov/content/part-6-competition-requirements" Type="http://schemas.openxmlformats.org/officeDocument/2006/relationships/hyperlink" Id="rId4"/>
    <Relationship TargetMode="External" Target="https://www.law.cornell.edu/uscode/text/10/2304" Type="http://schemas.openxmlformats.org/officeDocument/2006/relationships/hyperlink" Id="rId5"/>
    <Relationship TargetMode="External" Target="https://www.acquisition.gov/content/part-13-simplified-acquisition-procedures" Type="http://schemas.openxmlformats.org/officeDocument/2006/relationships/hyperlink" Id="rId6"/>
    <Relationship TargetMode="External" Target="https://sof.atl.socom.mil/sites/K/SOFARS_DCG/SOFARS/Attachment_5601-1.docx"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