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**ID__SOFARS_Attachment_5601-2.2k__ID**</w:t>
      </w:r>
    </w:p>
    <w:p>
      <w:pPr>
        <w:pStyle w:val="Heading2"/>
        <w:spacing w:after="180"/>
        <w:ind w:left="120"/>
        <w:jc w:val="center"/>
      </w:pPr>
      <w:r>
        <w:rPr>
          <w:rFonts w:ascii="Times New Roman" w:hAnsi="Times New Roman"/>
          <w:color w:val="000000"/>
        </w:rPr>
        <w:t>Attachment 5601-2.2</w:t>
      </w:r>
      <w:r>
        <w:rPr>
          <w:rFonts w:ascii="Times New Roman" w:hAnsi="Times New Roman"/>
          <w:color w:val="000000"/>
        </w:rPr>
        <w:t>k</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 AT&amp;L-KX, TSOCs, Contingency Operations, 24</w:t>
            </w:r>
            <w:r>
              <w:rPr>
                <w:rFonts w:ascii="Times New Roman" w:hAnsi="Times New Roman"/>
                <w:b/>
                <w:i w:val="false"/>
                <w:color w:val="000000"/>
                <w:sz w:val="22"/>
              </w:rPr>
              <w:t>th</w:t>
            </w:r>
            <w:r>
              <w:rPr>
                <w:rFonts w:ascii="Times New Roman" w:hAnsi="Times New Roman"/>
                <w:b/>
                <w:i w:val="false"/>
                <w:color w:val="000000"/>
                <w:sz w:val="22"/>
              </w:rPr>
              <w:t>SOW, and 905th</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i w:val="false"/>
                <w:color w:val="000000"/>
              </w:rPr>
              <w:t>1</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$150,000, but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 source / Non-competitive OT: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$100,000, but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27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 but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AT&amp;L-KX,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i w:val="false"/>
                <w:color w:val="000000"/>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$150,000, but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i w:val="false"/>
                <w:color w:val="000000"/>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$150,000, but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$50,000, but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AT&amp;L-KX</w:t>
            </w:r>
          </w:p>
        </w:tc>
      </w:tr>
      <w:tr>
        <w:trPr>
          <w:trHeight w:val="135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i w:val="false"/>
                <w:color w:val="000000"/>
              </w:rPr>
              <w:t>2</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94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AT&amp;L-KX</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