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Special</w:t>
      </w:r>
      <w:br/>
      <w:r>
        <w:t xml:space="preserve">  Operations</w:t>
      </w:r>
      <w:br/>
      <w:r>
        <w:t xml:space="preserve">    Federal</w:t>
      </w:r>
      <w:br/>
      <w:r>
        <w:t xml:space="preserve">      Acquisition</w:t>
      </w:r>
      <w:br/>
      <w:r>
        <w:t xml:space="preserve">        Regulation</w:t>
      </w:r>
      <w:br/>
      <w:r>
        <w:t xml:space="preserve">          Supplement</w:t>
      </w:r>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SPECIAL OPERATIONS FEDERAL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TITLE#-SPECIAL OPERATIONS 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Special Operations Federal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SOFARS_PART_5627" w:id="0"/>
      <w:r>
        <w:rPr>
          <w:rFonts w:ascii="Times New Roman" w:hAnsi="Times New Roman"/>
          <w:color w:val="000000"/>
        </w:rPr>
        <w:t>SOFARS PART 5627</w:t>
      </w:r>
      <w:r>
        <w:rPr>
          <w:rFonts w:ascii="Times New Roman" w:hAnsi="Times New Roman"/>
          <w:color w:val="000000"/>
        </w:rPr>
        <w:t xml:space="preserve"> PATENTS, DATA, AND COPYRIGHTS</w:t>
      </w:r>
      <w:bookmarkEnd w:id="0"/>
    </w:p>
    <w:p>
      <w:pPr>
        <w:spacing w:after="0"/>
        <w:jc w:val="left"/>
        <w:ind w:left="720" w:hanging="360"/>
      </w:pPr>
      <w:hyperlink w:anchor="SOFARS_SUBPART_5627.3">
        <w:r>
          <w:rPr>
            <w:rStyle w:val="Hyperlink"/>
            <w:rFonts w:ascii="Times New Roman" w:hAnsi="Times New Roman"/>
            <w:b w:val="false"/>
            <w:i w:val="false"/>
            <w:color w:val="0000ff"/>
            <w:sz w:val="22"/>
            <w:u w:val="single"/>
          </w:rPr>
          <w:t>SUBPART 5627.3 – PATENT RIGHTS UNDER GOVERNMENT CONTRACTS</w:t>
        </w:r>
      </w:hyperlink>
    </w:p>
    <w:p>
      <w:pPr>
        <w:spacing w:after="0"/>
        <w:jc w:val="left"/>
        <w:ind w:left="1440" w:hanging="360"/>
      </w:pPr>
      <w:hyperlink w:anchor="SOFARS_5627.305">
        <w:r>
          <w:rPr>
            <w:rStyle w:val="Hyperlink"/>
            <w:rFonts w:ascii="Times New Roman" w:hAnsi="Times New Roman"/>
            <w:b w:val="false"/>
            <w:i w:val="false"/>
            <w:color w:val="0000ff"/>
            <w:sz w:val="22"/>
            <w:u w:val="single"/>
          </w:rPr>
          <w:t>5627.305 Administration of Patent Rights.</w:t>
        </w:r>
      </w:hyperlink>
    </w:p>
    <w:p>
      <w:pPr>
        <w:spacing w:after="0"/>
        <w:jc w:val="left"/>
        <w:ind w:left="2160" w:hanging="180"/>
      </w:pPr>
      <w:hyperlink w:anchor="SOFARS_5627.3053">
        <w:r>
          <w:rPr>
            <w:rStyle w:val="Hyperlink"/>
            <w:rFonts w:ascii="Times New Roman" w:hAnsi="Times New Roman"/>
            <w:b w:val="false"/>
            <w:i w:val="false"/>
            <w:color w:val="0000ff"/>
            <w:sz w:val="22"/>
            <w:u w:val="single"/>
          </w:rPr>
          <w:t>5627.305-3 Securing invention rights acquired by the Government.</w:t>
        </w:r>
      </w:hyperlink>
    </w:p>
    <w:p>
      <w:pPr>
        <w:spacing w:after="0"/>
        <w:jc w:val="left"/>
        <w:ind w:left="720" w:hanging="360"/>
      </w:pPr>
      <w:hyperlink w:anchor="SOFARS_SUBPART_5627.70">
        <w:r>
          <w:rPr>
            <w:rStyle w:val="Hyperlink"/>
            <w:rFonts w:ascii="Times New Roman" w:hAnsi="Times New Roman"/>
            <w:b w:val="false"/>
            <w:i w:val="false"/>
            <w:color w:val="0000ff"/>
            <w:sz w:val="22"/>
            <w:u w:val="single"/>
          </w:rPr>
          <w:t>SUBPART 5627.70 – INFRINGEMENT CLAIMS, LICENSES, AND ASSIGNMENTS</w:t>
        </w:r>
      </w:hyperlink>
    </w:p>
    <w:p>
      <w:pPr>
        <w:spacing w:after="0"/>
        <w:jc w:val="left"/>
        <w:ind w:left="1440" w:hanging="360"/>
      </w:pPr>
      <w:hyperlink w:anchor="SOFARS_5627.7004">
        <w:r>
          <w:rPr>
            <w:rStyle w:val="Hyperlink"/>
            <w:rFonts w:ascii="Times New Roman" w:hAnsi="Times New Roman"/>
            <w:b w:val="false"/>
            <w:i w:val="false"/>
            <w:color w:val="0000ff"/>
            <w:sz w:val="22"/>
            <w:u w:val="single"/>
          </w:rPr>
          <w:t>5627.7004 Requirements for Filing an Administrative Claim for Patent Infringements.</w:t>
        </w:r>
      </w:hyperlink>
    </w:p>
    <!-- Created by docx4j 6.1.2 (Apache licensed) using REFERENCE JAXB in Oracle Java 15 on Linux -->
    <w:p>
      <w:pPr>
        <w:pStyle w:val="Heading2"/>
        <w:spacing w:after="180"/>
        <w:ind w:left="120"/>
        <w:jc w:val="center"/>
      </w:pPr>
      <w:bookmarkStart w:name="SOFARS_SUBPART_5627.3" w:id="1"/>
      <w:r>
        <w:rPr>
          <w:rFonts w:ascii="Times New Roman" w:hAnsi="Times New Roman"/>
          <w:color w:val="000000"/>
          <w:sz w:val="36"/>
        </w:rPr>
        <w:t>SUBPART 5627.3</w:t>
      </w:r>
      <w:r>
        <w:rPr>
          <w:rFonts w:ascii="Times New Roman" w:hAnsi="Times New Roman"/>
          <w:color w:val="000000"/>
          <w:sz w:val="36"/>
        </w:rPr>
        <w:t xml:space="preserve"> – PATENT RIGHTS UNDER GOVERNMENT CONTRACTS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27.305" w:id="2"/>
      <w:r>
        <w:rPr>
          <w:rFonts w:ascii="Times New Roman" w:hAnsi="Times New Roman"/>
          <w:color w:val="000000"/>
          <w:sz w:val="31"/>
        </w:rPr>
        <w:t>5627.305</w:t>
      </w:r>
      <w:r>
        <w:rPr>
          <w:rFonts w:ascii="Times New Roman" w:hAnsi="Times New Roman"/>
          <w:color w:val="000000"/>
          <w:sz w:val="31"/>
        </w:rPr>
        <w:t xml:space="preserve"> Administration of Patent Rights.</w:t>
      </w:r>
      <w:bookmarkEnd w:id="2"/>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June 2021</w:t>
      </w:r>
      <w:r>
        <w:rPr>
          <w:rFonts w:ascii="Times New Roman" w:hAnsi="Times New Roman"/>
          <w:b w:val="false"/>
          <w:i/>
          <w:color w:val="000000"/>
          <w:sz w:val="22"/>
        </w:rPr>
        <w:t>)</w:t>
      </w:r>
    </w:p>
    <!-- Created by docx4j 6.1.2 (Apache licensed) using REFERENCE JAXB in Oracle Java 15 on Linux -->
    <w:p>
      <w:pPr>
        <w:pStyle w:val="Heading4"/>
        <w:spacing w:after="269"/>
        <w:ind w:left="120"/>
        <w:jc w:val="left"/>
      </w:pPr>
      <w:bookmarkStart w:name="SOFARS_5627.3053" w:id="3"/>
      <w:r>
        <w:rPr>
          <w:rFonts w:ascii="Times New Roman" w:hAnsi="Times New Roman"/>
          <w:i w:val="false"/>
          <w:color w:val="000000"/>
          <w:sz w:val="24"/>
        </w:rPr>
        <w:t>5627.305-3</w:t>
      </w:r>
      <w:r>
        <w:rPr>
          <w:rFonts w:ascii="Times New Roman" w:hAnsi="Times New Roman"/>
          <w:i w:val="false"/>
          <w:color w:val="000000"/>
          <w:sz w:val="24"/>
        </w:rPr>
        <w:t xml:space="preserve"> Securing invention rights acquired by the Government.</w:t>
      </w:r>
      <w:bookmarkEnd w:id="3"/>
    </w:p>
    <w:p>
      <w:pPr>
        <w:pBdr>
          <w:top w:space="5"/>
          <w:left w:space="5"/>
          <w:bottom w:space="5"/>
          <w:right w:space="5"/>
        </w:pBdr>
        <w:spacing w:after="0"/>
        <w:ind w:left="225"/>
        <w:jc w:val="left"/>
      </w:pPr>
      <w:r>
        <w:rPr>
          <w:rFonts w:ascii="Times New Roman" w:hAnsi="Times New Roman"/>
          <w:b w:val="false"/>
          <w:i w:val="false"/>
          <w:color w:val="000000"/>
          <w:sz w:val="22"/>
        </w:rPr>
        <w:t xml:space="preserve">(a) Upon receipt of a DD form 882, Report of Inventions and Subcontracts, as prescribed in </w:t>
      </w:r>
      <w:hyperlink r:id="R475a24e3bff949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227.304-1</w:t>
        </w:r>
      </w:hyperlink>
      <w:r>
        <w:rPr>
          <w:rFonts w:ascii="Times New Roman" w:hAnsi="Times New Roman"/>
          <w:b w:val="false"/>
          <w:i w:val="false"/>
          <w:color w:val="000000"/>
          <w:sz w:val="22"/>
        </w:rPr>
        <w:t>, or a letter prepared in accordance with relevant patent rights clause(s), contracting officers shall immediately forward the submission to the RAO to confirm that the contractor has reported all subject inventions. Forward the DD882 or other submission, along with the RAO input, to legal counsel for review and appropriate action. See DCG templates for process flowchart and guidance.</w:t>
      </w:r>
    </w:p>
    <w:p>
      <w:pPr>
        <w:pBdr>
          <w:top w:space="5"/>
          <w:left w:space="5"/>
          <w:bottom w:space="5"/>
          <w:right w:space="5"/>
        </w:pBdr>
        <w:spacing w:after="0"/>
        <w:ind w:left="225"/>
        <w:jc w:val="left"/>
      </w:pPr>
      <w:r>
        <w:rPr>
          <w:rFonts w:ascii="Times New Roman" w:hAnsi="Times New Roman"/>
          <w:b w:val="false"/>
          <w:i w:val="false"/>
          <w:color w:val="000000"/>
          <w:sz w:val="22"/>
        </w:rPr>
        <w:t>(b) No legal review of the DD882 is required for phase I SBIR contracts if:</w:t>
      </w:r>
    </w:p>
    <w:p>
      <w:pPr>
        <w:pBdr>
          <w:top w:space="5"/>
          <w:left w:space="5"/>
          <w:bottom w:space="5"/>
          <w:right w:space="5"/>
        </w:pBdr>
        <w:spacing w:after="0"/>
        <w:ind w:left="945"/>
        <w:jc w:val="left"/>
      </w:pPr>
      <w:r>
        <w:rPr>
          <w:rFonts w:ascii="Times New Roman" w:hAnsi="Times New Roman"/>
          <w:b w:val="false"/>
          <w:i w:val="false"/>
          <w:color w:val="000000"/>
          <w:sz w:val="22"/>
        </w:rPr>
        <w:t>(i) the KO obtains written assertion from the RAO stating that they have reviewed all interim and final report/data, deliverables, and,</w:t>
      </w:r>
    </w:p>
    <w:p>
      <w:pPr>
        <w:pBdr>
          <w:top w:space="5"/>
          <w:left w:space="5"/>
          <w:bottom w:space="5"/>
          <w:right w:space="5"/>
        </w:pBdr>
        <w:spacing w:after="0"/>
        <w:ind w:left="945"/>
        <w:jc w:val="left"/>
      </w:pPr>
      <w:r>
        <w:rPr>
          <w:rFonts w:ascii="Times New Roman" w:hAnsi="Times New Roman"/>
          <w:b w:val="false"/>
          <w:i w:val="false"/>
          <w:color w:val="000000"/>
          <w:sz w:val="22"/>
        </w:rPr>
        <w:t>(ii) the RAO concur with the contractor's affirmations on the DD882 that no patents are applicable.</w:t>
      </w:r>
    </w:p>
    <!-- Created by docx4j 6.1.2 (Apache licensed) using REFERENCE JAXB in Oracle Java 15 on Linux -->
    <w:p>
      <w:pPr>
        <w:pStyle w:val="Heading2"/>
        <w:spacing w:after="180"/>
        <w:ind w:left="120"/>
        <w:jc w:val="center"/>
      </w:pPr>
      <w:bookmarkStart w:name="SOFARS_SUBPART_5627.70" w:id="4"/>
      <w:r>
        <w:rPr>
          <w:rFonts w:ascii="Times New Roman" w:hAnsi="Times New Roman"/>
          <w:color w:val="000000"/>
          <w:sz w:val="36"/>
        </w:rPr>
        <w:t>SUBPART 5627.70</w:t>
      </w:r>
      <w:r>
        <w:rPr>
          <w:rFonts w:ascii="Times New Roman" w:hAnsi="Times New Roman"/>
          <w:color w:val="000000"/>
          <w:sz w:val="36"/>
        </w:rPr>
        <w:t xml:space="preserve"> – INFRINGEMENT CLAIMS, LICENSES, AND ASSIGNMENTS</w:t>
      </w:r>
      <w:bookmarkEnd w:id="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27.7004" w:id="5"/>
      <w:r>
        <w:rPr>
          <w:rFonts w:ascii="Times New Roman" w:hAnsi="Times New Roman"/>
          <w:color w:val="000000"/>
          <w:sz w:val="31"/>
        </w:rPr>
        <w:t>5627.7004</w:t>
      </w:r>
      <w:r>
        <w:rPr>
          <w:rFonts w:ascii="Times New Roman" w:hAnsi="Times New Roman"/>
          <w:color w:val="000000"/>
          <w:sz w:val="31"/>
        </w:rPr>
        <w:t xml:space="preserve"> Requirements for Filing an Administrative Claim for Patent Infringements.</w:t>
      </w:r>
      <w:bookmarkEnd w:id="5"/>
    </w:p>
    <w:p>
      <w:pPr>
        <w:pBdr>
          <w:top w:space="5"/>
          <w:left w:space="5"/>
          <w:bottom w:space="5"/>
          <w:right w:space="5"/>
        </w:pBdr>
        <w:spacing w:after="0"/>
        <w:ind w:left="225"/>
        <w:jc w:val="left"/>
      </w:pPr>
      <w:r>
        <w:rPr>
          <w:rFonts w:ascii="Times New Roman" w:hAnsi="Times New Roman"/>
          <w:b w:val="false"/>
          <w:i/>
          <w:color w:val="000000"/>
          <w:sz w:val="22"/>
        </w:rPr>
        <w:t>(Revised July 2010)</w:t>
      </w:r>
      <w:r>
        <w:rPr>
          <w:rFonts w:ascii="Times New Roman" w:hAnsi="Times New Roman"/>
          <w:b w:val="false"/>
          <w:i/>
          <w:color w:val="000000"/>
          <w:sz w:val="22"/>
        </w:rPr>
        <w:t>(Revised September 2013-reorganization)</w:t>
      </w:r>
    </w:p>
    <w:p>
      <w:pPr>
        <w:pBdr>
          <w:top w:space="5"/>
          <w:left w:space="5"/>
          <w:bottom w:space="5"/>
          <w:right w:space="5"/>
        </w:pBdr>
        <w:spacing w:after="0"/>
        <w:ind w:left="225"/>
        <w:jc w:val="left"/>
      </w:pPr>
      <w:r>
        <w:rPr>
          <w:rFonts w:ascii="Times New Roman" w:hAnsi="Times New Roman"/>
          <w:b w:val="false"/>
          <w:i w:val="false"/>
          <w:color w:val="000000"/>
          <w:sz w:val="22"/>
        </w:rPr>
        <w:t>(a) All contracting offices shall acknowledge receipt of patent right allegations and then forward a copy of the documents to SOF AT&amp;L-KM/KX/KB as appropriate, and legal counsel.</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w:t>
      </w:r>
      <w:r>
        <w:rPr>
          <w:rFonts w:ascii="Times New Roman" w:hAnsi="Times New Roman"/>
          <w:b w:val="false"/>
          <w:i w:val="false"/>
          <w:color w:val="000000"/>
          <w:sz w:val="22"/>
        </w:rPr>
        <w:t xml:space="preserve">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5627</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w:sectPr>
      <w:pgSz w:w="12240" w:h="15840" w:code="1"/>
      <w:pgMar w:top="1440" w:right="1440" w:bottom="1440" w:left="1440"/>
      <w:pgNumType w:start="1"/>
      <w:footerReference w:type="default" r:id="R12e4d521cb84444d"/>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12e4d521cb84444d" /><Relationship Type="http://schemas.openxmlformats.org/officeDocument/2006/relationships/hyperlink" Target="SUBPART_5627.3.dita#SOFARS_SUBPART_5627.3" TargetMode="External" Id="Rd9f3328bb1574504" /><Relationship Type="http://schemas.openxmlformats.org/officeDocument/2006/relationships/hyperlink" Target="5627.305.dita#SOFARS_5627.305" TargetMode="External" Id="R40d8f9f28517455f" /><Relationship Type="http://schemas.openxmlformats.org/officeDocument/2006/relationships/hyperlink" Target="5627.3053.dita#SOFARS_5627.3053" TargetMode="External" Id="Re93110d5436d4c01" /><Relationship Type="http://schemas.openxmlformats.org/officeDocument/2006/relationships/hyperlink" Target="SUBPART_5627.70.dita#SOFARS_SUBPART_5627.70" TargetMode="External" Id="R47663dee1f9340e1" /><Relationship Type="http://schemas.openxmlformats.org/officeDocument/2006/relationships/hyperlink" Target="5627.7004.dita#SOFARS_5627.7004" TargetMode="External" Id="R60d942960d164482" /><Relationship Type="http://schemas.openxmlformats.org/officeDocument/2006/relationships/hyperlink" Target="https://www.acquisition.gov/dfars/patents-data-and-copyrights" TargetMode="External" Id="R475a24e3bff94901"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