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33" w:id="0"/>
      <w:r>
        <w:rPr>
          <w:rFonts w:ascii="Times New Roman" w:hAnsi="Times New Roman"/>
          <w:color w:val="000000"/>
        </w:rPr>
        <w:t>SOFARS PART 5633</w:t>
      </w:r>
      <w:r>
        <w:rPr>
          <w:rFonts w:ascii="Times New Roman" w:hAnsi="Times New Roman"/>
          <w:color w:val="000000"/>
        </w:rPr>
        <w:t xml:space="preserve"> – PROTESTS, DISPUTES AND APPEALS</w:t>
      </w:r>
      <w:bookmarkEnd w:id="0"/>
    </w:p>
    <w:p>
      <w:pPr>
        <w:spacing w:after="0"/>
        <w:jc w:val="left"/>
        <w:ind w:left="720" w:hanging="360"/>
      </w:pPr>
      <w:hyperlink w:anchor="SOFARS_SUBPART_5633.1">
        <w:r>
          <w:rPr>
            <w:rStyle w:val="Hyperlink"/>
            <w:rFonts w:ascii="Times New Roman" w:hAnsi="Times New Roman"/>
            <w:b w:val="false"/>
            <w:i w:val="false"/>
            <w:color w:val="0000ff"/>
            <w:sz w:val="22"/>
            <w:u w:val="single"/>
          </w:rPr>
          <w:t>SUBPART 5633.1 PROTESTS</w:t>
        </w:r>
      </w:hyperlink>
    </w:p>
    <w:p>
      <w:pPr>
        <w:spacing w:after="0"/>
        <w:jc w:val="left"/>
        <w:ind w:left="1440" w:hanging="360"/>
      </w:pPr>
      <w:hyperlink w:anchor="SOFARS_5633.102">
        <w:r>
          <w:rPr>
            <w:rStyle w:val="Hyperlink"/>
            <w:rFonts w:ascii="Times New Roman" w:hAnsi="Times New Roman"/>
            <w:b w:val="false"/>
            <w:i w:val="false"/>
            <w:color w:val="0000ff"/>
            <w:sz w:val="22"/>
            <w:u w:val="single"/>
          </w:rPr>
          <w:t>5633.102 General.</w:t>
        </w:r>
      </w:hyperlink>
    </w:p>
    <w:p>
      <w:pPr>
        <w:spacing w:after="0"/>
        <w:jc w:val="left"/>
        <w:ind w:left="1440" w:hanging="360"/>
      </w:pPr>
      <w:hyperlink w:anchor="SOFARS_5633.103">
        <w:r>
          <w:rPr>
            <w:rStyle w:val="Hyperlink"/>
            <w:rFonts w:ascii="Times New Roman" w:hAnsi="Times New Roman"/>
            <w:b w:val="false"/>
            <w:i w:val="false"/>
            <w:color w:val="0000ff"/>
            <w:sz w:val="22"/>
            <w:u w:val="single"/>
          </w:rPr>
          <w:t>5633.103 Protests to the Agency.</w:t>
        </w:r>
      </w:hyperlink>
    </w:p>
    <w:p>
      <w:pPr>
        <w:spacing w:after="0"/>
        <w:jc w:val="left"/>
        <w:ind w:left="1440" w:hanging="360"/>
      </w:pPr>
      <w:hyperlink w:anchor="SOFARS_5633.104">
        <w:r>
          <w:rPr>
            <w:rStyle w:val="Hyperlink"/>
            <w:rFonts w:ascii="Times New Roman" w:hAnsi="Times New Roman"/>
            <w:b w:val="false"/>
            <w:i w:val="false"/>
            <w:color w:val="0000ff"/>
            <w:sz w:val="22"/>
            <w:u w:val="single"/>
          </w:rPr>
          <w:t>5633.104 Protests to GAO.</w:t>
        </w:r>
      </w:hyperlink>
    </w:p>
    <w:p>
      <w:pPr>
        <w:spacing w:after="0"/>
        <w:jc w:val="left"/>
        <w:ind w:left="1440" w:hanging="360"/>
      </w:pPr>
      <w:hyperlink w:anchor="SOFARS_5633.106">
        <w:r>
          <w:rPr>
            <w:rStyle w:val="Hyperlink"/>
            <w:rFonts w:ascii="Times New Roman" w:hAnsi="Times New Roman"/>
            <w:b w:val="false"/>
            <w:i w:val="false"/>
            <w:color w:val="0000ff"/>
            <w:sz w:val="22"/>
            <w:u w:val="single"/>
          </w:rPr>
          <w:t>5633.106 Solicitation Provisions and Contract Clauses.</w:t>
        </w:r>
      </w:hyperlink>
    </w:p>
    <w:p>
      <w:pPr>
        <w:spacing w:after="0"/>
        <w:jc w:val="left"/>
        <w:ind w:left="720" w:hanging="360"/>
      </w:pPr>
      <w:hyperlink w:anchor="SOFARS_SUBPART_5633.2">
        <w:r>
          <w:rPr>
            <w:rStyle w:val="Hyperlink"/>
            <w:rFonts w:ascii="Times New Roman" w:hAnsi="Times New Roman"/>
            <w:b w:val="false"/>
            <w:i w:val="false"/>
            <w:color w:val="0000ff"/>
            <w:sz w:val="22"/>
            <w:u w:val="single"/>
          </w:rPr>
          <w:t>SUBPART 5633.2 – DISPUTES AND APPEALS</w:t>
        </w:r>
      </w:hyperlink>
    </w:p>
    <w:p>
      <w:pPr>
        <w:spacing w:after="0"/>
        <w:jc w:val="left"/>
        <w:ind w:left="1440" w:hanging="360"/>
      </w:pPr>
      <w:hyperlink w:anchor="SOFARS_5633.209">
        <w:r>
          <w:rPr>
            <w:rStyle w:val="Hyperlink"/>
            <w:rFonts w:ascii="Times New Roman" w:hAnsi="Times New Roman"/>
            <w:b w:val="false"/>
            <w:i w:val="false"/>
            <w:color w:val="0000ff"/>
            <w:sz w:val="22"/>
            <w:u w:val="single"/>
          </w:rPr>
          <w:t>5633.209 Suspected Fraudulent Claims.</w:t>
        </w:r>
      </w:hyperlink>
    </w:p>
    <w:p>
      <w:pPr>
        <w:spacing w:after="0"/>
        <w:jc w:val="left"/>
        <w:ind w:left="1440" w:hanging="360"/>
      </w:pPr>
      <w:hyperlink w:anchor="SOFARS_5633.211">
        <w:r>
          <w:rPr>
            <w:rStyle w:val="Hyperlink"/>
            <w:rFonts w:ascii="Times New Roman" w:hAnsi="Times New Roman"/>
            <w:b w:val="false"/>
            <w:i w:val="false"/>
            <w:color w:val="0000ff"/>
            <w:sz w:val="22"/>
            <w:u w:val="single"/>
          </w:rPr>
          <w:t>5633.211 Contracting Officers Decision</w:t>
        </w:r>
      </w:hyperlink>
    </w:p>
    <w:p>
      <w:pPr>
        <w:spacing w:after="0"/>
        <w:jc w:val="left"/>
        <w:ind w:left="1440" w:hanging="360"/>
      </w:pPr>
      <w:hyperlink w:anchor="SOFARS_5633.212">
        <w:r>
          <w:rPr>
            <w:rStyle w:val="Hyperlink"/>
            <w:rFonts w:ascii="Times New Roman" w:hAnsi="Times New Roman"/>
            <w:b w:val="false"/>
            <w:i w:val="false"/>
            <w:color w:val="0000ff"/>
            <w:sz w:val="22"/>
            <w:u w:val="single"/>
          </w:rPr>
          <w:t>5633.212 Contracting Officer Duties Upon Appeal.</w:t>
        </w:r>
      </w:hyperlink>
    </w:p>
    <!-- Created by docx4j 6.1.2 (Apache licensed) using REFERENCE JAXB in Oracle Java 15 on Linux -->
    <w:p>
      <w:pPr>
        <w:pStyle w:val="Heading2"/>
        <w:spacing w:after="180"/>
        <w:ind w:left="120"/>
        <w:jc w:val="center"/>
      </w:pPr>
      <w:bookmarkStart w:name="SOFARS_SUBPART_5633.1" w:id="1"/>
      <w:r>
        <w:rPr>
          <w:rFonts w:ascii="Times New Roman" w:hAnsi="Times New Roman"/>
          <w:color w:val="000000"/>
          <w:sz w:val="36"/>
        </w:rPr>
        <w:t>SUBPART 5633.1</w:t>
      </w:r>
      <w:r>
        <w:rPr>
          <w:rFonts w:ascii="Times New Roman" w:hAnsi="Times New Roman"/>
          <w:color w:val="000000"/>
          <w:sz w:val="36"/>
        </w:rPr>
        <w:t xml:space="preserve"> PROTESTS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3.102" w:id="2"/>
      <w:r>
        <w:rPr>
          <w:rFonts w:ascii="Times New Roman" w:hAnsi="Times New Roman"/>
          <w:color w:val="000000"/>
          <w:sz w:val="31"/>
        </w:rPr>
        <w:t>5633.102</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Upon receipt of a protest or notification of an upcoming protest, either before or after an award and whether filed directly with the agency, the Government Accountability Office (GAO), the Small Business Administration (SBA)/Office of Hearing and Appeals (OHA), or the courts, contracting officers must immediately email notification to their LNO. The LNO will notify the Director of Procurement, the Deputy Director of Procurement, Chief SOF AT&amp;L-KM, KX, or KB as appropriate, SOJA-AQ, and the Requiring Activity Official (RAO). The format for the notification email shall include:</w:t>
      </w:r>
    </w:p>
    <w:p>
      <w:pPr>
        <w:pBdr>
          <w:top w:space="5"/>
          <w:left w:space="5"/>
          <w:bottom w:space="5"/>
          <w:right w:space="5"/>
        </w:pBdr>
        <w:spacing w:after="0"/>
        <w:ind w:left="945"/>
        <w:jc w:val="left"/>
      </w:pPr>
      <w:r>
        <w:rPr>
          <w:rFonts w:ascii="Times New Roman" w:hAnsi="Times New Roman"/>
          <w:b w:val="false"/>
          <w:i w:val="false"/>
          <w:color w:val="000000"/>
          <w:sz w:val="22"/>
        </w:rPr>
        <w:t>(i) Summary: Description of supplies or services, RFP release date, periods of performance. Provide type of protest (e.g. agency or to GAO); pre or post award protest, and general basis for the protest.</w:t>
      </w:r>
    </w:p>
    <w:p>
      <w:pPr>
        <w:pBdr>
          <w:top w:space="5"/>
          <w:left w:space="5"/>
          <w:bottom w:space="5"/>
          <w:right w:space="5"/>
        </w:pBdr>
        <w:spacing w:after="0"/>
        <w:ind w:left="945"/>
        <w:jc w:val="left"/>
      </w:pPr>
      <w:r>
        <w:rPr>
          <w:rFonts w:ascii="Times New Roman" w:hAnsi="Times New Roman"/>
          <w:b w:val="false"/>
          <w:i w:val="false"/>
          <w:color w:val="000000"/>
          <w:sz w:val="22"/>
        </w:rPr>
        <w:t>(ii) Unit Impact: Describe the impact to the requiring activity (e.g. loss of continuing service, delay in new equipment or services). In general, address how the requiring activity is affected by any delays or actions associated with the protest.</w:t>
      </w:r>
    </w:p>
    <w:p>
      <w:pPr>
        <w:pBdr>
          <w:top w:space="5"/>
          <w:left w:space="5"/>
          <w:bottom w:space="5"/>
          <w:right w:space="5"/>
        </w:pBdr>
        <w:spacing w:after="0"/>
        <w:ind w:left="945"/>
        <w:jc w:val="left"/>
      </w:pPr>
      <w:r>
        <w:rPr>
          <w:rFonts w:ascii="Times New Roman" w:hAnsi="Times New Roman"/>
          <w:b w:val="false"/>
          <w:i w:val="false"/>
          <w:color w:val="000000"/>
          <w:sz w:val="22"/>
        </w:rPr>
        <w:t>(iii) GAO or Agency Decision Timeline: Date decision is expected or the protest is otherwise resolved.</w:t>
      </w:r>
    </w:p>
    <w:p>
      <w:pPr>
        <w:pBdr>
          <w:top w:space="5"/>
          <w:left w:space="5"/>
          <w:bottom w:space="5"/>
          <w:right w:space="5"/>
        </w:pBdr>
        <w:spacing w:after="0"/>
        <w:ind w:left="585"/>
        <w:jc w:val="left"/>
      </w:pPr>
      <w:r>
        <w:rPr>
          <w:rFonts w:ascii="Times New Roman" w:hAnsi="Times New Roman"/>
          <w:b w:val="false"/>
          <w:i w:val="false"/>
          <w:color w:val="000000"/>
          <w:sz w:val="22"/>
        </w:rPr>
        <w:t>(2) See the DCG for the responsibilities for recording and tracking protests.</w:t>
      </w:r>
    </w:p>
    <!-- Created by docx4j 6.1.2 (Apache licensed) using REFERENCE JAXB in Oracle Java 15 on Linux -->
    <w:p>
      <w:pPr>
        <w:pStyle w:val="Heading3"/>
        <w:spacing w:after="199"/>
        <w:ind w:left="120"/>
        <w:jc w:val="left"/>
      </w:pPr>
      <w:bookmarkStart w:name="SOFARS_5633.103" w:id="3"/>
      <w:r>
        <w:rPr>
          <w:rFonts w:ascii="Times New Roman" w:hAnsi="Times New Roman"/>
          <w:color w:val="000000"/>
          <w:sz w:val="31"/>
        </w:rPr>
        <w:t>5633.103</w:t>
      </w:r>
      <w:r>
        <w:rPr>
          <w:rFonts w:ascii="Times New Roman" w:hAnsi="Times New Roman"/>
          <w:color w:val="000000"/>
          <w:sz w:val="31"/>
        </w:rPr>
        <w:t xml:space="preserve"> Protests to the Agency.</w:t>
      </w:r>
      <w:bookmarkEnd w:id="3"/>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(3) Agency protest decisions shall be made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(A) When the contract requires contract clearance review by SOF AT&amp;L-KM, KX, or KB as appropriate, include the protest with the contract award documentation forwarded for review.</w:t>
      </w:r>
    </w:p>
    <w:p>
      <w:pPr>
        <w:pBdr>
          <w:top w:space="5"/>
          <w:left w:space="5"/>
          <w:bottom w:space="5"/>
          <w:right w:space="5"/>
        </w:pBdr>
        <w:spacing w:after="0"/>
        <w:ind w:left="945"/>
        <w:jc w:val="left"/>
      </w:pPr>
      <w:r>
        <w:rPr>
          <w:rFonts w:ascii="Times New Roman" w:hAnsi="Times New Roman"/>
          <w:b w:val="false"/>
          <w:i w:val="false"/>
          <w:color w:val="000000"/>
          <w:sz w:val="22"/>
        </w:rPr>
        <w:t>(B) When the contact requires contract clearance review by SOF AT&amp;L-KM, KX, or KB as appropriate, and a protest is received while the contract is being reviewed for clearance, immediately forward the protest to SOF AT&amp;L-KM, KX, or KB as appropriate for inclusion in the contract award documentation.</w:t>
      </w:r>
    </w:p>
    <w:p>
      <w:pPr>
        <w:pBdr>
          <w:top w:space="5"/>
          <w:left w:space="5"/>
          <w:bottom w:space="5"/>
          <w:right w:space="5"/>
        </w:pBdr>
        <w:spacing w:after="0"/>
        <w:ind w:left="945"/>
        <w:jc w:val="left"/>
      </w:pPr>
      <w:r>
        <w:rPr>
          <w:rFonts w:ascii="Times New Roman" w:hAnsi="Times New Roman"/>
          <w:b w:val="false"/>
          <w:i w:val="false"/>
          <w:color w:val="000000"/>
          <w:sz w:val="22"/>
        </w:rPr>
        <w:t xml:space="preserve">(C) If the protest is received prior to award, contracting officers shall suspend award IAW </w:t>
      </w:r>
      <w:hyperlink r:id="Rb8e57d8df62b4b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33.103(f)</w:t>
        </w:r>
      </w:hyperlink>
      <w:r>
        <w:rPr>
          <w:rFonts w:ascii="Times New Roman" w:hAnsi="Times New Roman"/>
          <w:b w:val="false"/>
          <w:i w:val="false"/>
          <w:color w:val="000000"/>
          <w:sz w:val="22"/>
        </w:rPr>
        <w:t xml:space="preserve"> (see f(1) below regarding override decisions).</w:t>
      </w:r>
    </w:p>
    <w:p>
      <w:pPr>
        <w:pBdr>
          <w:top w:space="5"/>
          <w:left w:space="5"/>
          <w:bottom w:space="5"/>
          <w:right w:space="5"/>
        </w:pBdr>
        <w:spacing w:after="0"/>
        <w:ind w:left="585"/>
        <w:jc w:val="left"/>
      </w:pPr>
      <w:r>
        <w:rPr>
          <w:rFonts w:ascii="Times New Roman" w:hAnsi="Times New Roman"/>
          <w:b w:val="false"/>
          <w:i w:val="false"/>
          <w:color w:val="000000"/>
          <w:sz w:val="22"/>
        </w:rPr>
        <w:t>(4)</w:t>
      </w:r>
    </w:p>
    <w:p>
      <w:pPr>
        <w:pBdr>
          <w:top w:space="5"/>
          <w:left w:space="5"/>
          <w:bottom w:space="5"/>
          <w:right w:space="5"/>
        </w:pBdr>
        <w:spacing w:after="0"/>
        <w:ind w:left="945"/>
        <w:jc w:val="left"/>
      </w:pPr>
      <w:r>
        <w:rPr>
          <w:rFonts w:ascii="Times New Roman" w:hAnsi="Times New Roman"/>
          <w:b w:val="false"/>
          <w:i w:val="false"/>
          <w:color w:val="000000"/>
          <w:sz w:val="22"/>
        </w:rPr>
        <w:t xml:space="preserve">(A) Within 10 calendar days of receipt of a request for independent review IAW </w:t>
      </w:r>
      <w:hyperlink r:id="R4d5e56afd65443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33.103(d)(4)</w:t>
        </w:r>
      </w:hyperlink>
      <w:r>
        <w:rPr>
          <w:rFonts w:ascii="Times New Roman" w:hAnsi="Times New Roman"/>
          <w:b w:val="false"/>
          <w:i w:val="false"/>
          <w:color w:val="000000"/>
          <w:sz w:val="22"/>
        </w:rPr>
        <w:t>, the Contracting Officer shall forward to their assigned SOF AT&amp;L-KM, KX, or KB LNO all the supporting documentation required using the D&amp;F format to issue a decision. All decisions and recommended actions issued as the result of an independent review shall be approved at two (2) levels above the KO.</w:t>
      </w:r>
    </w:p>
    <w:p>
      <w:pPr>
        <w:pBdr>
          <w:top w:space="5"/>
          <w:left w:space="5"/>
          <w:bottom w:space="5"/>
          <w:right w:space="5"/>
        </w:pBdr>
        <w:spacing w:after="0"/>
        <w:ind w:left="945"/>
        <w:jc w:val="left"/>
      </w:pPr>
      <w:r>
        <w:rPr>
          <w:rFonts w:ascii="Times New Roman" w:hAnsi="Times New Roman"/>
          <w:b w:val="false"/>
          <w:i w:val="false"/>
          <w:color w:val="000000"/>
          <w:sz w:val="22"/>
        </w:rPr>
        <w:t>(B) Changes in the status of the protest that are deemed significant by the contracting officer, such as the filing of a protest with GAO, the withdrawal of a protest with GAO, or denial of a protest, shall be promptly disseminated to the offices that received the initial protest alert. Electronic transmittal is acceptable.</w:t>
      </w:r>
    </w:p>
    <w:p>
      <w:pPr>
        <w:pBdr>
          <w:top w:space="5"/>
          <w:left w:space="5"/>
          <w:bottom w:space="5"/>
          <w:right w:space="5"/>
        </w:pBdr>
        <w:spacing w:after="0"/>
        <w:ind w:left="225"/>
        <w:jc w:val="left"/>
      </w:pPr>
      <w:r>
        <w:rPr>
          <w:rFonts w:ascii="Times New Roman" w:hAnsi="Times New Roman"/>
          <w:b w:val="false"/>
          <w:i w:val="false"/>
          <w:color w:val="000000"/>
          <w:sz w:val="22"/>
        </w:rPr>
        <w:t>(f)(1) The Director of Procurement (DOP) shall make the determination to proceed with award prior to resolution of protest.</w:t>
      </w:r>
    </w:p>
    <w:p>
      <w:pPr>
        <w:pBdr>
          <w:top w:space="5"/>
          <w:left w:space="5"/>
          <w:bottom w:space="5"/>
          <w:right w:space="5"/>
        </w:pBdr>
        <w:spacing w:after="0"/>
        <w:ind w:left="225"/>
        <w:jc w:val="left"/>
      </w:pPr>
      <w:r>
        <w:rPr>
          <w:rFonts w:ascii="Times New Roman" w:hAnsi="Times New Roman"/>
          <w:b w:val="false"/>
          <w:i/>
          <w:color w:val="000000"/>
          <w:sz w:val="22"/>
        </w:rPr>
        <w:t>(Added November 2007)</w:t>
      </w:r>
    </w:p>
    <w:p>
      <w:pPr>
        <w:pBdr>
          <w:top w:space="5"/>
          <w:left w:space="5"/>
          <w:bottom w:space="5"/>
          <w:right w:space="5"/>
        </w:pBdr>
        <w:spacing w:after="0"/>
        <w:ind w:left="225"/>
        <w:jc w:val="left"/>
      </w:pPr>
      <w:r>
        <w:rPr>
          <w:rFonts w:ascii="Times New Roman" w:hAnsi="Times New Roman"/>
          <w:b w:val="false"/>
          <w:i w:val="false"/>
          <w:color w:val="000000"/>
          <w:sz w:val="22"/>
        </w:rPr>
        <w:t>Follow the procedures in the DCG for Preparing Automatic Stay Override Determination and Findings.</w:t>
      </w:r>
    </w:p>
    <!-- Created by docx4j 6.1.2 (Apache licensed) using REFERENCE JAXB in Oracle Java 15 on Linux -->
    <w:p>
      <w:pPr>
        <w:pStyle w:val="Heading3"/>
        <w:spacing w:after="199"/>
        <w:ind w:left="120"/>
        <w:jc w:val="left"/>
      </w:pPr>
      <w:bookmarkStart w:name="SOFARS_5633.104" w:id="4"/>
      <w:r>
        <w:rPr>
          <w:rFonts w:ascii="Times New Roman" w:hAnsi="Times New Roman"/>
          <w:color w:val="000000"/>
          <w:sz w:val="31"/>
        </w:rPr>
        <w:t>5633.104</w:t>
      </w:r>
      <w:r>
        <w:rPr>
          <w:rFonts w:ascii="Times New Roman" w:hAnsi="Times New Roman"/>
          <w:color w:val="000000"/>
          <w:sz w:val="31"/>
        </w:rPr>
        <w:t xml:space="preserve"> Protests to GAO.</w:t>
      </w:r>
      <w:bookmarkEnd w:id="4"/>
    </w:p>
    <w:p>
      <w:pPr>
        <w:pBdr>
          <w:top w:space="5"/>
          <w:left w:space="5"/>
          <w:bottom w:space="5"/>
          <w:right w:space="5"/>
        </w:pBdr>
        <w:spacing w:after="0"/>
        <w:ind w:left="225"/>
        <w:jc w:val="left"/>
      </w:pPr>
      <w:r>
        <w:rPr>
          <w:rFonts w:ascii="Times New Roman" w:hAnsi="Times New Roman"/>
          <w:b w:val="false"/>
          <w:i/>
          <w:color w:val="000000"/>
          <w:sz w:val="22"/>
        </w:rPr>
        <w:t>(Revised December 2013)</w:t>
      </w:r>
    </w:p>
    <w:p>
      <w:pPr>
        <w:pBdr>
          <w:top w:space="5"/>
          <w:left w:space="5"/>
          <w:bottom w:space="5"/>
          <w:right w:space="5"/>
        </w:pBdr>
        <w:spacing w:after="0"/>
        <w:ind w:left="225"/>
        <w:jc w:val="left"/>
      </w:pPr>
      <w:r>
        <w:rPr>
          <w:rFonts w:ascii="Times New Roman" w:hAnsi="Times New Roman"/>
          <w:b w:val="false"/>
          <w:i w:val="false"/>
          <w:color w:val="000000"/>
          <w:sz w:val="22"/>
        </w:rPr>
        <w:t>(a)(2) SOJA-AQ will coordinate filing the agency response and other protest matters through the Commercial Litigation Field Support Center within the Air Force Legal Operations Agency to GAO.</w:t>
      </w:r>
    </w:p>
    <!-- Created by docx4j 6.1.2 (Apache licensed) using REFERENCE JAXB in Oracle Java 15 on Linux -->
    <w:p>
      <w:pPr>
        <w:pStyle w:val="Heading3"/>
        <w:spacing w:after="199"/>
        <w:ind w:left="120"/>
        <w:jc w:val="left"/>
      </w:pPr>
      <w:bookmarkStart w:name="SOFARS_5633.106" w:id="5"/>
      <w:r>
        <w:rPr>
          <w:rFonts w:ascii="Times New Roman" w:hAnsi="Times New Roman"/>
          <w:color w:val="000000"/>
          <w:sz w:val="31"/>
        </w:rPr>
        <w:t>5633.106</w:t>
      </w:r>
      <w:r>
        <w:rPr>
          <w:rFonts w:ascii="Times New Roman" w:hAnsi="Times New Roman"/>
          <w:color w:val="000000"/>
          <w:sz w:val="31"/>
        </w:rPr>
        <w:t xml:space="preserve"> Solicitation Provisions and Contract Clauses.</w:t>
      </w:r>
      <w:bookmarkEnd w:id="5"/>
    </w:p>
    <w:p>
      <w:pPr>
        <w:pStyle w:val="Normal"/>
        <w:pBdr>
          <w:top w:space="5"/>
          <w:left w:space="5"/>
          <w:bottom w:space="5"/>
          <w:right w:space="5"/>
        </w:pBdr>
        <w:spacing w:after="0"/>
        <w:ind w:left="225"/>
        <w:jc w:val="left"/>
      </w:pPr>
      <w:r>
        <w:rPr>
          <w:rFonts w:ascii="Times New Roman" w:hAnsi="Times New Roman"/>
          <w:i/>
          <w:color w:val="000000"/>
        </w:rPr>
        <w:t>(Revised November 2018)</w:t>
      </w:r>
    </w:p>
    <w:p>
      <w:pPr>
        <w:pStyle w:val="Normal"/>
        <w:pBdr>
          <w:top w:space="5"/>
          <w:left w:space="5"/>
          <w:bottom w:space="5"/>
          <w:right w:space="5"/>
        </w:pBdr>
        <w:spacing w:after="0"/>
        <w:ind w:left="225"/>
        <w:jc w:val="left"/>
      </w:pPr>
      <w:r>
        <w:rPr>
          <w:rFonts w:ascii="Times New Roman" w:hAnsi="Times New Roman"/>
          <w:color w:val="000000"/>
        </w:rPr>
        <w:t xml:space="preserve">Contracting Officers shall insert clause </w:t>
      </w:r>
      <w:hyperlink r:id="R75277791a036432f">
        <w:r>
          <w:rPr>
            <w:rStyle w:val="Hyperlink"/>
            <w:rFonts w:ascii="Times New Roman" w:hAnsi="Times New Roman"/>
            <w:color w:val="0000ff"/>
            <w:u w:val="single"/>
          </w:rPr>
          <w:t/>
        </w:r>
        <w:r>
          <w:rPr>
            <w:rFonts w:ascii="Times New Roman" w:hAnsi="Times New Roman"/>
            <w:color w:val="0000ff"/>
            <w:u w:val="single"/>
          </w:rPr>
          <w:t>5652.233-9000</w:t>
        </w:r>
      </w:hyperlink>
      <w:r>
        <w:rPr>
          <w:rFonts w:ascii="Times New Roman" w:hAnsi="Times New Roman"/>
          <w:color w:val="000000"/>
        </w:rPr>
        <w:t>, Independent Review of Agency Protest Decision, in all solicitations.</w:t>
      </w:r>
    </w:p>
    <!-- Created by docx4j 6.1.2 (Apache licensed) using REFERENCE JAXB in Oracle Java 15 on Linux -->
    <w:p>
      <w:pPr>
        <w:pStyle w:val="Heading2"/>
        <w:spacing w:after="180"/>
        <w:ind w:left="120"/>
        <w:jc w:val="center"/>
      </w:pPr>
      <w:bookmarkStart w:name="SOFARS_SUBPART_5633.2" w:id="6"/>
      <w:r>
        <w:rPr>
          <w:rFonts w:ascii="Times New Roman" w:hAnsi="Times New Roman"/>
          <w:color w:val="000000"/>
          <w:sz w:val="36"/>
        </w:rPr>
        <w:t>SUBPART 5633.2</w:t>
      </w:r>
      <w:r>
        <w:rPr>
          <w:rFonts w:ascii="Times New Roman" w:hAnsi="Times New Roman"/>
          <w:color w:val="000000"/>
          <w:sz w:val="36"/>
        </w:rPr>
        <w:t xml:space="preserve"> – DISPUTES AND APPEALS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3.209" w:id="7"/>
      <w:r>
        <w:rPr>
          <w:rFonts w:ascii="Times New Roman" w:hAnsi="Times New Roman"/>
          <w:color w:val="000000"/>
          <w:sz w:val="31"/>
        </w:rPr>
        <w:t>5633.209</w:t>
      </w:r>
      <w:r>
        <w:rPr>
          <w:rFonts w:ascii="Times New Roman" w:hAnsi="Times New Roman"/>
          <w:color w:val="000000"/>
          <w:sz w:val="31"/>
        </w:rPr>
        <w:t xml:space="preserve"> Suspected Fraudulent Claims.</w:t>
      </w:r>
      <w:bookmarkEnd w:id="7"/>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report suspected fraudulent claims to the nearest Inspector General (IG) office.</w:t>
      </w:r>
    </w:p>
    <!-- Created by docx4j 6.1.2 (Apache licensed) using REFERENCE JAXB in Oracle Java 15 on Linux -->
    <w:p>
      <w:pPr>
        <w:pStyle w:val="Heading3"/>
        <w:spacing w:after="199"/>
        <w:ind w:left="120"/>
        <w:jc w:val="left"/>
      </w:pPr>
      <w:bookmarkStart w:name="SOFARS_5633.211" w:id="8"/>
      <w:r>
        <w:rPr>
          <w:rFonts w:ascii="Times New Roman" w:hAnsi="Times New Roman"/>
          <w:color w:val="000000"/>
          <w:sz w:val="31"/>
        </w:rPr>
        <w:t>5633.211</w:t>
      </w:r>
      <w:r>
        <w:rPr>
          <w:rFonts w:ascii="Times New Roman" w:hAnsi="Times New Roman"/>
          <w:color w:val="000000"/>
          <w:sz w:val="31"/>
        </w:rPr>
        <w:t xml:space="preserve"> Contracting Officers Decision</w:t>
      </w:r>
      <w:bookmarkEnd w:id="8"/>
    </w:p>
    <w:p>
      <w:pPr>
        <w:pBdr>
          <w:top w:space="5"/>
          <w:left w:space="5"/>
          <w:bottom w:space="5"/>
          <w:right w:space="5"/>
        </w:pBdr>
        <w:spacing w:after="0"/>
        <w:ind w:left="225"/>
        <w:jc w:val="left"/>
      </w:pPr>
      <w:r>
        <w:rPr>
          <w:rFonts w:ascii="Times New Roman" w:hAnsi="Times New Roman"/>
          <w:b w:val="false"/>
          <w:i/>
          <w:color w:val="000000"/>
          <w:sz w:val="22"/>
        </w:rPr>
        <w:t>(Added August 2015)</w:t>
      </w:r>
    </w:p>
    <w:p>
      <w:pPr>
        <w:pBdr>
          <w:top w:space="5"/>
          <w:left w:space="5"/>
          <w:bottom w:space="5"/>
          <w:right w:space="5"/>
        </w:pBdr>
        <w:spacing w:after="0"/>
        <w:ind w:left="585"/>
        <w:jc w:val="left"/>
      </w:pPr>
      <w:r>
        <w:rPr>
          <w:rFonts w:ascii="Times New Roman" w:hAnsi="Times New Roman"/>
          <w:b w:val="false"/>
          <w:i w:val="false"/>
          <w:color w:val="000000"/>
          <w:sz w:val="22"/>
        </w:rPr>
        <w:t>(5) Provide a copy of the written decision to SOF AT&amp;L-KM/, KX, or KB as appropriate, for review prior to providing a copy to the contractor.</w:t>
      </w:r>
    </w:p>
    <!-- Created by docx4j 6.1.2 (Apache licensed) using REFERENCE JAXB in Oracle Java 15 on Linux -->
    <w:p>
      <w:pPr>
        <w:pStyle w:val="Heading3"/>
        <w:spacing w:after="199"/>
        <w:ind w:left="120"/>
        <w:jc w:val="left"/>
      </w:pPr>
      <w:bookmarkStart w:name="SOFARS_5633.212" w:id="9"/>
      <w:r>
        <w:rPr>
          <w:rFonts w:ascii="Times New Roman" w:hAnsi="Times New Roman"/>
          <w:color w:val="000000"/>
          <w:sz w:val="31"/>
        </w:rPr>
        <w:t>5633.212</w:t>
      </w:r>
      <w:r>
        <w:rPr>
          <w:rFonts w:ascii="Times New Roman" w:hAnsi="Times New Roman"/>
          <w:color w:val="000000"/>
          <w:sz w:val="31"/>
        </w:rPr>
        <w:t xml:space="preserve"> Contracting Officer Duties Upon Appeal.</w:t>
      </w:r>
      <w:bookmarkEnd w:id="9"/>
    </w:p>
    <w:p>
      <w:pPr>
        <w:pBdr>
          <w:top w:space="5"/>
          <w:left w:space="5"/>
          <w:bottom w:space="5"/>
          <w:right w:space="5"/>
        </w:pBdr>
        <w:spacing w:after="0"/>
        <w:ind w:left="225"/>
        <w:jc w:val="left"/>
      </w:pPr>
      <w:r>
        <w:rPr>
          <w:rFonts w:ascii="Times New Roman" w:hAnsi="Times New Roman"/>
          <w:b w:val="false"/>
          <w:i w:val="false"/>
          <w:color w:val="000000"/>
          <w:sz w:val="22"/>
        </w:rPr>
        <w:t>(a) Legal counsel represents USSOCOM before the ASBCA. Contracting officers shall send a copy of any notice of an appeal to the ASBCA and legal counsel with the envelope in which the notice was received. If the contractor files an appeal with the Contracting Officer instead of the ASBCA, the Contracting Officer shall immediately note the date on which the appeal was received and forward the appeal to the ASBCA along with the envelope in which the appeal was sent. Copies of both shall be sent to legal counsel.</w:t>
      </w:r>
    </w:p>
    <w:p>
      <w:pPr>
        <w:pBdr>
          <w:top w:space="5"/>
          <w:left w:space="5"/>
          <w:bottom w:space="5"/>
          <w:right w:space="5"/>
        </w:pBdr>
        <w:spacing w:after="0"/>
        <w:ind w:left="225"/>
        <w:jc w:val="left"/>
      </w:pPr>
      <w:r>
        <w:rPr>
          <w:rFonts w:ascii="Times New Roman" w:hAnsi="Times New Roman"/>
          <w:b w:val="false"/>
          <w:i w:val="false"/>
          <w:color w:val="000000"/>
          <w:sz w:val="22"/>
        </w:rPr>
        <w:t>(b) Upon learning of an appeal to the ASBCA, the Contracting Officer shall comply with Rule 4 of the ASBCA Rules (</w:t>
      </w:r>
      <w:hyperlink r:id="R92edfa4407c347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Appendix A, Part 2</w:t>
        </w:r>
      </w:hyperlink>
      <w:r>
        <w:rPr>
          <w:rFonts w:ascii="Times New Roman" w:hAnsi="Times New Roman"/>
          <w:b w:val="false"/>
          <w:i w:val="false"/>
          <w:color w:val="000000"/>
          <w:sz w:val="22"/>
        </w:rPr>
        <w:t xml:space="preserve">). In assembling the file of documents under Rule 4 (known as a Rule 4 File), the Contracting Officer shall not include any legal opinions or intergovernmental documents of the types described in the Freedom of Information Act, Privacy Act and </w:t>
      </w:r>
      <w:hyperlink r:id="R3a188213dc344b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Subpart 224.2</w:t>
        </w:r>
      </w:hyperlink>
      <w:r>
        <w:rPr>
          <w:rFonts w:ascii="Times New Roman" w:hAnsi="Times New Roman"/>
          <w:b w:val="false"/>
          <w:i w:val="false"/>
          <w:color w:val="000000"/>
          <w:sz w:val="22"/>
        </w:rPr>
        <w:t>, without the concurrence of legal counsel. The Contracting Officer shall transmit any questions concerning whether or not a particular document should be included in the Rule 4 File to legal counsel for resolution prior to completing and forwarding the Rule 4 File. In assembling the Rule 4 File, the Contracting Officer shall separately tab and index each document. Prior to forwarding the Rule 4 File to the ASBCA Recorder and the contractor, the contracting officers shall submit the file to the legal counsel for review and approval to assure completeness and to prevent accidental disclosure of privileged material. Thereafter, all three copies may be mailed concurrently. Neither contractors nor their representatives shall be given access to government files or documents other than the Rule 4 File without specific approval of legal counsel.</w:t>
      </w:r>
    </w:p>
    <w:p>
      <w:pPr>
        <w:pBdr>
          <w:top w:space="5"/>
          <w:left w:space="5"/>
          <w:bottom w:space="5"/>
          <w:right w:space="5"/>
        </w:pBdr>
        <w:spacing w:after="0"/>
        <w:ind w:left="225"/>
        <w:jc w:val="left"/>
      </w:pPr>
      <w:r>
        <w:rPr>
          <w:rFonts w:ascii="Times New Roman" w:hAnsi="Times New Roman"/>
          <w:b w:val="false"/>
          <w:i w:val="false"/>
          <w:color w:val="000000"/>
          <w:sz w:val="22"/>
        </w:rPr>
        <w:t>(c) While an appeal is pending, contracting officers shall render all assistance requested by legal counsel, including, but not limited to, locating and arranging for the presence of all potential Government witnesses, and marshaling Government records or other required physical evidence for conferences and hearings necessary to defend or otherwise dispose of an appeal.</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immediately contact legal counsel upon receipt of notification that an action has been filed in the United States Claims Court. Provide legal counsel with a copy of the actual notice. Contracting officers shall assist legal counsel as requested in preparing the litigation report.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835a36a957da4d9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35a36a957da4d98" /><Relationship Type="http://schemas.openxmlformats.org/officeDocument/2006/relationships/hyperlink" Target="SUBPART_5633.1.dita#SOFARS_SUBPART_5633.1" TargetMode="External" Id="R3c911e6b6b3a40d9" /><Relationship Type="http://schemas.openxmlformats.org/officeDocument/2006/relationships/hyperlink" Target="5633.102.dita#SOFARS_5633.102" TargetMode="External" Id="Rd98601ead6564ac2" /><Relationship Type="http://schemas.openxmlformats.org/officeDocument/2006/relationships/hyperlink" Target="5633.103.dita#SOFARS_5633.103" TargetMode="External" Id="R2cfc01017a1e4125" /><Relationship Type="http://schemas.openxmlformats.org/officeDocument/2006/relationships/hyperlink" Target="5633.104.dita#SOFARS_5633.104" TargetMode="External" Id="R1079b5edf0c14d62" /><Relationship Type="http://schemas.openxmlformats.org/officeDocument/2006/relationships/hyperlink" Target="5633.106.dita#SOFARS_5633.106" TargetMode="External" Id="Reea0f5533899416b" /><Relationship Type="http://schemas.openxmlformats.org/officeDocument/2006/relationships/hyperlink" Target="SUBPART_5633.2.dita#SOFARS_SUBPART_5633.2" TargetMode="External" Id="R0f7f54f465d64dc4" /><Relationship Type="http://schemas.openxmlformats.org/officeDocument/2006/relationships/hyperlink" Target="5633.209.dita#SOFARS_5633.209" TargetMode="External" Id="Rbe8c4e15639a49a5" /><Relationship Type="http://schemas.openxmlformats.org/officeDocument/2006/relationships/hyperlink" Target="5633.211.dita#SOFARS_5633.211" TargetMode="External" Id="Rb159c06b29d845f3" /><Relationship Type="http://schemas.openxmlformats.org/officeDocument/2006/relationships/hyperlink" Target="5633.212.dita#SOFARS_5633.212" TargetMode="External" Id="Ra35a337493d0481a" /><Relationship Type="http://schemas.openxmlformats.org/officeDocument/2006/relationships/hyperlink" Target="http://farsite.hill.af.mil/reghtml/regs/far2afmcfars/fardfars/far/33.htm" TargetMode="External" Id="Rb8e57d8df62b4bba" /><Relationship Type="http://schemas.openxmlformats.org/officeDocument/2006/relationships/hyperlink" Target="https://www.acquisition.gov/content/part-33-protests-disputes-and-appeals" TargetMode="External" Id="R4d5e56afd654431f" /><Relationship Type="http://schemas.openxmlformats.org/officeDocument/2006/relationships/hyperlink" Target="https://sof.atl.socom.mil/sites/K/SOFARS_DCG/DCG_HTML/5652.docx" TargetMode="External" Id="R75277791a036432f" /><Relationship Type="http://schemas.openxmlformats.org/officeDocument/2006/relationships/hyperlink" Target="https://www.acquisition.gov/dfars/appendix-a%E2%80%93armed-services-board-contract-appeals" TargetMode="External" Id="R92edfa4407c347c5" /><Relationship Type="http://schemas.openxmlformats.org/officeDocument/2006/relationships/hyperlink" Target="https://www.acquisition.gov/dfars/part-224-%E2%80%93-protection-privacy-and-freedom-information" TargetMode="External" Id="R3a188213dc344b1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