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43" w:id="0"/>
      <w:r>
        <w:rPr>
          <w:rFonts w:ascii="Times New Roman" w:hAnsi="Times New Roman"/>
          <w:color w:val="000000"/>
        </w:rPr>
        <w:t>SOFARS PART 5643</w:t>
      </w:r>
      <w:r>
        <w:rPr>
          <w:rFonts w:ascii="Times New Roman" w:hAnsi="Times New Roman"/>
          <w:color w:val="000000"/>
        </w:rPr>
        <w:t xml:space="preserve"> CONTRACT MODIFICATIONS</w:t>
      </w:r>
      <w:bookmarkEnd w:id="0"/>
    </w:p>
    <w:p>
      <w:pPr>
        <w:spacing w:after="0"/>
        <w:jc w:val="left"/>
        <w:ind w:left="720" w:hanging="360"/>
      </w:pPr>
      <w:hyperlink w:anchor="SOFARS_SUBPART_5643.1">
        <w:r>
          <w:rPr>
            <w:rStyle w:val="Hyperlink"/>
            <w:rFonts w:ascii="Times New Roman" w:hAnsi="Times New Roman"/>
            <w:b w:val="false"/>
            <w:i w:val="false"/>
            <w:color w:val="0000ff"/>
            <w:sz w:val="22"/>
            <w:u w:val="single"/>
          </w:rPr>
          <w:t>SUBPART 5643.1 GENERAL</w:t>
        </w:r>
      </w:hyperlink>
    </w:p>
    <w:p>
      <w:pPr>
        <w:spacing w:after="0"/>
        <w:jc w:val="left"/>
        <w:ind w:left="1440" w:hanging="360"/>
      </w:pPr>
      <w:hyperlink w:anchor="SOFARS_5643.105">
        <w:r>
          <w:rPr>
            <w:rStyle w:val="Hyperlink"/>
            <w:rFonts w:ascii="Times New Roman" w:hAnsi="Times New Roman"/>
            <w:b w:val="false"/>
            <w:i w:val="false"/>
            <w:color w:val="0000ff"/>
            <w:sz w:val="22"/>
            <w:u w:val="single"/>
          </w:rPr>
          <w:t>5643.105 Availability of Funds</w:t>
        </w:r>
      </w:hyperlink>
    </w:p>
    <!-- Created by docx4j 6.1.2 (Apache licensed) using REFERENCE JAXB in Oracle Java 15 on Linux -->
    <w:p>
      <w:pPr>
        <w:pStyle w:val="Heading2"/>
        <w:spacing w:after="180"/>
        <w:ind w:left="120"/>
        <w:jc w:val="center"/>
      </w:pPr>
      <w:bookmarkStart w:name="SOFARS_SUBPART_5643.1" w:id="1"/>
      <w:r>
        <w:rPr>
          <w:rFonts w:ascii="Times New Roman" w:hAnsi="Times New Roman"/>
          <w:color w:val="000000"/>
          <w:sz w:val="36"/>
        </w:rPr>
        <w:t>SUBPART 5643.1</w:t>
      </w:r>
      <w:r>
        <w:rPr>
          <w:rFonts w:ascii="Times New Roman" w:hAnsi="Times New Roman"/>
          <w:color w:val="000000"/>
          <w:sz w:val="36"/>
        </w:rPr>
        <w:t xml:space="preserve">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3.105" w:id="2"/>
      <w:r>
        <w:rPr>
          <w:rFonts w:ascii="Times New Roman" w:hAnsi="Times New Roman"/>
          <w:color w:val="000000"/>
          <w:sz w:val="31"/>
        </w:rPr>
        <w:t>5643.105</w:t>
      </w:r>
      <w:r>
        <w:rPr>
          <w:rFonts w:ascii="Times New Roman" w:hAnsi="Times New Roman"/>
          <w:color w:val="000000"/>
          <w:sz w:val="31"/>
        </w:rPr>
        <w:t xml:space="preserve"> Availability of Funds</w:t>
      </w:r>
      <w:bookmarkEnd w:id="2"/>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(c)</w:t>
      </w:r>
    </w:p>
    <w:p>
      <w:pPr>
        <w:pBdr>
          <w:top w:space="5"/>
          <w:left w:space="5"/>
          <w:bottom w:space="5"/>
          <w:right w:space="5"/>
        </w:pBdr>
        <w:spacing w:after="0"/>
        <w:ind w:left="585"/>
        <w:jc w:val="left"/>
      </w:pPr>
      <w:r>
        <w:rPr>
          <w:rFonts w:ascii="Times New Roman" w:hAnsi="Times New Roman"/>
          <w:b w:val="false"/>
          <w:i w:val="false"/>
          <w:color w:val="000000"/>
          <w:sz w:val="22"/>
        </w:rP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will coordinate all modifications to contracts with expired, cancelled, or closed appropriation with the serving legal office prior to execution.</w:t>
      </w:r>
    </w:p>
    <w:p>
      <w:pPr>
        <w:pBdr>
          <w:top w:space="5"/>
          <w:left w:space="5"/>
          <w:bottom w:space="5"/>
          <w:right w:space="5"/>
        </w:pBdr>
        <w:spacing w:after="0"/>
        <w:ind w:left="225"/>
        <w:jc w:val="left"/>
      </w:pPr>
      <w:r>
        <w:rPr>
          <w:rFonts w:ascii="Times New Roman" w:hAnsi="Times New Roman"/>
          <w:b w:val="false"/>
          <w:i w:val="false"/>
          <w:color w:val="000000"/>
          <w:sz w:val="22"/>
        </w:rPr>
        <w:t>(d) Modifications must not be executed for the purpose of using or redistributing unspent balances of expired, closed, or cancelled appropriations without prior coordination with the serving legal office.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5ca71501c9cc414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ca71501c9cc4147" /><Relationship Type="http://schemas.openxmlformats.org/officeDocument/2006/relationships/hyperlink" Target="SUBPART_5643.1.dita#SOFARS_SUBPART_5643.1" TargetMode="External" Id="Rba7619fc6647427c" /><Relationship Type="http://schemas.openxmlformats.org/officeDocument/2006/relationships/hyperlink" Target="5643.105.dita#SOFARS_5643.105" TargetMode="External" Id="R587e86179885409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