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12" w:id="0"/>
      <w:r>
        <w:rPr>
          <w:rFonts w:ascii="Times New Roman" w:hAnsi="Times New Roman"/>
          <w:color w:val="000000"/>
        </w:rPr>
        <w:t>Part 5612</w:t>
      </w:r>
      <w:r>
        <w:rPr>
          <w:rFonts w:ascii="Times New Roman" w:hAnsi="Times New Roman"/>
          <w:color w:val="000000"/>
        </w:rPr>
        <w:t xml:space="preserve"> - ACQUISITION OF COMMERCIAL ITEMS</w:t>
      </w:r>
      <w:bookmarkEnd w:id="0"/>
    </w:p>
    <w:p>
      <w:pPr>
        <w:spacing w:after="0"/>
        <w:jc w:val="left"/>
        <w:ind w:left="720" w:hanging="360"/>
      </w:pPr>
      <w:hyperlink w:anchor="SOFARS_SUBPART_5612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5612.1 - ACQUISITION OF COMMERCIAL ITEMS GENERAL</w:t>
        </w:r>
      </w:hyperlink>
    </w:p>
    <w:p>
      <w:pPr>
        <w:spacing w:after="0"/>
        <w:jc w:val="left"/>
        <w:ind w:left="1440" w:hanging="360"/>
      </w:pPr>
      <w:hyperlink w:anchor="SOFARS_5612.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5612.101 Policy.</w:t>
        </w:r>
      </w:hyperlink>
    </w:p>
    <w:p>
      <w:pPr>
        <w:spacing w:after="0"/>
        <w:jc w:val="left"/>
        <w:ind w:left="1440" w:hanging="360"/>
      </w:pPr>
      <w:hyperlink w:anchor="SOFARS_5612.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5612.102 Applicability.</w:t>
        </w:r>
      </w:hyperlink>
    </w:p>
    <w:p>
      <w:pPr>
        <w:spacing w:after="0"/>
        <w:jc w:val="left"/>
        <w:ind w:left="720" w:hanging="360"/>
      </w:pPr>
      <w:hyperlink w:anchor="SOFARS_SUBPART_5612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5612.2 - SPECIAL REQUIREMENTS FOR THE ACQUISITION OF COMMERCIAL ITEMS</w:t>
        </w:r>
      </w:hyperlink>
    </w:p>
    <w:p>
      <w:pPr>
        <w:spacing w:after="0"/>
        <w:jc w:val="left"/>
        <w:ind w:left="1440" w:hanging="360"/>
      </w:pPr>
      <w:hyperlink w:anchor="SOFARS_5612.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5612.202 Market Research and Description of Agency Need.</w:t>
        </w:r>
      </w:hyperlink>
    </w:p>
    <w:p>
      <w:pPr>
        <w:spacing w:after="0"/>
        <w:jc w:val="left"/>
        <w:ind w:left="2160" w:hanging="360"/>
      </w:pPr>
      <w:hyperlink w:anchor="SOFARS_5612.207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5612.207-90 Contract Type.</w:t>
        </w:r>
      </w:hyperlink>
    </w:p>
    <w:p>
      <w:pPr>
        <w:spacing w:after="0"/>
        <w:jc w:val="left"/>
        <w:ind w:left="720" w:hanging="360"/>
      </w:pPr>
      <w:hyperlink w:anchor="SOFARS_SUBPART_5612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5612.3 - SOLICITATION PROVISIONS AND CONTRACT CLAUSES FOR THE ACQUISITION OF COMMERCIAL ITEMS</w:t>
        </w:r>
      </w:hyperlink>
    </w:p>
    <w:p>
      <w:pPr>
        <w:spacing w:after="0"/>
        <w:jc w:val="left"/>
        <w:ind w:left="1440" w:hanging="360"/>
      </w:pPr>
      <w:hyperlink w:anchor="SOFARS_5612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5612.302 Tailoring of Provisions and Clauses for Acquisition of Commercial Items. (Removed June 2021)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2.1" w:id="1"/>
      <w:r>
        <w:rPr>
          <w:rFonts w:ascii="Times New Roman" w:hAnsi="Times New Roman"/>
          <w:color w:val="000000"/>
          <w:sz w:val="36"/>
        </w:rPr>
        <w:t>Subpart 5612.1</w:t>
      </w:r>
      <w:r>
        <w:rPr>
          <w:rFonts w:ascii="Times New Roman" w:hAnsi="Times New Roman"/>
          <w:color w:val="000000"/>
          <w:sz w:val="36"/>
        </w:rPr>
        <w:t xml:space="preserve"> - ACQUISITION OF COMMERCIAL ITEMS GENERAL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2.101" w:id="2"/>
      <w:r>
        <w:rPr>
          <w:rFonts w:ascii="Times New Roman" w:hAnsi="Times New Roman"/>
          <w:color w:val="000000"/>
          <w:sz w:val="31"/>
        </w:rPr>
        <w:t>5612.101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during the acquisition process new evidence or additional requirements indicate the item no longer falls into the category of a commercial item, the solicitation shall be cancelled and reissued.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2.102" w:id="3"/>
      <w:r>
        <w:rPr>
          <w:rFonts w:ascii="Times New Roman" w:hAnsi="Times New Roman"/>
          <w:color w:val="000000"/>
          <w:sz w:val="31"/>
        </w:rPr>
        <w:t>5612.102</w:t>
      </w:r>
      <w:r>
        <w:rPr>
          <w:rFonts w:ascii="Times New Roman" w:hAnsi="Times New Roman"/>
          <w:color w:val="000000"/>
          <w:sz w:val="31"/>
        </w:rPr>
        <w:t xml:space="preserve"> Applicability.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When using FAR Part 12 procedures for acquisitions exceeding $1 million in value, the RAO, APM, or PM is responsible for completing the commerciality determination memorandum template).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(f)(1) The Director of Procurement, USSOCOM, as the head of agency, delegates the authority to determine applicability of </w:t>
      </w:r>
      <w:hyperlink r:id="Rffd141db05514fa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12.102(f)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USSOCOM headquarters contracting divisions and field contracting office chiefs. Determinations are to be in writing and included in each file.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2.2" w:id="4"/>
      <w:r>
        <w:rPr>
          <w:rFonts w:ascii="Times New Roman" w:hAnsi="Times New Roman"/>
          <w:color w:val="000000"/>
          <w:sz w:val="36"/>
        </w:rPr>
        <w:t>Subpart 5612.2</w:t>
      </w:r>
      <w:r>
        <w:rPr>
          <w:rFonts w:ascii="Times New Roman" w:hAnsi="Times New Roman"/>
          <w:color w:val="000000"/>
          <w:sz w:val="36"/>
        </w:rPr>
        <w:t xml:space="preserve"> - SPECIAL REQUIREMENTS FOR THE ACQUISITION OF COMMERCIAL ITEMS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July 2008)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2.202" w:id="5"/>
      <w:r>
        <w:rPr>
          <w:rFonts w:ascii="Times New Roman" w:hAnsi="Times New Roman"/>
          <w:color w:val="000000"/>
          <w:sz w:val="31"/>
        </w:rPr>
        <w:t>5612.202</w:t>
      </w:r>
      <w:r>
        <w:rPr>
          <w:rFonts w:ascii="Times New Roman" w:hAnsi="Times New Roman"/>
          <w:color w:val="000000"/>
          <w:sz w:val="31"/>
        </w:rPr>
        <w:t xml:space="preserve"> Market Research and Description of Agency Need.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For acquisitions in excess of the simplified acquisition threshold, the market research report template should be completed.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2.20790" w:id="6"/>
      <w:r>
        <w:rPr>
          <w:rFonts w:ascii="Times New Roman" w:hAnsi="Times New Roman"/>
          <w:i w:val="false"/>
          <w:color w:val="000000"/>
          <w:sz w:val="24"/>
        </w:rPr>
        <w:t>5612.207-90</w:t>
      </w:r>
      <w:r>
        <w:rPr>
          <w:rFonts w:ascii="Times New Roman" w:hAnsi="Times New Roman"/>
          <w:i w:val="false"/>
          <w:color w:val="000000"/>
          <w:sz w:val="24"/>
        </w:rPr>
        <w:t xml:space="preserve"> Contract Type.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determination to use a firm-fixed-price with economic price adjustment (FFP/EPA) shall be documented. See </w:t>
      </w:r>
      <w:hyperlink r:id="R436af674332342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16.203-3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required contents of the determination.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2.3" w:id="7"/>
      <w:r>
        <w:rPr>
          <w:rFonts w:ascii="Times New Roman" w:hAnsi="Times New Roman"/>
          <w:color w:val="000000"/>
          <w:sz w:val="36"/>
        </w:rPr>
        <w:t>Subpart 5612.3</w:t>
      </w:r>
      <w:r>
        <w:rPr>
          <w:rFonts w:ascii="Times New Roman" w:hAnsi="Times New Roman"/>
          <w:color w:val="000000"/>
          <w:sz w:val="36"/>
        </w:rPr>
        <w:t xml:space="preserve"> - SOLICITATION PROVISIONS AND CONTRACT CLAUSES FOR THE ACQUISITION OF COMMERCIAL ITEMS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2.302" w:id="8"/>
      <w:r>
        <w:rPr>
          <w:rFonts w:ascii="Times New Roman" w:hAnsi="Times New Roman"/>
          <w:color w:val="000000"/>
          <w:sz w:val="31"/>
        </w:rPr>
        <w:t>5612.302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Acquisition of Commercial Items. (Removed June 2021)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0934de2f33d74e5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934de2f33d74e53" /><Relationship Type="http://schemas.openxmlformats.org/officeDocument/2006/relationships/hyperlink" Target="SUBPART_5612.1.dita#SOFARS_SUBPART_5612.1" TargetMode="External" Id="R09b84ad8607c495e" /><Relationship Type="http://schemas.openxmlformats.org/officeDocument/2006/relationships/hyperlink" Target="5612.101.dita#SOFARS_5612.101" TargetMode="External" Id="Re642d8d190db4992" /><Relationship Type="http://schemas.openxmlformats.org/officeDocument/2006/relationships/hyperlink" Target="5612.102.dita#SOFARS_5612.102" TargetMode="External" Id="Rd00026d3a3f1435e" /><Relationship Type="http://schemas.openxmlformats.org/officeDocument/2006/relationships/hyperlink" Target="SUBPART_5612.2.dita#SOFARS_SUBPART_5612.2" TargetMode="External" Id="Rc8b2aa5c492849ec" /><Relationship Type="http://schemas.openxmlformats.org/officeDocument/2006/relationships/hyperlink" Target="5612.202.dita#SOFARS_5612.202" TargetMode="External" Id="R2acdb12e9121430d" /><Relationship Type="http://schemas.openxmlformats.org/officeDocument/2006/relationships/hyperlink" Target="5612.20790.dita#SOFARS_5612.20790" TargetMode="External" Id="R9849a1a8b4494580" /><Relationship Type="http://schemas.openxmlformats.org/officeDocument/2006/relationships/hyperlink" Target="SUBPART_5612.3.dita#SOFARS_SUBPART_5612.3" TargetMode="External" Id="R8b1a21da963c4860" /><Relationship Type="http://schemas.openxmlformats.org/officeDocument/2006/relationships/hyperlink" Target="5612.302.dita#SOFARS_5612.302" TargetMode="External" Id="Rbdd4ef4861db4e6e" /><Relationship Type="http://schemas.openxmlformats.org/officeDocument/2006/relationships/hyperlink" Target="https://www.acquisition.gov/content/part-12-acquisition-commercial-items" TargetMode="External" Id="Rffd141db05514fa9" /><Relationship Type="http://schemas.openxmlformats.org/officeDocument/2006/relationships/hyperlink" Target="https://www.acquisition.gov/content/part-16-types-contracts" TargetMode="External" Id="R436af6743323423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