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0822C953" w14:textId="77777777" w:rsidR="001C3140" w:rsidRDefault="00106761">
      <w:pPr>
        <w:rPr>
          <w:rFonts w:ascii="Public Sans" w:eastAsia="Public Sans" w:hAnsi="Public Sans" w:cs="Public Sans"/>
        </w:rPr>
      </w:pPr>
      <w:bookmarkStart w:id="0" w:name="_gjdgxs" w:colFirst="0" w:colLast="0"/>
      <w:bookmarkEnd w:id="0"/>
      <w:r>
        <w:rPr>
          <w:rFonts w:ascii="Public Sans" w:eastAsia="Public Sans" w:hAnsi="Public Sans" w:cs="Public Sans"/>
          <w:noProof/>
          <w:sz w:val="20"/>
          <w:szCs w:val="20"/>
        </w:rPr>
        <w:drawing>
          <wp:inline distT="0" distB="0" distL="0" distR="0" wp14:anchorId="7FFAFCC5" wp14:editId="5AC00075">
            <wp:extent cx="1028700" cy="900113"/>
            <wp:effectExtent l="0" t="0" r="0" b="0"/>
            <wp:docPr id="3" name="image1.png" descr="GSA Star Mark logo - blue background with the letters &quot;GSA&quot; in white text"/>
            <wp:cNvGraphicFramePr/>
            <a:graphic xmlns:a="http://schemas.openxmlformats.org/drawingml/2006/main">
              <a:graphicData uri="http://schemas.openxmlformats.org/drawingml/2006/picture">
                <pic:pic xmlns:pic="http://schemas.openxmlformats.org/drawingml/2006/picture">
                  <pic:nvPicPr>
                    <pic:cNvPr id="0" name="image1.png" descr="GSA Star Mark logo - blue background with the letters &quot;GSA&quot; in white text"/>
                    <pic:cNvPicPr preferRelativeResize="0"/>
                  </pic:nvPicPr>
                  <pic:blipFill>
                    <a:blip r:embed="rId8"/>
                    <a:srcRect/>
                    <a:stretch>
                      <a:fillRect/>
                    </a:stretch>
                  </pic:blipFill>
                  <pic:spPr>
                    <a:xfrm>
                      <a:off x="0" y="0"/>
                      <a:ext cx="1028700" cy="900113"/>
                    </a:xfrm>
                    <a:prstGeom prst="rect">
                      <a:avLst/>
                    </a:prstGeom>
                    <a:ln/>
                  </pic:spPr>
                </pic:pic>
              </a:graphicData>
            </a:graphic>
          </wp:inline>
        </w:drawing>
      </w:r>
    </w:p>
    <w:p w14:paraId="39922269" w14:textId="77777777" w:rsidR="001C3140" w:rsidRDefault="001C3140">
      <w:pPr>
        <w:spacing w:after="240" w:line="240" w:lineRule="auto"/>
        <w:jc w:val="center"/>
        <w:rPr>
          <w:rFonts w:ascii="Public Sans" w:eastAsia="Public Sans" w:hAnsi="Public Sans" w:cs="Public Sans"/>
          <w:smallCaps/>
          <w:color w:val="5B9BD5"/>
          <w:sz w:val="72"/>
          <w:szCs w:val="72"/>
        </w:rPr>
      </w:pPr>
    </w:p>
    <w:p w14:paraId="363EE4E5" w14:textId="7D226BE3" w:rsidR="001C3140" w:rsidRDefault="00614486">
      <w:pPr>
        <w:pStyle w:val="Title"/>
        <w:spacing w:after="240" w:line="240" w:lineRule="auto"/>
        <w:jc w:val="center"/>
        <w:rPr>
          <w:rFonts w:ascii="Public Sans" w:eastAsia="Public Sans" w:hAnsi="Public Sans" w:cs="Public Sans"/>
          <w:color w:val="0579BD"/>
          <w:sz w:val="32"/>
          <w:szCs w:val="32"/>
        </w:rPr>
      </w:pPr>
      <w:bookmarkStart w:id="1" w:name="_6b54stnxscys" w:colFirst="0" w:colLast="0"/>
      <w:bookmarkEnd w:id="1"/>
      <w:r>
        <w:rPr>
          <w:rFonts w:ascii="Public Sans" w:eastAsia="Public Sans" w:hAnsi="Public Sans" w:cs="Public Sans"/>
          <w:sz w:val="60"/>
          <w:szCs w:val="60"/>
        </w:rPr>
        <w:t>IT Collect FAQ</w:t>
      </w:r>
    </w:p>
    <w:p w14:paraId="457A6D83" w14:textId="77777777" w:rsidR="001C3140" w:rsidRDefault="001C3140">
      <w:pPr>
        <w:pBdr>
          <w:top w:val="nil"/>
          <w:left w:val="nil"/>
          <w:bottom w:val="nil"/>
          <w:right w:val="nil"/>
          <w:between w:val="nil"/>
        </w:pBdr>
        <w:spacing w:line="240" w:lineRule="auto"/>
        <w:rPr>
          <w:rFonts w:ascii="Public Sans" w:eastAsia="Public Sans" w:hAnsi="Public Sans" w:cs="Public Sans"/>
          <w:color w:val="5B9BD5"/>
          <w:sz w:val="28"/>
          <w:szCs w:val="28"/>
        </w:rPr>
      </w:pPr>
    </w:p>
    <w:p w14:paraId="04C81CD3" w14:textId="77777777" w:rsidR="001C3140" w:rsidRDefault="001C3140">
      <w:pPr>
        <w:spacing w:line="240" w:lineRule="auto"/>
        <w:jc w:val="center"/>
        <w:rPr>
          <w:rFonts w:ascii="Public Sans" w:eastAsia="Public Sans" w:hAnsi="Public Sans" w:cs="Public Sans"/>
          <w:color w:val="5B9BD5"/>
          <w:sz w:val="28"/>
          <w:szCs w:val="28"/>
        </w:rPr>
      </w:pPr>
    </w:p>
    <w:p w14:paraId="0C068327" w14:textId="625D2561" w:rsidR="001C3140" w:rsidRDefault="00614486">
      <w:pPr>
        <w:jc w:val="center"/>
        <w:rPr>
          <w:rFonts w:ascii="Public Sans" w:eastAsia="Public Sans" w:hAnsi="Public Sans" w:cs="Public Sans"/>
          <w:color w:val="3B5789"/>
        </w:rPr>
      </w:pPr>
      <w:proofErr w:type="gramStart"/>
      <w:r>
        <w:rPr>
          <w:rFonts w:ascii="Public Sans" w:eastAsia="Public Sans" w:hAnsi="Public Sans" w:cs="Public Sans"/>
          <w:b/>
          <w:color w:val="3B5789"/>
          <w:sz w:val="32"/>
          <w:szCs w:val="32"/>
        </w:rPr>
        <w:t>March</w:t>
      </w:r>
      <w:r w:rsidR="00106761">
        <w:rPr>
          <w:rFonts w:ascii="Public Sans" w:eastAsia="Public Sans" w:hAnsi="Public Sans" w:cs="Public Sans"/>
          <w:b/>
          <w:color w:val="3B5789"/>
          <w:sz w:val="32"/>
          <w:szCs w:val="32"/>
        </w:rPr>
        <w:t>,</w:t>
      </w:r>
      <w:proofErr w:type="gramEnd"/>
      <w:r w:rsidR="00106761">
        <w:rPr>
          <w:rFonts w:ascii="Public Sans" w:eastAsia="Public Sans" w:hAnsi="Public Sans" w:cs="Public Sans"/>
          <w:b/>
          <w:color w:val="3B5789"/>
          <w:sz w:val="32"/>
          <w:szCs w:val="32"/>
        </w:rPr>
        <w:t xml:space="preserve"> </w:t>
      </w:r>
      <w:r>
        <w:rPr>
          <w:rFonts w:ascii="Public Sans" w:eastAsia="Public Sans" w:hAnsi="Public Sans" w:cs="Public Sans"/>
          <w:b/>
          <w:color w:val="3B5789"/>
          <w:sz w:val="32"/>
          <w:szCs w:val="32"/>
        </w:rPr>
        <w:t>2021</w:t>
      </w:r>
    </w:p>
    <w:p w14:paraId="2E18A876" w14:textId="77777777" w:rsidR="001C3140" w:rsidRDefault="001C3140">
      <w:pPr>
        <w:pBdr>
          <w:top w:val="nil"/>
          <w:left w:val="nil"/>
          <w:bottom w:val="nil"/>
          <w:right w:val="nil"/>
          <w:between w:val="nil"/>
        </w:pBdr>
        <w:spacing w:line="240" w:lineRule="auto"/>
        <w:rPr>
          <w:rFonts w:ascii="Public Sans" w:eastAsia="Public Sans" w:hAnsi="Public Sans" w:cs="Public Sans"/>
          <w:sz w:val="28"/>
          <w:szCs w:val="28"/>
        </w:rPr>
      </w:pPr>
    </w:p>
    <w:p w14:paraId="030377D6" w14:textId="77777777" w:rsidR="001C3140" w:rsidRDefault="001C3140">
      <w:pPr>
        <w:spacing w:after="60" w:line="240" w:lineRule="auto"/>
        <w:jc w:val="center"/>
        <w:rPr>
          <w:rFonts w:ascii="Public Sans" w:eastAsia="Public Sans" w:hAnsi="Public Sans" w:cs="Public Sans"/>
          <w:b/>
          <w:color w:val="0579BD"/>
          <w:sz w:val="24"/>
          <w:szCs w:val="24"/>
        </w:rPr>
      </w:pPr>
    </w:p>
    <w:p w14:paraId="5230784A" w14:textId="77777777" w:rsidR="001C3140" w:rsidRDefault="001C3140" w:rsidP="00614486">
      <w:pPr>
        <w:spacing w:after="60" w:line="240" w:lineRule="auto"/>
        <w:rPr>
          <w:rFonts w:ascii="Public Sans" w:eastAsia="Public Sans" w:hAnsi="Public Sans" w:cs="Public Sans"/>
          <w:b/>
          <w:color w:val="3B5789"/>
          <w:sz w:val="10"/>
          <w:szCs w:val="10"/>
        </w:rPr>
      </w:pPr>
    </w:p>
    <w:p w14:paraId="28838AD2" w14:textId="77777777" w:rsidR="001C3140" w:rsidRDefault="00106761">
      <w:pPr>
        <w:spacing w:line="240" w:lineRule="auto"/>
        <w:jc w:val="center"/>
        <w:rPr>
          <w:rFonts w:ascii="Public Sans" w:eastAsia="Public Sans" w:hAnsi="Public Sans" w:cs="Public Sans"/>
          <w:b/>
          <w:color w:val="3B5789"/>
          <w:sz w:val="24"/>
          <w:szCs w:val="24"/>
        </w:rPr>
      </w:pPr>
      <w:r>
        <w:rPr>
          <w:rFonts w:ascii="Public Sans" w:eastAsia="Public Sans" w:hAnsi="Public Sans" w:cs="Public Sans"/>
          <w:b/>
          <w:color w:val="3B5789"/>
          <w:sz w:val="24"/>
          <w:szCs w:val="24"/>
        </w:rPr>
        <w:t>General Services Administration</w:t>
      </w:r>
    </w:p>
    <w:p w14:paraId="59716F42" w14:textId="77777777" w:rsidR="001C3140" w:rsidRDefault="00106761">
      <w:pPr>
        <w:pBdr>
          <w:top w:val="nil"/>
          <w:left w:val="nil"/>
          <w:bottom w:val="nil"/>
          <w:right w:val="nil"/>
          <w:between w:val="nil"/>
        </w:pBdr>
        <w:spacing w:line="240" w:lineRule="auto"/>
        <w:jc w:val="center"/>
        <w:rPr>
          <w:rFonts w:ascii="Public Sans" w:eastAsia="Public Sans" w:hAnsi="Public Sans" w:cs="Public Sans"/>
          <w:b/>
          <w:color w:val="3B5789"/>
          <w:sz w:val="24"/>
          <w:szCs w:val="24"/>
        </w:rPr>
      </w:pPr>
      <w:r>
        <w:rPr>
          <w:rFonts w:ascii="Public Sans" w:eastAsia="Public Sans" w:hAnsi="Public Sans" w:cs="Public Sans"/>
          <w:b/>
          <w:color w:val="3B5789"/>
          <w:sz w:val="24"/>
          <w:szCs w:val="24"/>
        </w:rPr>
        <w:t>Office of Government-wide Policy</w:t>
      </w:r>
    </w:p>
    <w:p w14:paraId="6FC61010" w14:textId="77777777" w:rsidR="001C3140" w:rsidRDefault="001C3140">
      <w:pPr>
        <w:pBdr>
          <w:top w:val="nil"/>
          <w:left w:val="nil"/>
          <w:bottom w:val="nil"/>
          <w:right w:val="nil"/>
          <w:between w:val="nil"/>
        </w:pBdr>
        <w:spacing w:line="240" w:lineRule="auto"/>
        <w:jc w:val="center"/>
        <w:rPr>
          <w:rFonts w:ascii="Public Sans" w:eastAsia="Public Sans" w:hAnsi="Public Sans" w:cs="Public Sans"/>
          <w:b/>
          <w:sz w:val="24"/>
          <w:szCs w:val="24"/>
        </w:rPr>
      </w:pPr>
    </w:p>
    <w:p w14:paraId="1C6334E5" w14:textId="77777777" w:rsidR="001C3140" w:rsidRDefault="00106761">
      <w:pPr>
        <w:pBdr>
          <w:top w:val="nil"/>
          <w:left w:val="nil"/>
          <w:bottom w:val="nil"/>
          <w:right w:val="nil"/>
          <w:between w:val="nil"/>
        </w:pBdr>
        <w:spacing w:line="240" w:lineRule="auto"/>
        <w:jc w:val="center"/>
        <w:rPr>
          <w:rFonts w:ascii="Public Sans" w:eastAsia="Public Sans" w:hAnsi="Public Sans" w:cs="Public Sans"/>
          <w:b/>
          <w:color w:val="3B5789"/>
          <w:sz w:val="24"/>
          <w:szCs w:val="24"/>
        </w:rPr>
      </w:pPr>
      <w:r>
        <w:br w:type="page"/>
      </w:r>
    </w:p>
    <w:p w14:paraId="4976B5A7" w14:textId="76BC14D5" w:rsidR="001C3140" w:rsidRPr="00F26CD3" w:rsidRDefault="00106761" w:rsidP="00F26CD3">
      <w:pPr>
        <w:pBdr>
          <w:top w:val="nil"/>
          <w:left w:val="nil"/>
          <w:bottom w:val="nil"/>
          <w:right w:val="nil"/>
          <w:between w:val="nil"/>
        </w:pBdr>
        <w:spacing w:line="240" w:lineRule="auto"/>
        <w:jc w:val="center"/>
        <w:rPr>
          <w:rFonts w:ascii="Public Sans" w:eastAsia="Public Sans" w:hAnsi="Public Sans" w:cs="Public Sans"/>
          <w:b/>
          <w:color w:val="3B5789"/>
          <w:sz w:val="28"/>
          <w:szCs w:val="28"/>
        </w:rPr>
      </w:pPr>
      <w:r>
        <w:rPr>
          <w:rFonts w:ascii="Public Sans" w:eastAsia="Public Sans" w:hAnsi="Public Sans" w:cs="Public Sans"/>
          <w:b/>
          <w:color w:val="3B5789"/>
          <w:sz w:val="28"/>
          <w:szCs w:val="28"/>
        </w:rPr>
        <w:lastRenderedPageBreak/>
        <w:t>Table of Contents</w:t>
      </w:r>
    </w:p>
    <w:sdt>
      <w:sdtPr>
        <w:id w:val="-1745256668"/>
        <w:docPartObj>
          <w:docPartGallery w:val="Table of Contents"/>
          <w:docPartUnique/>
        </w:docPartObj>
      </w:sdtPr>
      <w:sdtEndPr>
        <w:rPr>
          <w:b w:val="0"/>
          <w:bCs w:val="0"/>
          <w:noProof/>
        </w:rPr>
      </w:sdtEndPr>
      <w:sdtContent>
        <w:p w14:paraId="4FC1DD3E" w14:textId="2A5214F7" w:rsidR="003F66B4" w:rsidRDefault="00F26CD3">
          <w:pPr>
            <w:pStyle w:val="TOC1"/>
            <w:tabs>
              <w:tab w:val="right" w:leader="dot" w:pos="9350"/>
            </w:tabs>
            <w:rPr>
              <w:rFonts w:asciiTheme="minorHAnsi" w:eastAsiaTheme="minorEastAsia" w:hAnsiTheme="minorHAnsi" w:cstheme="minorBidi"/>
              <w:b w:val="0"/>
              <w:bCs w:val="0"/>
              <w:iCs w:val="0"/>
              <w:noProof/>
              <w:sz w:val="24"/>
            </w:rPr>
          </w:pPr>
          <w:r>
            <w:rPr>
              <w:bCs w:val="0"/>
            </w:rPr>
            <w:fldChar w:fldCharType="begin"/>
          </w:r>
          <w:r>
            <w:rPr>
              <w:bCs w:val="0"/>
            </w:rPr>
            <w:instrText xml:space="preserve"> TOC \o "1-2" \h \z \u </w:instrText>
          </w:r>
          <w:r>
            <w:rPr>
              <w:bCs w:val="0"/>
            </w:rPr>
            <w:fldChar w:fldCharType="separate"/>
          </w:r>
          <w:hyperlink w:anchor="_Toc67330354" w:history="1">
            <w:r w:rsidR="003F66B4" w:rsidRPr="00AD0076">
              <w:rPr>
                <w:rStyle w:val="Hyperlink"/>
                <w:rFonts w:ascii="Public Sans" w:eastAsia="Public Sans" w:hAnsi="Public Sans" w:cs="Public Sans"/>
                <w:noProof/>
              </w:rPr>
              <w:t>Timeline</w:t>
            </w:r>
            <w:r w:rsidR="003F66B4">
              <w:rPr>
                <w:noProof/>
                <w:webHidden/>
              </w:rPr>
              <w:tab/>
            </w:r>
            <w:r w:rsidR="003F66B4">
              <w:rPr>
                <w:noProof/>
                <w:webHidden/>
              </w:rPr>
              <w:fldChar w:fldCharType="begin"/>
            </w:r>
            <w:r w:rsidR="003F66B4">
              <w:rPr>
                <w:noProof/>
                <w:webHidden/>
              </w:rPr>
              <w:instrText xml:space="preserve"> PAGEREF _Toc67330354 \h </w:instrText>
            </w:r>
            <w:r w:rsidR="003F66B4">
              <w:rPr>
                <w:noProof/>
                <w:webHidden/>
              </w:rPr>
            </w:r>
            <w:r w:rsidR="003F66B4">
              <w:rPr>
                <w:noProof/>
                <w:webHidden/>
              </w:rPr>
              <w:fldChar w:fldCharType="separate"/>
            </w:r>
            <w:r w:rsidR="003F66B4">
              <w:rPr>
                <w:noProof/>
                <w:webHidden/>
              </w:rPr>
              <w:t>2</w:t>
            </w:r>
            <w:r w:rsidR="003F66B4">
              <w:rPr>
                <w:noProof/>
                <w:webHidden/>
              </w:rPr>
              <w:fldChar w:fldCharType="end"/>
            </w:r>
          </w:hyperlink>
        </w:p>
        <w:p w14:paraId="5B51832A" w14:textId="6CD4FA81" w:rsidR="003F66B4" w:rsidRDefault="006F14CA">
          <w:pPr>
            <w:pStyle w:val="TOC2"/>
            <w:tabs>
              <w:tab w:val="right" w:leader="dot" w:pos="9350"/>
            </w:tabs>
            <w:rPr>
              <w:rFonts w:asciiTheme="minorHAnsi" w:eastAsiaTheme="minorEastAsia" w:hAnsiTheme="minorHAnsi" w:cstheme="minorBidi"/>
              <w:bCs w:val="0"/>
              <w:noProof/>
              <w:sz w:val="24"/>
              <w:szCs w:val="24"/>
            </w:rPr>
          </w:pPr>
          <w:hyperlink w:anchor="_Toc67330355" w:history="1">
            <w:r w:rsidR="003F66B4" w:rsidRPr="00AD0076">
              <w:rPr>
                <w:rStyle w:val="Hyperlink"/>
                <w:rFonts w:ascii="Public Sans" w:eastAsia="Public Sans" w:hAnsi="Public Sans" w:cs="Public Sans"/>
                <w:noProof/>
              </w:rPr>
              <w:t>When is the timeline for upcoming releases and decommissioning?</w:t>
            </w:r>
            <w:r w:rsidR="003F66B4">
              <w:rPr>
                <w:noProof/>
                <w:webHidden/>
              </w:rPr>
              <w:tab/>
            </w:r>
            <w:r w:rsidR="003F66B4">
              <w:rPr>
                <w:noProof/>
                <w:webHidden/>
              </w:rPr>
              <w:fldChar w:fldCharType="begin"/>
            </w:r>
            <w:r w:rsidR="003F66B4">
              <w:rPr>
                <w:noProof/>
                <w:webHidden/>
              </w:rPr>
              <w:instrText xml:space="preserve"> PAGEREF _Toc67330355 \h </w:instrText>
            </w:r>
            <w:r w:rsidR="003F66B4">
              <w:rPr>
                <w:noProof/>
                <w:webHidden/>
              </w:rPr>
            </w:r>
            <w:r w:rsidR="003F66B4">
              <w:rPr>
                <w:noProof/>
                <w:webHidden/>
              </w:rPr>
              <w:fldChar w:fldCharType="separate"/>
            </w:r>
            <w:r w:rsidR="003F66B4">
              <w:rPr>
                <w:noProof/>
                <w:webHidden/>
              </w:rPr>
              <w:t>2</w:t>
            </w:r>
            <w:r w:rsidR="003F66B4">
              <w:rPr>
                <w:noProof/>
                <w:webHidden/>
              </w:rPr>
              <w:fldChar w:fldCharType="end"/>
            </w:r>
          </w:hyperlink>
        </w:p>
        <w:p w14:paraId="6121D4D2" w14:textId="33293A6F" w:rsidR="003F66B4" w:rsidRDefault="006F14CA">
          <w:pPr>
            <w:pStyle w:val="TOC1"/>
            <w:tabs>
              <w:tab w:val="right" w:leader="dot" w:pos="9350"/>
            </w:tabs>
            <w:rPr>
              <w:rFonts w:asciiTheme="minorHAnsi" w:eastAsiaTheme="minorEastAsia" w:hAnsiTheme="minorHAnsi" w:cstheme="minorBidi"/>
              <w:b w:val="0"/>
              <w:bCs w:val="0"/>
              <w:iCs w:val="0"/>
              <w:noProof/>
              <w:sz w:val="24"/>
            </w:rPr>
          </w:pPr>
          <w:hyperlink w:anchor="_Toc67330356" w:history="1">
            <w:r w:rsidR="003F66B4" w:rsidRPr="00AD0076">
              <w:rPr>
                <w:rStyle w:val="Hyperlink"/>
                <w:rFonts w:ascii="Public Sans" w:eastAsia="Public Sans" w:hAnsi="Public Sans" w:cs="Public Sans"/>
                <w:noProof/>
              </w:rPr>
              <w:t>Authorization</w:t>
            </w:r>
            <w:r w:rsidR="003F66B4">
              <w:rPr>
                <w:noProof/>
                <w:webHidden/>
              </w:rPr>
              <w:tab/>
            </w:r>
            <w:r w:rsidR="003F66B4">
              <w:rPr>
                <w:noProof/>
                <w:webHidden/>
              </w:rPr>
              <w:fldChar w:fldCharType="begin"/>
            </w:r>
            <w:r w:rsidR="003F66B4">
              <w:rPr>
                <w:noProof/>
                <w:webHidden/>
              </w:rPr>
              <w:instrText xml:space="preserve"> PAGEREF _Toc67330356 \h </w:instrText>
            </w:r>
            <w:r w:rsidR="003F66B4">
              <w:rPr>
                <w:noProof/>
                <w:webHidden/>
              </w:rPr>
            </w:r>
            <w:r w:rsidR="003F66B4">
              <w:rPr>
                <w:noProof/>
                <w:webHidden/>
              </w:rPr>
              <w:fldChar w:fldCharType="separate"/>
            </w:r>
            <w:r w:rsidR="003F66B4">
              <w:rPr>
                <w:noProof/>
                <w:webHidden/>
              </w:rPr>
              <w:t>2</w:t>
            </w:r>
            <w:r w:rsidR="003F66B4">
              <w:rPr>
                <w:noProof/>
                <w:webHidden/>
              </w:rPr>
              <w:fldChar w:fldCharType="end"/>
            </w:r>
          </w:hyperlink>
        </w:p>
        <w:p w14:paraId="69EE7213" w14:textId="5D927DD2" w:rsidR="003F66B4" w:rsidRDefault="006F14CA">
          <w:pPr>
            <w:pStyle w:val="TOC2"/>
            <w:tabs>
              <w:tab w:val="right" w:leader="dot" w:pos="9350"/>
            </w:tabs>
            <w:rPr>
              <w:rFonts w:asciiTheme="minorHAnsi" w:eastAsiaTheme="minorEastAsia" w:hAnsiTheme="minorHAnsi" w:cstheme="minorBidi"/>
              <w:bCs w:val="0"/>
              <w:noProof/>
              <w:sz w:val="24"/>
              <w:szCs w:val="24"/>
            </w:rPr>
          </w:pPr>
          <w:hyperlink w:anchor="_Toc67330357" w:history="1">
            <w:r w:rsidR="003F66B4" w:rsidRPr="00AD0076">
              <w:rPr>
                <w:rStyle w:val="Hyperlink"/>
                <w:rFonts w:ascii="Public Sans" w:eastAsia="Public Sans" w:hAnsi="Public Sans" w:cs="Public Sans"/>
                <w:noProof/>
              </w:rPr>
              <w:t>When will OAuth Authorization be Available?</w:t>
            </w:r>
            <w:r w:rsidR="003F66B4">
              <w:rPr>
                <w:noProof/>
                <w:webHidden/>
              </w:rPr>
              <w:tab/>
            </w:r>
            <w:r w:rsidR="003F66B4">
              <w:rPr>
                <w:noProof/>
                <w:webHidden/>
              </w:rPr>
              <w:fldChar w:fldCharType="begin"/>
            </w:r>
            <w:r w:rsidR="003F66B4">
              <w:rPr>
                <w:noProof/>
                <w:webHidden/>
              </w:rPr>
              <w:instrText xml:space="preserve"> PAGEREF _Toc67330357 \h </w:instrText>
            </w:r>
            <w:r w:rsidR="003F66B4">
              <w:rPr>
                <w:noProof/>
                <w:webHidden/>
              </w:rPr>
            </w:r>
            <w:r w:rsidR="003F66B4">
              <w:rPr>
                <w:noProof/>
                <w:webHidden/>
              </w:rPr>
              <w:fldChar w:fldCharType="separate"/>
            </w:r>
            <w:r w:rsidR="003F66B4">
              <w:rPr>
                <w:noProof/>
                <w:webHidden/>
              </w:rPr>
              <w:t>2</w:t>
            </w:r>
            <w:r w:rsidR="003F66B4">
              <w:rPr>
                <w:noProof/>
                <w:webHidden/>
              </w:rPr>
              <w:fldChar w:fldCharType="end"/>
            </w:r>
          </w:hyperlink>
        </w:p>
        <w:p w14:paraId="7B9B316B" w14:textId="54824045" w:rsidR="003F66B4" w:rsidRDefault="006F14CA">
          <w:pPr>
            <w:pStyle w:val="TOC2"/>
            <w:tabs>
              <w:tab w:val="right" w:leader="dot" w:pos="9350"/>
            </w:tabs>
            <w:rPr>
              <w:rFonts w:asciiTheme="minorHAnsi" w:eastAsiaTheme="minorEastAsia" w:hAnsiTheme="minorHAnsi" w:cstheme="minorBidi"/>
              <w:bCs w:val="0"/>
              <w:noProof/>
              <w:sz w:val="24"/>
              <w:szCs w:val="24"/>
            </w:rPr>
          </w:pPr>
          <w:hyperlink w:anchor="_Toc67330358" w:history="1">
            <w:r w:rsidR="003F66B4" w:rsidRPr="00AD0076">
              <w:rPr>
                <w:rStyle w:val="Hyperlink"/>
                <w:rFonts w:ascii="Public Sans" w:eastAsia="Public Sans" w:hAnsi="Public Sans" w:cs="Public Sans"/>
                <w:noProof/>
              </w:rPr>
              <w:t>Will users only be able to authenticate with a token from login.gov? Do users need to register for some new type of account or will they already have access?</w:t>
            </w:r>
            <w:r w:rsidR="003F66B4">
              <w:rPr>
                <w:noProof/>
                <w:webHidden/>
              </w:rPr>
              <w:tab/>
            </w:r>
            <w:r w:rsidR="003F66B4">
              <w:rPr>
                <w:noProof/>
                <w:webHidden/>
              </w:rPr>
              <w:fldChar w:fldCharType="begin"/>
            </w:r>
            <w:r w:rsidR="003F66B4">
              <w:rPr>
                <w:noProof/>
                <w:webHidden/>
              </w:rPr>
              <w:instrText xml:space="preserve"> PAGEREF _Toc67330358 \h </w:instrText>
            </w:r>
            <w:r w:rsidR="003F66B4">
              <w:rPr>
                <w:noProof/>
                <w:webHidden/>
              </w:rPr>
            </w:r>
            <w:r w:rsidR="003F66B4">
              <w:rPr>
                <w:noProof/>
                <w:webHidden/>
              </w:rPr>
              <w:fldChar w:fldCharType="separate"/>
            </w:r>
            <w:r w:rsidR="003F66B4">
              <w:rPr>
                <w:noProof/>
                <w:webHidden/>
              </w:rPr>
              <w:t>2</w:t>
            </w:r>
            <w:r w:rsidR="003F66B4">
              <w:rPr>
                <w:noProof/>
                <w:webHidden/>
              </w:rPr>
              <w:fldChar w:fldCharType="end"/>
            </w:r>
          </w:hyperlink>
        </w:p>
        <w:p w14:paraId="0BC3D301" w14:textId="27433610" w:rsidR="003F66B4" w:rsidRDefault="006F14CA">
          <w:pPr>
            <w:pStyle w:val="TOC1"/>
            <w:tabs>
              <w:tab w:val="right" w:leader="dot" w:pos="9350"/>
            </w:tabs>
            <w:rPr>
              <w:rFonts w:asciiTheme="minorHAnsi" w:eastAsiaTheme="minorEastAsia" w:hAnsiTheme="minorHAnsi" w:cstheme="minorBidi"/>
              <w:b w:val="0"/>
              <w:bCs w:val="0"/>
              <w:iCs w:val="0"/>
              <w:noProof/>
              <w:sz w:val="24"/>
            </w:rPr>
          </w:pPr>
          <w:hyperlink w:anchor="_Toc67330359" w:history="1">
            <w:r w:rsidR="003F66B4" w:rsidRPr="00AD0076">
              <w:rPr>
                <w:rStyle w:val="Hyperlink"/>
                <w:rFonts w:ascii="Public Sans" w:eastAsia="Public Sans" w:hAnsi="Public Sans" w:cs="Public Sans"/>
                <w:noProof/>
              </w:rPr>
              <w:t>Data Architecture / API Schema</w:t>
            </w:r>
            <w:r w:rsidR="003F66B4">
              <w:rPr>
                <w:noProof/>
                <w:webHidden/>
              </w:rPr>
              <w:tab/>
            </w:r>
            <w:r w:rsidR="003F66B4">
              <w:rPr>
                <w:noProof/>
                <w:webHidden/>
              </w:rPr>
              <w:fldChar w:fldCharType="begin"/>
            </w:r>
            <w:r w:rsidR="003F66B4">
              <w:rPr>
                <w:noProof/>
                <w:webHidden/>
              </w:rPr>
              <w:instrText xml:space="preserve"> PAGEREF _Toc67330359 \h </w:instrText>
            </w:r>
            <w:r w:rsidR="003F66B4">
              <w:rPr>
                <w:noProof/>
                <w:webHidden/>
              </w:rPr>
            </w:r>
            <w:r w:rsidR="003F66B4">
              <w:rPr>
                <w:noProof/>
                <w:webHidden/>
              </w:rPr>
              <w:fldChar w:fldCharType="separate"/>
            </w:r>
            <w:r w:rsidR="003F66B4">
              <w:rPr>
                <w:noProof/>
                <w:webHidden/>
              </w:rPr>
              <w:t>2</w:t>
            </w:r>
            <w:r w:rsidR="003F66B4">
              <w:rPr>
                <w:noProof/>
                <w:webHidden/>
              </w:rPr>
              <w:fldChar w:fldCharType="end"/>
            </w:r>
          </w:hyperlink>
        </w:p>
        <w:p w14:paraId="72828E06" w14:textId="03316D57" w:rsidR="003F66B4" w:rsidRDefault="006F14CA">
          <w:pPr>
            <w:pStyle w:val="TOC2"/>
            <w:tabs>
              <w:tab w:val="right" w:leader="dot" w:pos="9350"/>
            </w:tabs>
            <w:rPr>
              <w:rFonts w:asciiTheme="minorHAnsi" w:eastAsiaTheme="minorEastAsia" w:hAnsiTheme="minorHAnsi" w:cstheme="minorBidi"/>
              <w:bCs w:val="0"/>
              <w:noProof/>
              <w:sz w:val="24"/>
              <w:szCs w:val="24"/>
            </w:rPr>
          </w:pPr>
          <w:hyperlink w:anchor="_Toc67330360" w:history="1">
            <w:r w:rsidR="003F66B4" w:rsidRPr="00AD0076">
              <w:rPr>
                <w:rStyle w:val="Hyperlink"/>
                <w:rFonts w:ascii="Public Sans" w:eastAsia="Public Sans" w:hAnsi="Public Sans" w:cs="Public Sans"/>
                <w:noProof/>
              </w:rPr>
              <w:t>How does IT Collect’s data architecture differ from ITDB’s implementation?</w:t>
            </w:r>
            <w:r w:rsidR="003F66B4">
              <w:rPr>
                <w:noProof/>
                <w:webHidden/>
              </w:rPr>
              <w:tab/>
            </w:r>
            <w:r w:rsidR="003F66B4">
              <w:rPr>
                <w:noProof/>
                <w:webHidden/>
              </w:rPr>
              <w:fldChar w:fldCharType="begin"/>
            </w:r>
            <w:r w:rsidR="003F66B4">
              <w:rPr>
                <w:noProof/>
                <w:webHidden/>
              </w:rPr>
              <w:instrText xml:space="preserve"> PAGEREF _Toc67330360 \h </w:instrText>
            </w:r>
            <w:r w:rsidR="003F66B4">
              <w:rPr>
                <w:noProof/>
                <w:webHidden/>
              </w:rPr>
            </w:r>
            <w:r w:rsidR="003F66B4">
              <w:rPr>
                <w:noProof/>
                <w:webHidden/>
              </w:rPr>
              <w:fldChar w:fldCharType="separate"/>
            </w:r>
            <w:r w:rsidR="003F66B4">
              <w:rPr>
                <w:noProof/>
                <w:webHidden/>
              </w:rPr>
              <w:t>2</w:t>
            </w:r>
            <w:r w:rsidR="003F66B4">
              <w:rPr>
                <w:noProof/>
                <w:webHidden/>
              </w:rPr>
              <w:fldChar w:fldCharType="end"/>
            </w:r>
          </w:hyperlink>
        </w:p>
        <w:p w14:paraId="158F7305" w14:textId="796F0982" w:rsidR="003F66B4" w:rsidRDefault="006F14CA">
          <w:pPr>
            <w:pStyle w:val="TOC2"/>
            <w:tabs>
              <w:tab w:val="right" w:leader="dot" w:pos="9350"/>
            </w:tabs>
            <w:rPr>
              <w:rFonts w:asciiTheme="minorHAnsi" w:eastAsiaTheme="minorEastAsia" w:hAnsiTheme="minorHAnsi" w:cstheme="minorBidi"/>
              <w:bCs w:val="0"/>
              <w:noProof/>
              <w:sz w:val="24"/>
              <w:szCs w:val="24"/>
            </w:rPr>
          </w:pPr>
          <w:hyperlink w:anchor="_Toc67330361" w:history="1">
            <w:r w:rsidR="003F66B4" w:rsidRPr="00AD0076">
              <w:rPr>
                <w:rStyle w:val="Hyperlink"/>
                <w:rFonts w:ascii="Public Sans" w:eastAsia="Public Sans" w:hAnsi="Public Sans" w:cs="Public Sans"/>
                <w:noProof/>
              </w:rPr>
              <w:t>Will User Roles still exist in IT Collect?</w:t>
            </w:r>
            <w:r w:rsidR="003F66B4">
              <w:rPr>
                <w:noProof/>
                <w:webHidden/>
              </w:rPr>
              <w:tab/>
            </w:r>
            <w:r w:rsidR="003F66B4">
              <w:rPr>
                <w:noProof/>
                <w:webHidden/>
              </w:rPr>
              <w:fldChar w:fldCharType="begin"/>
            </w:r>
            <w:r w:rsidR="003F66B4">
              <w:rPr>
                <w:noProof/>
                <w:webHidden/>
              </w:rPr>
              <w:instrText xml:space="preserve"> PAGEREF _Toc67330361 \h </w:instrText>
            </w:r>
            <w:r w:rsidR="003F66B4">
              <w:rPr>
                <w:noProof/>
                <w:webHidden/>
              </w:rPr>
            </w:r>
            <w:r w:rsidR="003F66B4">
              <w:rPr>
                <w:noProof/>
                <w:webHidden/>
              </w:rPr>
              <w:fldChar w:fldCharType="separate"/>
            </w:r>
            <w:r w:rsidR="003F66B4">
              <w:rPr>
                <w:noProof/>
                <w:webHidden/>
              </w:rPr>
              <w:t>3</w:t>
            </w:r>
            <w:r w:rsidR="003F66B4">
              <w:rPr>
                <w:noProof/>
                <w:webHidden/>
              </w:rPr>
              <w:fldChar w:fldCharType="end"/>
            </w:r>
          </w:hyperlink>
        </w:p>
        <w:p w14:paraId="3B3C3D97" w14:textId="6D1FE8AB" w:rsidR="003F66B4" w:rsidRDefault="006F14CA">
          <w:pPr>
            <w:pStyle w:val="TOC2"/>
            <w:tabs>
              <w:tab w:val="right" w:leader="dot" w:pos="9350"/>
            </w:tabs>
            <w:rPr>
              <w:rFonts w:asciiTheme="minorHAnsi" w:eastAsiaTheme="minorEastAsia" w:hAnsiTheme="minorHAnsi" w:cstheme="minorBidi"/>
              <w:bCs w:val="0"/>
              <w:noProof/>
              <w:sz w:val="24"/>
              <w:szCs w:val="24"/>
            </w:rPr>
          </w:pPr>
          <w:hyperlink w:anchor="_Toc67330362" w:history="1">
            <w:r w:rsidR="003F66B4" w:rsidRPr="00AD0076">
              <w:rPr>
                <w:rStyle w:val="Hyperlink"/>
                <w:rFonts w:ascii="Public Sans" w:eastAsia="Public Sans" w:hAnsi="Public Sans" w:cs="Public Sans"/>
                <w:noProof/>
              </w:rPr>
              <w:t>What is the token refresh rate?</w:t>
            </w:r>
            <w:r w:rsidR="003F66B4">
              <w:rPr>
                <w:noProof/>
                <w:webHidden/>
              </w:rPr>
              <w:tab/>
            </w:r>
            <w:r w:rsidR="003F66B4">
              <w:rPr>
                <w:noProof/>
                <w:webHidden/>
              </w:rPr>
              <w:fldChar w:fldCharType="begin"/>
            </w:r>
            <w:r w:rsidR="003F66B4">
              <w:rPr>
                <w:noProof/>
                <w:webHidden/>
              </w:rPr>
              <w:instrText xml:space="preserve"> PAGEREF _Toc67330362 \h </w:instrText>
            </w:r>
            <w:r w:rsidR="003F66B4">
              <w:rPr>
                <w:noProof/>
                <w:webHidden/>
              </w:rPr>
            </w:r>
            <w:r w:rsidR="003F66B4">
              <w:rPr>
                <w:noProof/>
                <w:webHidden/>
              </w:rPr>
              <w:fldChar w:fldCharType="separate"/>
            </w:r>
            <w:r w:rsidR="003F66B4">
              <w:rPr>
                <w:noProof/>
                <w:webHidden/>
              </w:rPr>
              <w:t>3</w:t>
            </w:r>
            <w:r w:rsidR="003F66B4">
              <w:rPr>
                <w:noProof/>
                <w:webHidden/>
              </w:rPr>
              <w:fldChar w:fldCharType="end"/>
            </w:r>
          </w:hyperlink>
        </w:p>
        <w:p w14:paraId="11139B3B" w14:textId="1A1D1019" w:rsidR="003F66B4" w:rsidRDefault="006F14CA">
          <w:pPr>
            <w:pStyle w:val="TOC2"/>
            <w:tabs>
              <w:tab w:val="right" w:leader="dot" w:pos="9350"/>
            </w:tabs>
            <w:rPr>
              <w:rFonts w:asciiTheme="minorHAnsi" w:eastAsiaTheme="minorEastAsia" w:hAnsiTheme="minorHAnsi" w:cstheme="minorBidi"/>
              <w:bCs w:val="0"/>
              <w:noProof/>
              <w:sz w:val="24"/>
              <w:szCs w:val="24"/>
            </w:rPr>
          </w:pPr>
          <w:hyperlink w:anchor="_Toc67330363" w:history="1">
            <w:r w:rsidR="003F66B4" w:rsidRPr="00AD0076">
              <w:rPr>
                <w:rStyle w:val="Hyperlink"/>
                <w:rFonts w:ascii="Public Sans" w:eastAsia="Public Sans" w:hAnsi="Public Sans" w:cs="Public Sans"/>
                <w:noProof/>
              </w:rPr>
              <w:t>How will the new service architecture impact AITPS (Agency IT Portfolio Summary) submissions, and how will that process change?</w:t>
            </w:r>
            <w:r w:rsidR="003F66B4">
              <w:rPr>
                <w:noProof/>
                <w:webHidden/>
              </w:rPr>
              <w:tab/>
            </w:r>
            <w:r w:rsidR="003F66B4">
              <w:rPr>
                <w:noProof/>
                <w:webHidden/>
              </w:rPr>
              <w:fldChar w:fldCharType="begin"/>
            </w:r>
            <w:r w:rsidR="003F66B4">
              <w:rPr>
                <w:noProof/>
                <w:webHidden/>
              </w:rPr>
              <w:instrText xml:space="preserve"> PAGEREF _Toc67330363 \h </w:instrText>
            </w:r>
            <w:r w:rsidR="003F66B4">
              <w:rPr>
                <w:noProof/>
                <w:webHidden/>
              </w:rPr>
            </w:r>
            <w:r w:rsidR="003F66B4">
              <w:rPr>
                <w:noProof/>
                <w:webHidden/>
              </w:rPr>
              <w:fldChar w:fldCharType="separate"/>
            </w:r>
            <w:r w:rsidR="003F66B4">
              <w:rPr>
                <w:noProof/>
                <w:webHidden/>
              </w:rPr>
              <w:t>3</w:t>
            </w:r>
            <w:r w:rsidR="003F66B4">
              <w:rPr>
                <w:noProof/>
                <w:webHidden/>
              </w:rPr>
              <w:fldChar w:fldCharType="end"/>
            </w:r>
          </w:hyperlink>
        </w:p>
        <w:p w14:paraId="3836E3F3" w14:textId="0ACC0E4A" w:rsidR="003F66B4" w:rsidRDefault="006F14CA">
          <w:pPr>
            <w:pStyle w:val="TOC1"/>
            <w:tabs>
              <w:tab w:val="right" w:leader="dot" w:pos="9350"/>
            </w:tabs>
            <w:rPr>
              <w:rFonts w:asciiTheme="minorHAnsi" w:eastAsiaTheme="minorEastAsia" w:hAnsiTheme="minorHAnsi" w:cstheme="minorBidi"/>
              <w:b w:val="0"/>
              <w:bCs w:val="0"/>
              <w:iCs w:val="0"/>
              <w:noProof/>
              <w:sz w:val="24"/>
            </w:rPr>
          </w:pPr>
          <w:hyperlink w:anchor="_Toc67330364" w:history="1">
            <w:r w:rsidR="003F66B4" w:rsidRPr="00AD0076">
              <w:rPr>
                <w:rStyle w:val="Hyperlink"/>
                <w:rFonts w:ascii="Public Sans" w:eastAsia="Public Sans" w:hAnsi="Public Sans" w:cs="Public Sans"/>
                <w:noProof/>
              </w:rPr>
              <w:t>Validations &amp; Errors</w:t>
            </w:r>
            <w:r w:rsidR="003F66B4">
              <w:rPr>
                <w:noProof/>
                <w:webHidden/>
              </w:rPr>
              <w:tab/>
            </w:r>
            <w:r w:rsidR="003F66B4">
              <w:rPr>
                <w:noProof/>
                <w:webHidden/>
              </w:rPr>
              <w:fldChar w:fldCharType="begin"/>
            </w:r>
            <w:r w:rsidR="003F66B4">
              <w:rPr>
                <w:noProof/>
                <w:webHidden/>
              </w:rPr>
              <w:instrText xml:space="preserve"> PAGEREF _Toc67330364 \h </w:instrText>
            </w:r>
            <w:r w:rsidR="003F66B4">
              <w:rPr>
                <w:noProof/>
                <w:webHidden/>
              </w:rPr>
            </w:r>
            <w:r w:rsidR="003F66B4">
              <w:rPr>
                <w:noProof/>
                <w:webHidden/>
              </w:rPr>
              <w:fldChar w:fldCharType="separate"/>
            </w:r>
            <w:r w:rsidR="003F66B4">
              <w:rPr>
                <w:noProof/>
                <w:webHidden/>
              </w:rPr>
              <w:t>4</w:t>
            </w:r>
            <w:r w:rsidR="003F66B4">
              <w:rPr>
                <w:noProof/>
                <w:webHidden/>
              </w:rPr>
              <w:fldChar w:fldCharType="end"/>
            </w:r>
          </w:hyperlink>
        </w:p>
        <w:p w14:paraId="2CD3BFFD" w14:textId="1B15D2D0" w:rsidR="003F66B4" w:rsidRDefault="006F14CA">
          <w:pPr>
            <w:pStyle w:val="TOC2"/>
            <w:tabs>
              <w:tab w:val="right" w:leader="dot" w:pos="9350"/>
            </w:tabs>
            <w:rPr>
              <w:rFonts w:asciiTheme="minorHAnsi" w:eastAsiaTheme="minorEastAsia" w:hAnsiTheme="minorHAnsi" w:cstheme="minorBidi"/>
              <w:bCs w:val="0"/>
              <w:noProof/>
              <w:sz w:val="24"/>
              <w:szCs w:val="24"/>
            </w:rPr>
          </w:pPr>
          <w:hyperlink w:anchor="_Toc67330365" w:history="1">
            <w:r w:rsidR="003F66B4" w:rsidRPr="00AD0076">
              <w:rPr>
                <w:rStyle w:val="Hyperlink"/>
                <w:rFonts w:ascii="Public Sans" w:eastAsia="Public Sans" w:hAnsi="Public Sans" w:cs="Public Sans"/>
                <w:noProof/>
              </w:rPr>
              <w:t>Is IT Collect going to have a validate-only indicator?</w:t>
            </w:r>
            <w:r w:rsidR="003F66B4">
              <w:rPr>
                <w:noProof/>
                <w:webHidden/>
              </w:rPr>
              <w:tab/>
            </w:r>
            <w:r w:rsidR="003F66B4">
              <w:rPr>
                <w:noProof/>
                <w:webHidden/>
              </w:rPr>
              <w:fldChar w:fldCharType="begin"/>
            </w:r>
            <w:r w:rsidR="003F66B4">
              <w:rPr>
                <w:noProof/>
                <w:webHidden/>
              </w:rPr>
              <w:instrText xml:space="preserve"> PAGEREF _Toc67330365 \h </w:instrText>
            </w:r>
            <w:r w:rsidR="003F66B4">
              <w:rPr>
                <w:noProof/>
                <w:webHidden/>
              </w:rPr>
            </w:r>
            <w:r w:rsidR="003F66B4">
              <w:rPr>
                <w:noProof/>
                <w:webHidden/>
              </w:rPr>
              <w:fldChar w:fldCharType="separate"/>
            </w:r>
            <w:r w:rsidR="003F66B4">
              <w:rPr>
                <w:noProof/>
                <w:webHidden/>
              </w:rPr>
              <w:t>4</w:t>
            </w:r>
            <w:r w:rsidR="003F66B4">
              <w:rPr>
                <w:noProof/>
                <w:webHidden/>
              </w:rPr>
              <w:fldChar w:fldCharType="end"/>
            </w:r>
          </w:hyperlink>
        </w:p>
        <w:p w14:paraId="5279172A" w14:textId="26B369AA" w:rsidR="003F66B4" w:rsidRDefault="006F14CA">
          <w:pPr>
            <w:pStyle w:val="TOC2"/>
            <w:tabs>
              <w:tab w:val="right" w:leader="dot" w:pos="9350"/>
            </w:tabs>
            <w:rPr>
              <w:rFonts w:asciiTheme="minorHAnsi" w:eastAsiaTheme="minorEastAsia" w:hAnsiTheme="minorHAnsi" w:cstheme="minorBidi"/>
              <w:bCs w:val="0"/>
              <w:noProof/>
              <w:sz w:val="24"/>
              <w:szCs w:val="24"/>
            </w:rPr>
          </w:pPr>
          <w:hyperlink w:anchor="_Toc67330366" w:history="1">
            <w:r w:rsidR="003F66B4" w:rsidRPr="00AD0076">
              <w:rPr>
                <w:rStyle w:val="Hyperlink"/>
                <w:rFonts w:ascii="Public Sans" w:eastAsia="Public Sans" w:hAnsi="Public Sans" w:cs="Public Sans"/>
                <w:noProof/>
              </w:rPr>
              <w:t>How descriptive will error codes be?</w:t>
            </w:r>
            <w:r w:rsidR="003F66B4">
              <w:rPr>
                <w:noProof/>
                <w:webHidden/>
              </w:rPr>
              <w:tab/>
            </w:r>
            <w:r w:rsidR="003F66B4">
              <w:rPr>
                <w:noProof/>
                <w:webHidden/>
              </w:rPr>
              <w:fldChar w:fldCharType="begin"/>
            </w:r>
            <w:r w:rsidR="003F66B4">
              <w:rPr>
                <w:noProof/>
                <w:webHidden/>
              </w:rPr>
              <w:instrText xml:space="preserve"> PAGEREF _Toc67330366 \h </w:instrText>
            </w:r>
            <w:r w:rsidR="003F66B4">
              <w:rPr>
                <w:noProof/>
                <w:webHidden/>
              </w:rPr>
            </w:r>
            <w:r w:rsidR="003F66B4">
              <w:rPr>
                <w:noProof/>
                <w:webHidden/>
              </w:rPr>
              <w:fldChar w:fldCharType="separate"/>
            </w:r>
            <w:r w:rsidR="003F66B4">
              <w:rPr>
                <w:noProof/>
                <w:webHidden/>
              </w:rPr>
              <w:t>4</w:t>
            </w:r>
            <w:r w:rsidR="003F66B4">
              <w:rPr>
                <w:noProof/>
                <w:webHidden/>
              </w:rPr>
              <w:fldChar w:fldCharType="end"/>
            </w:r>
          </w:hyperlink>
        </w:p>
        <w:p w14:paraId="0A7A8053" w14:textId="4D756A8B" w:rsidR="003F66B4" w:rsidRDefault="006F14CA">
          <w:pPr>
            <w:pStyle w:val="TOC1"/>
            <w:tabs>
              <w:tab w:val="right" w:leader="dot" w:pos="9350"/>
            </w:tabs>
            <w:rPr>
              <w:rFonts w:asciiTheme="minorHAnsi" w:eastAsiaTheme="minorEastAsia" w:hAnsiTheme="minorHAnsi" w:cstheme="minorBidi"/>
              <w:b w:val="0"/>
              <w:bCs w:val="0"/>
              <w:iCs w:val="0"/>
              <w:noProof/>
              <w:sz w:val="24"/>
            </w:rPr>
          </w:pPr>
          <w:hyperlink w:anchor="_Toc67330367" w:history="1">
            <w:r w:rsidR="003F66B4" w:rsidRPr="00AD0076">
              <w:rPr>
                <w:rStyle w:val="Hyperlink"/>
                <w:rFonts w:ascii="Public Sans" w:eastAsia="Public Sans" w:hAnsi="Public Sans" w:cs="Public Sans"/>
                <w:noProof/>
              </w:rPr>
              <w:t>Documentation</w:t>
            </w:r>
            <w:r w:rsidR="003F66B4">
              <w:rPr>
                <w:noProof/>
                <w:webHidden/>
              </w:rPr>
              <w:tab/>
            </w:r>
            <w:r w:rsidR="003F66B4">
              <w:rPr>
                <w:noProof/>
                <w:webHidden/>
              </w:rPr>
              <w:fldChar w:fldCharType="begin"/>
            </w:r>
            <w:r w:rsidR="003F66B4">
              <w:rPr>
                <w:noProof/>
                <w:webHidden/>
              </w:rPr>
              <w:instrText xml:space="preserve"> PAGEREF _Toc67330367 \h </w:instrText>
            </w:r>
            <w:r w:rsidR="003F66B4">
              <w:rPr>
                <w:noProof/>
                <w:webHidden/>
              </w:rPr>
            </w:r>
            <w:r w:rsidR="003F66B4">
              <w:rPr>
                <w:noProof/>
                <w:webHidden/>
              </w:rPr>
              <w:fldChar w:fldCharType="separate"/>
            </w:r>
            <w:r w:rsidR="003F66B4">
              <w:rPr>
                <w:noProof/>
                <w:webHidden/>
              </w:rPr>
              <w:t>4</w:t>
            </w:r>
            <w:r w:rsidR="003F66B4">
              <w:rPr>
                <w:noProof/>
                <w:webHidden/>
              </w:rPr>
              <w:fldChar w:fldCharType="end"/>
            </w:r>
          </w:hyperlink>
        </w:p>
        <w:p w14:paraId="1899B05E" w14:textId="192B0131" w:rsidR="003F66B4" w:rsidRDefault="006F14CA">
          <w:pPr>
            <w:pStyle w:val="TOC2"/>
            <w:tabs>
              <w:tab w:val="right" w:leader="dot" w:pos="9350"/>
            </w:tabs>
            <w:rPr>
              <w:rFonts w:asciiTheme="minorHAnsi" w:eastAsiaTheme="minorEastAsia" w:hAnsiTheme="minorHAnsi" w:cstheme="minorBidi"/>
              <w:bCs w:val="0"/>
              <w:noProof/>
              <w:sz w:val="24"/>
              <w:szCs w:val="24"/>
            </w:rPr>
          </w:pPr>
          <w:hyperlink w:anchor="_Toc67330368" w:history="1">
            <w:r w:rsidR="003F66B4" w:rsidRPr="00AD0076">
              <w:rPr>
                <w:rStyle w:val="Hyperlink"/>
                <w:rFonts w:ascii="Public Sans" w:eastAsia="Public Sans" w:hAnsi="Public Sans" w:cs="Public Sans"/>
                <w:noProof/>
              </w:rPr>
              <w:t>When will there be a final version of the documentation?</w:t>
            </w:r>
            <w:r w:rsidR="003F66B4">
              <w:rPr>
                <w:noProof/>
                <w:webHidden/>
              </w:rPr>
              <w:tab/>
            </w:r>
            <w:r w:rsidR="003F66B4">
              <w:rPr>
                <w:noProof/>
                <w:webHidden/>
              </w:rPr>
              <w:fldChar w:fldCharType="begin"/>
            </w:r>
            <w:r w:rsidR="003F66B4">
              <w:rPr>
                <w:noProof/>
                <w:webHidden/>
              </w:rPr>
              <w:instrText xml:space="preserve"> PAGEREF _Toc67330368 \h </w:instrText>
            </w:r>
            <w:r w:rsidR="003F66B4">
              <w:rPr>
                <w:noProof/>
                <w:webHidden/>
              </w:rPr>
            </w:r>
            <w:r w:rsidR="003F66B4">
              <w:rPr>
                <w:noProof/>
                <w:webHidden/>
              </w:rPr>
              <w:fldChar w:fldCharType="separate"/>
            </w:r>
            <w:r w:rsidR="003F66B4">
              <w:rPr>
                <w:noProof/>
                <w:webHidden/>
              </w:rPr>
              <w:t>4</w:t>
            </w:r>
            <w:r w:rsidR="003F66B4">
              <w:rPr>
                <w:noProof/>
                <w:webHidden/>
              </w:rPr>
              <w:fldChar w:fldCharType="end"/>
            </w:r>
          </w:hyperlink>
        </w:p>
        <w:p w14:paraId="5B0FD32C" w14:textId="0DA63246" w:rsidR="003F66B4" w:rsidRDefault="006F14CA">
          <w:pPr>
            <w:pStyle w:val="TOC2"/>
            <w:tabs>
              <w:tab w:val="right" w:leader="dot" w:pos="9350"/>
            </w:tabs>
            <w:rPr>
              <w:rFonts w:asciiTheme="minorHAnsi" w:eastAsiaTheme="minorEastAsia" w:hAnsiTheme="minorHAnsi" w:cstheme="minorBidi"/>
              <w:bCs w:val="0"/>
              <w:noProof/>
              <w:sz w:val="24"/>
              <w:szCs w:val="24"/>
            </w:rPr>
          </w:pPr>
          <w:hyperlink w:anchor="_Toc67330369" w:history="1">
            <w:r w:rsidR="003F66B4" w:rsidRPr="00AD0076">
              <w:rPr>
                <w:rStyle w:val="Hyperlink"/>
                <w:rFonts w:ascii="Public Sans" w:eastAsia="Public Sans" w:hAnsi="Public Sans" w:cs="Public Sans"/>
                <w:noProof/>
              </w:rPr>
              <w:t>What can my agency do in the meantime to prepare for the IT Collect release, if only the documentation is available now?</w:t>
            </w:r>
            <w:r w:rsidR="003F66B4">
              <w:rPr>
                <w:noProof/>
                <w:webHidden/>
              </w:rPr>
              <w:tab/>
            </w:r>
            <w:r w:rsidR="003F66B4">
              <w:rPr>
                <w:noProof/>
                <w:webHidden/>
              </w:rPr>
              <w:fldChar w:fldCharType="begin"/>
            </w:r>
            <w:r w:rsidR="003F66B4">
              <w:rPr>
                <w:noProof/>
                <w:webHidden/>
              </w:rPr>
              <w:instrText xml:space="preserve"> PAGEREF _Toc67330369 \h </w:instrText>
            </w:r>
            <w:r w:rsidR="003F66B4">
              <w:rPr>
                <w:noProof/>
                <w:webHidden/>
              </w:rPr>
            </w:r>
            <w:r w:rsidR="003F66B4">
              <w:rPr>
                <w:noProof/>
                <w:webHidden/>
              </w:rPr>
              <w:fldChar w:fldCharType="separate"/>
            </w:r>
            <w:r w:rsidR="003F66B4">
              <w:rPr>
                <w:noProof/>
                <w:webHidden/>
              </w:rPr>
              <w:t>4</w:t>
            </w:r>
            <w:r w:rsidR="003F66B4">
              <w:rPr>
                <w:noProof/>
                <w:webHidden/>
              </w:rPr>
              <w:fldChar w:fldCharType="end"/>
            </w:r>
          </w:hyperlink>
        </w:p>
        <w:p w14:paraId="092534B3" w14:textId="540140CD" w:rsidR="003F66B4" w:rsidRDefault="006F14CA">
          <w:pPr>
            <w:pStyle w:val="TOC1"/>
            <w:tabs>
              <w:tab w:val="right" w:leader="dot" w:pos="9350"/>
            </w:tabs>
            <w:rPr>
              <w:rFonts w:asciiTheme="minorHAnsi" w:eastAsiaTheme="minorEastAsia" w:hAnsiTheme="minorHAnsi" w:cstheme="minorBidi"/>
              <w:b w:val="0"/>
              <w:bCs w:val="0"/>
              <w:iCs w:val="0"/>
              <w:noProof/>
              <w:sz w:val="24"/>
            </w:rPr>
          </w:pPr>
          <w:hyperlink w:anchor="_Toc67330370" w:history="1">
            <w:r w:rsidR="003F66B4" w:rsidRPr="00AD0076">
              <w:rPr>
                <w:rStyle w:val="Hyperlink"/>
                <w:rFonts w:ascii="Public Sans" w:eastAsia="Public Sans" w:hAnsi="Public Sans" w:cs="Public Sans"/>
                <w:noProof/>
              </w:rPr>
              <w:t>Submissions</w:t>
            </w:r>
            <w:r w:rsidR="003F66B4">
              <w:rPr>
                <w:noProof/>
                <w:webHidden/>
              </w:rPr>
              <w:tab/>
            </w:r>
            <w:r w:rsidR="003F66B4">
              <w:rPr>
                <w:noProof/>
                <w:webHidden/>
              </w:rPr>
              <w:fldChar w:fldCharType="begin"/>
            </w:r>
            <w:r w:rsidR="003F66B4">
              <w:rPr>
                <w:noProof/>
                <w:webHidden/>
              </w:rPr>
              <w:instrText xml:space="preserve"> PAGEREF _Toc67330370 \h </w:instrText>
            </w:r>
            <w:r w:rsidR="003F66B4">
              <w:rPr>
                <w:noProof/>
                <w:webHidden/>
              </w:rPr>
            </w:r>
            <w:r w:rsidR="003F66B4">
              <w:rPr>
                <w:noProof/>
                <w:webHidden/>
              </w:rPr>
              <w:fldChar w:fldCharType="separate"/>
            </w:r>
            <w:r w:rsidR="003F66B4">
              <w:rPr>
                <w:noProof/>
                <w:webHidden/>
              </w:rPr>
              <w:t>4</w:t>
            </w:r>
            <w:r w:rsidR="003F66B4">
              <w:rPr>
                <w:noProof/>
                <w:webHidden/>
              </w:rPr>
              <w:fldChar w:fldCharType="end"/>
            </w:r>
          </w:hyperlink>
        </w:p>
        <w:p w14:paraId="73637836" w14:textId="2DA716A8" w:rsidR="003F66B4" w:rsidRDefault="006F14CA">
          <w:pPr>
            <w:pStyle w:val="TOC2"/>
            <w:tabs>
              <w:tab w:val="right" w:leader="dot" w:pos="9350"/>
            </w:tabs>
            <w:rPr>
              <w:rFonts w:asciiTheme="minorHAnsi" w:eastAsiaTheme="minorEastAsia" w:hAnsiTheme="minorHAnsi" w:cstheme="minorBidi"/>
              <w:bCs w:val="0"/>
              <w:noProof/>
              <w:sz w:val="24"/>
              <w:szCs w:val="24"/>
            </w:rPr>
          </w:pPr>
          <w:hyperlink w:anchor="_Toc67330371" w:history="1">
            <w:r w:rsidR="003F66B4" w:rsidRPr="00AD0076">
              <w:rPr>
                <w:rStyle w:val="Hyperlink"/>
                <w:rFonts w:ascii="Public Sans" w:eastAsia="Public Sans" w:hAnsi="Public Sans" w:cs="Public Sans"/>
                <w:noProof/>
              </w:rPr>
              <w:t>Can multiple investments be submitted at one time? Will there be multiple responses (one for each submission)?</w:t>
            </w:r>
            <w:r w:rsidR="003F66B4">
              <w:rPr>
                <w:noProof/>
                <w:webHidden/>
              </w:rPr>
              <w:tab/>
            </w:r>
            <w:r w:rsidR="003F66B4">
              <w:rPr>
                <w:noProof/>
                <w:webHidden/>
              </w:rPr>
              <w:fldChar w:fldCharType="begin"/>
            </w:r>
            <w:r w:rsidR="003F66B4">
              <w:rPr>
                <w:noProof/>
                <w:webHidden/>
              </w:rPr>
              <w:instrText xml:space="preserve"> PAGEREF _Toc67330371 \h </w:instrText>
            </w:r>
            <w:r w:rsidR="003F66B4">
              <w:rPr>
                <w:noProof/>
                <w:webHidden/>
              </w:rPr>
            </w:r>
            <w:r w:rsidR="003F66B4">
              <w:rPr>
                <w:noProof/>
                <w:webHidden/>
              </w:rPr>
              <w:fldChar w:fldCharType="separate"/>
            </w:r>
            <w:r w:rsidR="003F66B4">
              <w:rPr>
                <w:noProof/>
                <w:webHidden/>
              </w:rPr>
              <w:t>4</w:t>
            </w:r>
            <w:r w:rsidR="003F66B4">
              <w:rPr>
                <w:noProof/>
                <w:webHidden/>
              </w:rPr>
              <w:fldChar w:fldCharType="end"/>
            </w:r>
          </w:hyperlink>
        </w:p>
        <w:p w14:paraId="4A07B0DE" w14:textId="490411AB" w:rsidR="003F66B4" w:rsidRDefault="006F14CA">
          <w:pPr>
            <w:pStyle w:val="TOC2"/>
            <w:tabs>
              <w:tab w:val="right" w:leader="dot" w:pos="9350"/>
            </w:tabs>
            <w:rPr>
              <w:rFonts w:asciiTheme="minorHAnsi" w:eastAsiaTheme="minorEastAsia" w:hAnsiTheme="minorHAnsi" w:cstheme="minorBidi"/>
              <w:bCs w:val="0"/>
              <w:noProof/>
              <w:sz w:val="24"/>
              <w:szCs w:val="24"/>
            </w:rPr>
          </w:pPr>
          <w:hyperlink w:anchor="_Toc67330372" w:history="1">
            <w:r w:rsidR="003F66B4" w:rsidRPr="00AD0076">
              <w:rPr>
                <w:rStyle w:val="Hyperlink"/>
                <w:rFonts w:ascii="Public Sans" w:eastAsia="Public Sans" w:hAnsi="Public Sans" w:cs="Public Sans"/>
                <w:noProof/>
              </w:rPr>
              <w:t>How can a user submit multiple resources together in a batch if they are different endpoints? (E.g., Services and Projects)</w:t>
            </w:r>
            <w:r w:rsidR="003F66B4">
              <w:rPr>
                <w:noProof/>
                <w:webHidden/>
              </w:rPr>
              <w:tab/>
            </w:r>
            <w:r w:rsidR="003F66B4">
              <w:rPr>
                <w:noProof/>
                <w:webHidden/>
              </w:rPr>
              <w:fldChar w:fldCharType="begin"/>
            </w:r>
            <w:r w:rsidR="003F66B4">
              <w:rPr>
                <w:noProof/>
                <w:webHidden/>
              </w:rPr>
              <w:instrText xml:space="preserve"> PAGEREF _Toc67330372 \h </w:instrText>
            </w:r>
            <w:r w:rsidR="003F66B4">
              <w:rPr>
                <w:noProof/>
                <w:webHidden/>
              </w:rPr>
            </w:r>
            <w:r w:rsidR="003F66B4">
              <w:rPr>
                <w:noProof/>
                <w:webHidden/>
              </w:rPr>
              <w:fldChar w:fldCharType="separate"/>
            </w:r>
            <w:r w:rsidR="003F66B4">
              <w:rPr>
                <w:noProof/>
                <w:webHidden/>
              </w:rPr>
              <w:t>5</w:t>
            </w:r>
            <w:r w:rsidR="003F66B4">
              <w:rPr>
                <w:noProof/>
                <w:webHidden/>
              </w:rPr>
              <w:fldChar w:fldCharType="end"/>
            </w:r>
          </w:hyperlink>
        </w:p>
        <w:p w14:paraId="24191B3A" w14:textId="6D24C7A6" w:rsidR="003F66B4" w:rsidRDefault="006F14CA">
          <w:pPr>
            <w:pStyle w:val="TOC2"/>
            <w:tabs>
              <w:tab w:val="right" w:leader="dot" w:pos="9350"/>
            </w:tabs>
            <w:rPr>
              <w:rFonts w:asciiTheme="minorHAnsi" w:eastAsiaTheme="minorEastAsia" w:hAnsiTheme="minorHAnsi" w:cstheme="minorBidi"/>
              <w:bCs w:val="0"/>
              <w:noProof/>
              <w:sz w:val="24"/>
              <w:szCs w:val="24"/>
            </w:rPr>
          </w:pPr>
          <w:hyperlink w:anchor="_Toc67330373" w:history="1">
            <w:r w:rsidR="003F66B4" w:rsidRPr="00AD0076">
              <w:rPr>
                <w:rStyle w:val="Hyperlink"/>
                <w:rFonts w:ascii="Public Sans" w:eastAsia="Public Sans" w:hAnsi="Public Sans" w:cs="Public Sans"/>
                <w:noProof/>
              </w:rPr>
              <w:t>Will the Change in Status field or Delete Operation determine if an investment is eliminated?</w:t>
            </w:r>
            <w:r w:rsidR="003F66B4">
              <w:rPr>
                <w:noProof/>
                <w:webHidden/>
              </w:rPr>
              <w:tab/>
            </w:r>
            <w:r w:rsidR="003F66B4">
              <w:rPr>
                <w:noProof/>
                <w:webHidden/>
              </w:rPr>
              <w:fldChar w:fldCharType="begin"/>
            </w:r>
            <w:r w:rsidR="003F66B4">
              <w:rPr>
                <w:noProof/>
                <w:webHidden/>
              </w:rPr>
              <w:instrText xml:space="preserve"> PAGEREF _Toc67330373 \h </w:instrText>
            </w:r>
            <w:r w:rsidR="003F66B4">
              <w:rPr>
                <w:noProof/>
                <w:webHidden/>
              </w:rPr>
            </w:r>
            <w:r w:rsidR="003F66B4">
              <w:rPr>
                <w:noProof/>
                <w:webHidden/>
              </w:rPr>
              <w:fldChar w:fldCharType="separate"/>
            </w:r>
            <w:r w:rsidR="003F66B4">
              <w:rPr>
                <w:noProof/>
                <w:webHidden/>
              </w:rPr>
              <w:t>5</w:t>
            </w:r>
            <w:r w:rsidR="003F66B4">
              <w:rPr>
                <w:noProof/>
                <w:webHidden/>
              </w:rPr>
              <w:fldChar w:fldCharType="end"/>
            </w:r>
          </w:hyperlink>
        </w:p>
        <w:p w14:paraId="72364D18" w14:textId="11D3708E" w:rsidR="003F66B4" w:rsidRDefault="006F14CA">
          <w:pPr>
            <w:pStyle w:val="TOC2"/>
            <w:tabs>
              <w:tab w:val="right" w:leader="dot" w:pos="9350"/>
            </w:tabs>
            <w:rPr>
              <w:rFonts w:asciiTheme="minorHAnsi" w:eastAsiaTheme="minorEastAsia" w:hAnsiTheme="minorHAnsi" w:cstheme="minorBidi"/>
              <w:bCs w:val="0"/>
              <w:noProof/>
              <w:sz w:val="24"/>
              <w:szCs w:val="24"/>
            </w:rPr>
          </w:pPr>
          <w:hyperlink w:anchor="_Toc67330374" w:history="1">
            <w:r w:rsidR="003F66B4" w:rsidRPr="00AD0076">
              <w:rPr>
                <w:rStyle w:val="Hyperlink"/>
                <w:rFonts w:ascii="Public Sans" w:eastAsia="Public Sans" w:hAnsi="Public Sans" w:cs="Public Sans"/>
                <w:noProof/>
              </w:rPr>
              <w:t>What are the key differences between PUT and PATCH operations in IT Collect?</w:t>
            </w:r>
            <w:r w:rsidR="003F66B4">
              <w:rPr>
                <w:noProof/>
                <w:webHidden/>
              </w:rPr>
              <w:tab/>
            </w:r>
            <w:r w:rsidR="003F66B4">
              <w:rPr>
                <w:noProof/>
                <w:webHidden/>
              </w:rPr>
              <w:fldChar w:fldCharType="begin"/>
            </w:r>
            <w:r w:rsidR="003F66B4">
              <w:rPr>
                <w:noProof/>
                <w:webHidden/>
              </w:rPr>
              <w:instrText xml:space="preserve"> PAGEREF _Toc67330374 \h </w:instrText>
            </w:r>
            <w:r w:rsidR="003F66B4">
              <w:rPr>
                <w:noProof/>
                <w:webHidden/>
              </w:rPr>
            </w:r>
            <w:r w:rsidR="003F66B4">
              <w:rPr>
                <w:noProof/>
                <w:webHidden/>
              </w:rPr>
              <w:fldChar w:fldCharType="separate"/>
            </w:r>
            <w:r w:rsidR="003F66B4">
              <w:rPr>
                <w:noProof/>
                <w:webHidden/>
              </w:rPr>
              <w:t>5</w:t>
            </w:r>
            <w:r w:rsidR="003F66B4">
              <w:rPr>
                <w:noProof/>
                <w:webHidden/>
              </w:rPr>
              <w:fldChar w:fldCharType="end"/>
            </w:r>
          </w:hyperlink>
        </w:p>
        <w:p w14:paraId="2838876F" w14:textId="4A9A3FC4" w:rsidR="003F66B4" w:rsidRDefault="006F14CA">
          <w:pPr>
            <w:pStyle w:val="TOC2"/>
            <w:tabs>
              <w:tab w:val="right" w:leader="dot" w:pos="9350"/>
            </w:tabs>
            <w:rPr>
              <w:rFonts w:asciiTheme="minorHAnsi" w:eastAsiaTheme="minorEastAsia" w:hAnsiTheme="minorHAnsi" w:cstheme="minorBidi"/>
              <w:bCs w:val="0"/>
              <w:noProof/>
              <w:sz w:val="24"/>
              <w:szCs w:val="24"/>
            </w:rPr>
          </w:pPr>
          <w:hyperlink w:anchor="_Toc67330375" w:history="1">
            <w:r w:rsidR="003F66B4" w:rsidRPr="00AD0076">
              <w:rPr>
                <w:rStyle w:val="Hyperlink"/>
                <w:rFonts w:ascii="Public Sans" w:eastAsia="Public Sans" w:hAnsi="Public Sans" w:cs="Public Sans"/>
                <w:noProof/>
              </w:rPr>
              <w:t>Will data be migrated from ITDB to IT Collect?</w:t>
            </w:r>
            <w:r w:rsidR="003F66B4">
              <w:rPr>
                <w:noProof/>
                <w:webHidden/>
              </w:rPr>
              <w:tab/>
            </w:r>
            <w:r w:rsidR="003F66B4">
              <w:rPr>
                <w:noProof/>
                <w:webHidden/>
              </w:rPr>
              <w:fldChar w:fldCharType="begin"/>
            </w:r>
            <w:r w:rsidR="003F66B4">
              <w:rPr>
                <w:noProof/>
                <w:webHidden/>
              </w:rPr>
              <w:instrText xml:space="preserve"> PAGEREF _Toc67330375 \h </w:instrText>
            </w:r>
            <w:r w:rsidR="003F66B4">
              <w:rPr>
                <w:noProof/>
                <w:webHidden/>
              </w:rPr>
            </w:r>
            <w:r w:rsidR="003F66B4">
              <w:rPr>
                <w:noProof/>
                <w:webHidden/>
              </w:rPr>
              <w:fldChar w:fldCharType="separate"/>
            </w:r>
            <w:r w:rsidR="003F66B4">
              <w:rPr>
                <w:noProof/>
                <w:webHidden/>
              </w:rPr>
              <w:t>5</w:t>
            </w:r>
            <w:r w:rsidR="003F66B4">
              <w:rPr>
                <w:noProof/>
                <w:webHidden/>
              </w:rPr>
              <w:fldChar w:fldCharType="end"/>
            </w:r>
          </w:hyperlink>
        </w:p>
        <w:p w14:paraId="1BB06E97" w14:textId="4FC4220E" w:rsidR="003F66B4" w:rsidRDefault="006F14CA">
          <w:pPr>
            <w:pStyle w:val="TOC1"/>
            <w:tabs>
              <w:tab w:val="right" w:leader="dot" w:pos="9350"/>
            </w:tabs>
            <w:rPr>
              <w:rFonts w:asciiTheme="minorHAnsi" w:eastAsiaTheme="minorEastAsia" w:hAnsiTheme="minorHAnsi" w:cstheme="minorBidi"/>
              <w:b w:val="0"/>
              <w:bCs w:val="0"/>
              <w:iCs w:val="0"/>
              <w:noProof/>
              <w:sz w:val="24"/>
            </w:rPr>
          </w:pPr>
          <w:hyperlink w:anchor="_Toc67330376" w:history="1">
            <w:r w:rsidR="003F66B4" w:rsidRPr="00AD0076">
              <w:rPr>
                <w:rStyle w:val="Hyperlink"/>
                <w:rFonts w:ascii="Public Sans" w:eastAsia="Public Sans" w:hAnsi="Public Sans" w:cs="Public Sans"/>
                <w:noProof/>
              </w:rPr>
              <w:t>Rebaselines</w:t>
            </w:r>
            <w:r w:rsidR="003F66B4">
              <w:rPr>
                <w:noProof/>
                <w:webHidden/>
              </w:rPr>
              <w:tab/>
            </w:r>
            <w:r w:rsidR="003F66B4">
              <w:rPr>
                <w:noProof/>
                <w:webHidden/>
              </w:rPr>
              <w:fldChar w:fldCharType="begin"/>
            </w:r>
            <w:r w:rsidR="003F66B4">
              <w:rPr>
                <w:noProof/>
                <w:webHidden/>
              </w:rPr>
              <w:instrText xml:space="preserve"> PAGEREF _Toc67330376 \h </w:instrText>
            </w:r>
            <w:r w:rsidR="003F66B4">
              <w:rPr>
                <w:noProof/>
                <w:webHidden/>
              </w:rPr>
            </w:r>
            <w:r w:rsidR="003F66B4">
              <w:rPr>
                <w:noProof/>
                <w:webHidden/>
              </w:rPr>
              <w:fldChar w:fldCharType="separate"/>
            </w:r>
            <w:r w:rsidR="003F66B4">
              <w:rPr>
                <w:noProof/>
                <w:webHidden/>
              </w:rPr>
              <w:t>6</w:t>
            </w:r>
            <w:r w:rsidR="003F66B4">
              <w:rPr>
                <w:noProof/>
                <w:webHidden/>
              </w:rPr>
              <w:fldChar w:fldCharType="end"/>
            </w:r>
          </w:hyperlink>
        </w:p>
        <w:p w14:paraId="5A8F5259" w14:textId="39050A86" w:rsidR="003F66B4" w:rsidRDefault="006F14CA">
          <w:pPr>
            <w:pStyle w:val="TOC2"/>
            <w:tabs>
              <w:tab w:val="right" w:leader="dot" w:pos="9350"/>
            </w:tabs>
            <w:rPr>
              <w:rFonts w:asciiTheme="minorHAnsi" w:eastAsiaTheme="minorEastAsia" w:hAnsiTheme="minorHAnsi" w:cstheme="minorBidi"/>
              <w:bCs w:val="0"/>
              <w:noProof/>
              <w:sz w:val="24"/>
              <w:szCs w:val="24"/>
            </w:rPr>
          </w:pPr>
          <w:hyperlink w:anchor="_Toc67330377" w:history="1">
            <w:r w:rsidR="003F66B4" w:rsidRPr="00AD0076">
              <w:rPr>
                <w:rStyle w:val="Hyperlink"/>
                <w:rFonts w:ascii="Public Sans" w:eastAsia="Public Sans" w:hAnsi="Public Sans" w:cs="Public Sans"/>
                <w:noProof/>
              </w:rPr>
              <w:t>How do rebaselines work in IT Collect?</w:t>
            </w:r>
            <w:r w:rsidR="003F66B4">
              <w:rPr>
                <w:noProof/>
                <w:webHidden/>
              </w:rPr>
              <w:tab/>
            </w:r>
            <w:r w:rsidR="003F66B4">
              <w:rPr>
                <w:noProof/>
                <w:webHidden/>
              </w:rPr>
              <w:fldChar w:fldCharType="begin"/>
            </w:r>
            <w:r w:rsidR="003F66B4">
              <w:rPr>
                <w:noProof/>
                <w:webHidden/>
              </w:rPr>
              <w:instrText xml:space="preserve"> PAGEREF _Toc67330377 \h </w:instrText>
            </w:r>
            <w:r w:rsidR="003F66B4">
              <w:rPr>
                <w:noProof/>
                <w:webHidden/>
              </w:rPr>
            </w:r>
            <w:r w:rsidR="003F66B4">
              <w:rPr>
                <w:noProof/>
                <w:webHidden/>
              </w:rPr>
              <w:fldChar w:fldCharType="separate"/>
            </w:r>
            <w:r w:rsidR="003F66B4">
              <w:rPr>
                <w:noProof/>
                <w:webHidden/>
              </w:rPr>
              <w:t>6</w:t>
            </w:r>
            <w:r w:rsidR="003F66B4">
              <w:rPr>
                <w:noProof/>
                <w:webHidden/>
              </w:rPr>
              <w:fldChar w:fldCharType="end"/>
            </w:r>
          </w:hyperlink>
        </w:p>
        <w:p w14:paraId="141EDE2F" w14:textId="475702B6" w:rsidR="00F26CD3" w:rsidRDefault="00F26CD3" w:rsidP="00F26CD3">
          <w:pPr>
            <w:pStyle w:val="TOC1"/>
            <w:tabs>
              <w:tab w:val="right" w:leader="dot" w:pos="9350"/>
            </w:tabs>
          </w:pPr>
          <w:r>
            <w:rPr>
              <w:bCs w:val="0"/>
            </w:rPr>
            <w:fldChar w:fldCharType="end"/>
          </w:r>
        </w:p>
      </w:sdtContent>
    </w:sdt>
    <w:p w14:paraId="6A23B6A2" w14:textId="77777777" w:rsidR="001C3140" w:rsidRDefault="001C3140">
      <w:pPr>
        <w:rPr>
          <w:rFonts w:ascii="Public Sans" w:eastAsia="Public Sans" w:hAnsi="Public Sans" w:cs="Public Sans"/>
          <w:color w:val="3B5789"/>
        </w:rPr>
      </w:pPr>
    </w:p>
    <w:p w14:paraId="7119A247" w14:textId="77777777" w:rsidR="001C3140" w:rsidRDefault="001C3140">
      <w:pPr>
        <w:rPr>
          <w:rFonts w:ascii="Public Sans" w:eastAsia="Public Sans" w:hAnsi="Public Sans" w:cs="Public Sans"/>
          <w:color w:val="0579BD"/>
        </w:rPr>
      </w:pPr>
    </w:p>
    <w:p w14:paraId="7F7367F6" w14:textId="77777777" w:rsidR="001C3140" w:rsidRDefault="001C3140">
      <w:pPr>
        <w:rPr>
          <w:rFonts w:ascii="Public Sans" w:eastAsia="Public Sans" w:hAnsi="Public Sans" w:cs="Public Sans"/>
        </w:rPr>
      </w:pPr>
    </w:p>
    <w:p w14:paraId="729D4628" w14:textId="5CA0885D" w:rsidR="001C3140" w:rsidRPr="00614486" w:rsidRDefault="001C3140" w:rsidP="00614486">
      <w:pPr>
        <w:pStyle w:val="Title"/>
        <w:spacing w:after="0"/>
        <w:rPr>
          <w:rFonts w:ascii="Public Sans" w:eastAsia="Public Sans" w:hAnsi="Public Sans" w:cs="Public Sans"/>
          <w:sz w:val="22"/>
          <w:szCs w:val="22"/>
        </w:rPr>
      </w:pPr>
      <w:bookmarkStart w:id="2" w:name="_81g2chnl104z" w:colFirst="0" w:colLast="0"/>
      <w:bookmarkEnd w:id="2"/>
    </w:p>
    <w:p w14:paraId="16B69C6E" w14:textId="52ECB78F" w:rsidR="001C3140" w:rsidRDefault="00614486">
      <w:pPr>
        <w:pStyle w:val="Heading1"/>
        <w:rPr>
          <w:rFonts w:ascii="Public Sans" w:eastAsia="Public Sans" w:hAnsi="Public Sans" w:cs="Public Sans"/>
        </w:rPr>
      </w:pPr>
      <w:bookmarkStart w:id="3" w:name="_mhh51kp6u02g" w:colFirst="0" w:colLast="0"/>
      <w:bookmarkStart w:id="4" w:name="_Toc67330354"/>
      <w:bookmarkEnd w:id="3"/>
      <w:r>
        <w:rPr>
          <w:rFonts w:ascii="Public Sans" w:eastAsia="Public Sans" w:hAnsi="Public Sans" w:cs="Public Sans"/>
        </w:rPr>
        <w:t>Timeline</w:t>
      </w:r>
      <w:bookmarkEnd w:id="4"/>
    </w:p>
    <w:p w14:paraId="70EF45DA" w14:textId="7016BEDA" w:rsidR="00614486" w:rsidRDefault="00614486" w:rsidP="00614486">
      <w:pPr>
        <w:pStyle w:val="Heading2"/>
        <w:rPr>
          <w:rFonts w:ascii="Public Sans" w:eastAsia="Public Sans" w:hAnsi="Public Sans" w:cs="Public Sans"/>
        </w:rPr>
      </w:pPr>
      <w:bookmarkStart w:id="5" w:name="_Toc67330355"/>
      <w:r>
        <w:rPr>
          <w:rFonts w:ascii="Public Sans" w:eastAsia="Public Sans" w:hAnsi="Public Sans" w:cs="Public Sans"/>
        </w:rPr>
        <w:t>When is the timeline for upcoming releases and decommissioning?</w:t>
      </w:r>
      <w:bookmarkEnd w:id="5"/>
    </w:p>
    <w:p w14:paraId="4689C00D" w14:textId="77777777" w:rsidR="00F14A8E" w:rsidRPr="00112C74" w:rsidRDefault="00F14A8E" w:rsidP="00F14A8E">
      <w:pPr>
        <w:pStyle w:val="ListParagraph"/>
        <w:numPr>
          <w:ilvl w:val="0"/>
          <w:numId w:val="10"/>
        </w:numPr>
        <w:rPr>
          <w:rFonts w:ascii="Calibri" w:eastAsia="Calibri" w:hAnsi="Calibri" w:cs="Calibri"/>
          <w:color w:val="000000" w:themeColor="text1"/>
          <w:sz w:val="24"/>
          <w:szCs w:val="24"/>
        </w:rPr>
      </w:pPr>
      <w:r w:rsidRPr="21CEA514">
        <w:rPr>
          <w:rFonts w:ascii="Calibri" w:eastAsia="Calibri" w:hAnsi="Calibri" w:cs="Calibri"/>
          <w:sz w:val="24"/>
          <w:szCs w:val="24"/>
        </w:rPr>
        <w:t xml:space="preserve">First integration / UAT Begins: Late-March to April 2021 </w:t>
      </w:r>
    </w:p>
    <w:p w14:paraId="2D998E70" w14:textId="77777777" w:rsidR="00F14A8E" w:rsidRPr="00112C74" w:rsidRDefault="00F14A8E" w:rsidP="00F14A8E">
      <w:pPr>
        <w:pStyle w:val="ListParagraph"/>
        <w:numPr>
          <w:ilvl w:val="0"/>
          <w:numId w:val="10"/>
        </w:numPr>
        <w:rPr>
          <w:rFonts w:ascii="Calibri" w:eastAsia="Calibri" w:hAnsi="Calibri" w:cs="Calibri"/>
          <w:color w:val="000000" w:themeColor="text1"/>
          <w:sz w:val="24"/>
          <w:szCs w:val="24"/>
        </w:rPr>
      </w:pPr>
      <w:r w:rsidRPr="024D19E1">
        <w:rPr>
          <w:rFonts w:ascii="Calibri" w:eastAsia="Calibri" w:hAnsi="Calibri" w:cs="Calibri"/>
          <w:sz w:val="24"/>
          <w:szCs w:val="24"/>
        </w:rPr>
        <w:t>Integration Period: March 2021-August 2021</w:t>
      </w:r>
    </w:p>
    <w:p w14:paraId="76FA1EC0" w14:textId="77777777" w:rsidR="00F14A8E" w:rsidRPr="00112C74" w:rsidRDefault="00F14A8E" w:rsidP="00F14A8E">
      <w:pPr>
        <w:pStyle w:val="ListParagraph"/>
        <w:numPr>
          <w:ilvl w:val="0"/>
          <w:numId w:val="10"/>
        </w:numPr>
        <w:rPr>
          <w:rFonts w:ascii="Calibri" w:eastAsia="Calibri" w:hAnsi="Calibri" w:cs="Calibri"/>
          <w:color w:val="000000" w:themeColor="text1"/>
          <w:sz w:val="24"/>
          <w:szCs w:val="24"/>
        </w:rPr>
      </w:pPr>
      <w:r w:rsidRPr="024D19E1">
        <w:rPr>
          <w:rFonts w:ascii="Calibri" w:eastAsia="Calibri" w:hAnsi="Calibri" w:cs="Calibri"/>
          <w:sz w:val="24"/>
          <w:szCs w:val="24"/>
        </w:rPr>
        <w:t>Official Launch: September 2021</w:t>
      </w:r>
    </w:p>
    <w:p w14:paraId="65E5BC3F" w14:textId="7108BC3E" w:rsidR="001C3140" w:rsidRPr="00F14A8E" w:rsidRDefault="00F14A8E" w:rsidP="00F14A8E">
      <w:pPr>
        <w:pStyle w:val="ListParagraph"/>
        <w:numPr>
          <w:ilvl w:val="0"/>
          <w:numId w:val="10"/>
        </w:numPr>
        <w:rPr>
          <w:rFonts w:ascii="Calibri" w:eastAsia="Calibri" w:hAnsi="Calibri" w:cs="Calibri"/>
          <w:color w:val="000000" w:themeColor="text1"/>
          <w:sz w:val="24"/>
          <w:szCs w:val="24"/>
        </w:rPr>
      </w:pPr>
      <w:r w:rsidRPr="62444419">
        <w:rPr>
          <w:rFonts w:ascii="Calibri" w:eastAsia="Calibri" w:hAnsi="Calibri" w:cs="Calibri"/>
          <w:sz w:val="24"/>
          <w:szCs w:val="24"/>
        </w:rPr>
        <w:t xml:space="preserve">Legacy ITDB: </w:t>
      </w:r>
      <w:r w:rsidRPr="153604BE">
        <w:rPr>
          <w:rFonts w:ascii="Calibri" w:eastAsia="Calibri" w:hAnsi="Calibri" w:cs="Calibri"/>
          <w:sz w:val="24"/>
          <w:szCs w:val="24"/>
        </w:rPr>
        <w:t>The IT Dashboard will stop accepting submissions on August 31st, 2021. The site will remain live for data visualization and distribution purposes until further notice.</w:t>
      </w:r>
    </w:p>
    <w:p w14:paraId="397397B3" w14:textId="722E0F28" w:rsidR="001C3140" w:rsidRDefault="00F14A8E">
      <w:pPr>
        <w:pStyle w:val="Heading1"/>
        <w:rPr>
          <w:rFonts w:ascii="Public Sans" w:eastAsia="Public Sans" w:hAnsi="Public Sans" w:cs="Public Sans"/>
        </w:rPr>
      </w:pPr>
      <w:bookmarkStart w:id="6" w:name="_Toc67330356"/>
      <w:r>
        <w:rPr>
          <w:rFonts w:ascii="Public Sans" w:eastAsia="Public Sans" w:hAnsi="Public Sans" w:cs="Public Sans"/>
        </w:rPr>
        <w:t>Authorization</w:t>
      </w:r>
      <w:bookmarkEnd w:id="6"/>
    </w:p>
    <w:p w14:paraId="228F8D90" w14:textId="4411C65B" w:rsidR="001C3140" w:rsidRDefault="00F14A8E" w:rsidP="00F14A8E">
      <w:pPr>
        <w:pStyle w:val="Heading2"/>
        <w:ind w:left="720"/>
        <w:rPr>
          <w:rFonts w:ascii="Public Sans" w:eastAsia="Public Sans" w:hAnsi="Public Sans" w:cs="Public Sans"/>
        </w:rPr>
      </w:pPr>
      <w:bookmarkStart w:id="7" w:name="_Toc67330357"/>
      <w:r>
        <w:rPr>
          <w:rFonts w:ascii="Public Sans" w:eastAsia="Public Sans" w:hAnsi="Public Sans" w:cs="Public Sans"/>
        </w:rPr>
        <w:t>When will OAuth Authorization be Available?</w:t>
      </w:r>
      <w:bookmarkEnd w:id="7"/>
    </w:p>
    <w:p w14:paraId="09AFA8D4" w14:textId="417E7BB9" w:rsidR="00F14A8E" w:rsidRDefault="00F14A8E" w:rsidP="00F14A8E">
      <w:pPr>
        <w:pStyle w:val="ListParagraph"/>
        <w:rPr>
          <w:rFonts w:ascii="Calibri" w:eastAsia="Calibri" w:hAnsi="Calibri" w:cs="Calibri"/>
          <w:sz w:val="24"/>
          <w:szCs w:val="24"/>
        </w:rPr>
      </w:pPr>
      <w:r w:rsidRPr="411BE497">
        <w:rPr>
          <w:rFonts w:ascii="Calibri" w:eastAsia="Calibri" w:hAnsi="Calibri" w:cs="Calibri"/>
          <w:sz w:val="24"/>
          <w:szCs w:val="24"/>
        </w:rPr>
        <w:t>The IT Collect team plans to release the OAuth service and related access control functionality as part of the initial IT Collect integration release scheduled for March 2021.</w:t>
      </w:r>
    </w:p>
    <w:p w14:paraId="400702C5" w14:textId="7A374573" w:rsidR="00F14A8E" w:rsidRDefault="00F14A8E" w:rsidP="00F14A8E">
      <w:pPr>
        <w:pStyle w:val="Heading2"/>
        <w:ind w:left="720"/>
        <w:rPr>
          <w:rFonts w:ascii="Public Sans" w:eastAsia="Public Sans" w:hAnsi="Public Sans" w:cs="Public Sans"/>
        </w:rPr>
      </w:pPr>
      <w:bookmarkStart w:id="8" w:name="_Toc67330358"/>
      <w:r>
        <w:rPr>
          <w:rFonts w:ascii="Public Sans" w:eastAsia="Public Sans" w:hAnsi="Public Sans" w:cs="Public Sans"/>
        </w:rPr>
        <w:t>Will</w:t>
      </w:r>
      <w:bookmarkStart w:id="9" w:name="_Toc67312463"/>
      <w:bookmarkStart w:id="10" w:name="_Toc67314355"/>
      <w:bookmarkStart w:id="11" w:name="_Toc67325532"/>
      <w:r>
        <w:rPr>
          <w:rFonts w:ascii="Public Sans" w:eastAsia="Public Sans" w:hAnsi="Public Sans" w:cs="Public Sans"/>
        </w:rPr>
        <w:t xml:space="preserve"> </w:t>
      </w:r>
      <w:r w:rsidRPr="00F14A8E">
        <w:rPr>
          <w:rFonts w:ascii="Public Sans" w:eastAsia="Public Sans" w:hAnsi="Public Sans" w:cs="Public Sans"/>
        </w:rPr>
        <w:t xml:space="preserve">users only be able to authenticate with a token from login.gov? Do users need to register for some new type of </w:t>
      </w:r>
      <w:proofErr w:type="gramStart"/>
      <w:r w:rsidRPr="00F14A8E">
        <w:rPr>
          <w:rFonts w:ascii="Public Sans" w:eastAsia="Public Sans" w:hAnsi="Public Sans" w:cs="Public Sans"/>
        </w:rPr>
        <w:t>account</w:t>
      </w:r>
      <w:proofErr w:type="gramEnd"/>
      <w:r w:rsidRPr="00F14A8E">
        <w:rPr>
          <w:rFonts w:ascii="Public Sans" w:eastAsia="Public Sans" w:hAnsi="Public Sans" w:cs="Public Sans"/>
        </w:rPr>
        <w:t xml:space="preserve"> or will they already have access?</w:t>
      </w:r>
      <w:bookmarkEnd w:id="8"/>
      <w:bookmarkEnd w:id="9"/>
      <w:bookmarkEnd w:id="10"/>
      <w:bookmarkEnd w:id="11"/>
    </w:p>
    <w:p w14:paraId="2E331A12" w14:textId="77777777" w:rsidR="00F14A8E" w:rsidRPr="005F0370" w:rsidRDefault="00F14A8E" w:rsidP="00F14A8E">
      <w:pPr>
        <w:pStyle w:val="ListParagraph"/>
        <w:rPr>
          <w:rFonts w:ascii="Calibri" w:eastAsia="Calibri" w:hAnsi="Calibri" w:cs="Calibri"/>
          <w:color w:val="000000" w:themeColor="text1"/>
          <w:sz w:val="24"/>
          <w:szCs w:val="24"/>
        </w:rPr>
      </w:pPr>
      <w:r w:rsidRPr="7F7E96A5">
        <w:rPr>
          <w:rFonts w:ascii="Calibri" w:eastAsia="Calibri" w:hAnsi="Calibri" w:cs="Calibri"/>
          <w:sz w:val="24"/>
          <w:szCs w:val="24"/>
        </w:rPr>
        <w:t>The IT Collect Team uses Login.gov as a multifactor authentication and identify proofing platform. Each agency is assigned a unique OAuth client ID with the IT Collect’s OAuth server. Agency assigned users to IT Collect are required to register with Login.Gov and pair their government issued PIV/CAC card as MFA. Following a successful login, users are redirected back to IT Collect for API tokens to be used with each API request.</w:t>
      </w:r>
      <w:r>
        <w:rPr>
          <w:rFonts w:ascii="Calibri" w:eastAsia="Calibri" w:hAnsi="Calibri" w:cs="Calibri"/>
          <w:sz w:val="24"/>
          <w:szCs w:val="24"/>
        </w:rPr>
        <w:t xml:space="preserve"> </w:t>
      </w:r>
      <w:r w:rsidRPr="005F0370">
        <w:rPr>
          <w:rFonts w:ascii="Calibri" w:eastAsia="Calibri" w:hAnsi="Calibri" w:cs="Calibri"/>
          <w:sz w:val="24"/>
          <w:szCs w:val="24"/>
        </w:rPr>
        <w:t xml:space="preserve">The OAuth client ID will be provided to each agency via email. </w:t>
      </w:r>
      <w:r w:rsidRPr="005F0370">
        <w:rPr>
          <w:rFonts w:ascii="Calibri" w:eastAsia="Calibri" w:hAnsi="Calibri" w:cs="Calibri"/>
          <w:color w:val="000000" w:themeColor="text1"/>
          <w:sz w:val="24"/>
          <w:szCs w:val="24"/>
        </w:rPr>
        <w:t xml:space="preserve">To register an account with Login.gov, please see </w:t>
      </w:r>
      <w:hyperlink r:id="rId9">
        <w:r w:rsidRPr="005F0370">
          <w:rPr>
            <w:rStyle w:val="Hyperlink"/>
            <w:rFonts w:ascii="Calibri" w:eastAsia="Calibri" w:hAnsi="Calibri" w:cs="Calibri"/>
            <w:sz w:val="24"/>
            <w:szCs w:val="24"/>
          </w:rPr>
          <w:t>this link</w:t>
        </w:r>
      </w:hyperlink>
      <w:r w:rsidRPr="005F0370">
        <w:rPr>
          <w:rFonts w:ascii="Calibri" w:eastAsia="Calibri" w:hAnsi="Calibri" w:cs="Calibri"/>
          <w:color w:val="000000" w:themeColor="text1"/>
          <w:sz w:val="24"/>
          <w:szCs w:val="24"/>
        </w:rPr>
        <w:t>.</w:t>
      </w:r>
    </w:p>
    <w:p w14:paraId="220BC36C" w14:textId="38892966" w:rsidR="00F14A8E" w:rsidRPr="00F14A8E" w:rsidRDefault="00F14A8E" w:rsidP="00F14A8E">
      <w:pPr>
        <w:pStyle w:val="Heading1"/>
        <w:rPr>
          <w:rFonts w:ascii="Public Sans" w:eastAsia="Public Sans" w:hAnsi="Public Sans" w:cs="Public Sans"/>
        </w:rPr>
      </w:pPr>
      <w:bookmarkStart w:id="12" w:name="_Toc67330359"/>
      <w:r>
        <w:rPr>
          <w:rFonts w:ascii="Public Sans" w:eastAsia="Public Sans" w:hAnsi="Public Sans" w:cs="Public Sans"/>
        </w:rPr>
        <w:t>Data Architecture / API Schema</w:t>
      </w:r>
      <w:bookmarkEnd w:id="12"/>
    </w:p>
    <w:p w14:paraId="074A9DB0" w14:textId="5381E05D" w:rsidR="00F14A8E" w:rsidRPr="00F14A8E" w:rsidRDefault="00F14A8E" w:rsidP="00F14A8E">
      <w:pPr>
        <w:pStyle w:val="Heading2"/>
        <w:ind w:left="720"/>
        <w:rPr>
          <w:rFonts w:ascii="Public Sans" w:eastAsia="Public Sans" w:hAnsi="Public Sans" w:cs="Public Sans"/>
        </w:rPr>
      </w:pPr>
      <w:bookmarkStart w:id="13" w:name="_Toc67312465"/>
      <w:bookmarkStart w:id="14" w:name="_Toc67314357"/>
      <w:bookmarkStart w:id="15" w:name="_Toc67325534"/>
      <w:bookmarkStart w:id="16" w:name="_Toc67330360"/>
      <w:r w:rsidRPr="00F14A8E">
        <w:rPr>
          <w:rFonts w:ascii="Public Sans" w:eastAsia="Public Sans" w:hAnsi="Public Sans" w:cs="Public Sans"/>
        </w:rPr>
        <w:t>How does IT Collect’s data architecture differ from ITDB’s implementation?</w:t>
      </w:r>
      <w:bookmarkEnd w:id="13"/>
      <w:bookmarkEnd w:id="14"/>
      <w:bookmarkEnd w:id="15"/>
      <w:bookmarkEnd w:id="16"/>
    </w:p>
    <w:p w14:paraId="5E5B1B1E" w14:textId="4072CA30" w:rsidR="00F14A8E" w:rsidRPr="00F14A8E" w:rsidRDefault="00F14A8E" w:rsidP="00F14A8E">
      <w:pPr>
        <w:pStyle w:val="ListParagraph"/>
        <w:rPr>
          <w:rFonts w:ascii="Calibri" w:eastAsia="Calibri" w:hAnsi="Calibri" w:cs="Calibri"/>
        </w:rPr>
      </w:pPr>
      <w:r w:rsidRPr="21CEA514">
        <w:rPr>
          <w:rFonts w:ascii="Calibri" w:eastAsia="Calibri" w:hAnsi="Calibri" w:cs="Calibri"/>
          <w:sz w:val="24"/>
          <w:szCs w:val="24"/>
        </w:rPr>
        <w:t xml:space="preserve">The IT Collect team is implementing a top-down hierarchical data architecture following strict Restful API Design. The IT Collect data architecture design can be found at </w:t>
      </w:r>
      <w:hyperlink r:id="rId10">
        <w:r w:rsidRPr="21CEA514">
          <w:rPr>
            <w:rStyle w:val="Hyperlink"/>
            <w:rFonts w:ascii="Calibri" w:eastAsia="Calibri" w:hAnsi="Calibri" w:cs="Calibri"/>
            <w:sz w:val="24"/>
            <w:szCs w:val="24"/>
          </w:rPr>
          <w:t>this link</w:t>
        </w:r>
      </w:hyperlink>
      <w:r w:rsidRPr="21CEA514">
        <w:rPr>
          <w:rFonts w:ascii="Calibri" w:eastAsia="Calibri" w:hAnsi="Calibri" w:cs="Calibri"/>
          <w:sz w:val="24"/>
          <w:szCs w:val="24"/>
        </w:rPr>
        <w:t xml:space="preserve">. A visual representation of the IT Collect data architecture can be found below. The general design will offer a more flexible/lean approach to the collection of CPIC data. The IT Collect team designed this lean approach to reduce maintenance for all stakeholders in the long run and increase policy flexibility year over year. For questions </w:t>
      </w:r>
      <w:r w:rsidRPr="21CEA514">
        <w:rPr>
          <w:rFonts w:ascii="Calibri" w:eastAsia="Calibri" w:hAnsi="Calibri" w:cs="Calibri"/>
          <w:sz w:val="24"/>
          <w:szCs w:val="24"/>
        </w:rPr>
        <w:lastRenderedPageBreak/>
        <w:t>about individual fields, or data architecture specifics, please reach out to the IT Collect team.</w:t>
      </w:r>
    </w:p>
    <w:p w14:paraId="412CF027" w14:textId="0C06AF2F" w:rsidR="00F14A8E" w:rsidRDefault="00F14A8E" w:rsidP="00F26CD3">
      <w:pPr>
        <w:jc w:val="center"/>
        <w:rPr>
          <w:rFonts w:ascii="Public Sans" w:eastAsia="Public Sans" w:hAnsi="Public Sans" w:cs="Public Sans"/>
        </w:rPr>
      </w:pPr>
      <w:r w:rsidRPr="00F26CD3">
        <w:rPr>
          <w:noProof/>
        </w:rPr>
        <w:drawing>
          <wp:inline distT="0" distB="0" distL="0" distR="0" wp14:anchorId="5D062FA2" wp14:editId="790D9C6E">
            <wp:extent cx="4843179" cy="3838603"/>
            <wp:effectExtent l="12700" t="12700" r="8255" b="9525"/>
            <wp:docPr id="872183011" name="Picture 87218301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2183011" name="Picture 872183011" descr="Diagram&#10;&#10;Description automatically generated"/>
                    <pic:cNvPicPr/>
                  </pic:nvPicPr>
                  <pic:blipFill>
                    <a:blip r:embed="rId11" cstate="print">
                      <a:extLst>
                        <a:ext uri="{28A0092B-C50C-407E-A947-70E740481C1C}">
                          <a14:useLocalDpi xmlns:a14="http://schemas.microsoft.com/office/drawing/2010/main" val="0"/>
                        </a:ext>
                      </a:extLst>
                    </a:blip>
                    <a:srcRect r="4583" b="1358"/>
                    <a:stretch>
                      <a:fillRect/>
                    </a:stretch>
                  </pic:blipFill>
                  <pic:spPr>
                    <a:xfrm>
                      <a:off x="0" y="0"/>
                      <a:ext cx="4843179" cy="3838603"/>
                    </a:xfrm>
                    <a:prstGeom prst="rect">
                      <a:avLst/>
                    </a:prstGeom>
                    <a:ln>
                      <a:solidFill>
                        <a:schemeClr val="tx1"/>
                      </a:solidFill>
                    </a:ln>
                  </pic:spPr>
                </pic:pic>
              </a:graphicData>
            </a:graphic>
          </wp:inline>
        </w:drawing>
      </w:r>
      <w:bookmarkStart w:id="17" w:name="_Toc67312491"/>
      <w:bookmarkStart w:id="18" w:name="_Toc67314358"/>
      <w:bookmarkStart w:id="19" w:name="_Toc67325535"/>
    </w:p>
    <w:p w14:paraId="1DDFBBCE" w14:textId="3D8C0F1F" w:rsidR="00F14A8E" w:rsidRPr="00F14A8E" w:rsidRDefault="00F14A8E" w:rsidP="00F14A8E">
      <w:pPr>
        <w:pStyle w:val="Heading2"/>
        <w:ind w:left="720"/>
        <w:rPr>
          <w:rFonts w:ascii="Public Sans" w:eastAsia="Public Sans" w:hAnsi="Public Sans" w:cs="Public Sans"/>
        </w:rPr>
      </w:pPr>
      <w:bookmarkStart w:id="20" w:name="_Toc67330361"/>
      <w:r w:rsidRPr="00F14A8E">
        <w:rPr>
          <w:rFonts w:ascii="Public Sans" w:eastAsia="Public Sans" w:hAnsi="Public Sans" w:cs="Public Sans"/>
        </w:rPr>
        <w:t>Will User Roles still exist in IT Collect?</w:t>
      </w:r>
      <w:bookmarkEnd w:id="17"/>
      <w:bookmarkEnd w:id="18"/>
      <w:bookmarkEnd w:id="19"/>
      <w:bookmarkEnd w:id="20"/>
    </w:p>
    <w:p w14:paraId="4060A55B" w14:textId="7152CD65" w:rsidR="00F14A8E" w:rsidRPr="00F14A8E" w:rsidRDefault="00F14A8E" w:rsidP="00F14A8E">
      <w:pPr>
        <w:pStyle w:val="ListParagraph"/>
        <w:rPr>
          <w:rFonts w:ascii="Calibri" w:eastAsia="Calibri" w:hAnsi="Calibri" w:cs="Calibri"/>
          <w:color w:val="000000" w:themeColor="text1"/>
          <w:sz w:val="24"/>
          <w:szCs w:val="24"/>
        </w:rPr>
      </w:pPr>
      <w:r w:rsidRPr="153604BE">
        <w:rPr>
          <w:rFonts w:ascii="Calibri" w:eastAsia="Calibri" w:hAnsi="Calibri" w:cs="Calibri"/>
          <w:sz w:val="24"/>
          <w:szCs w:val="24"/>
        </w:rPr>
        <w:t>No, the IT Collect team is implementing a context-based access control system that will enable vendors and agencies to manage who has submission access to the IT Collect API through their own tools. The IT Collect OAuth service will verify that the vendor is able to submit on the agency’s behalf, however, it is up to the vendor tools which of their users have submission permissions.</w:t>
      </w:r>
    </w:p>
    <w:p w14:paraId="3DC2B142" w14:textId="498B8F4D" w:rsidR="00F14A8E" w:rsidRPr="00F14A8E" w:rsidRDefault="00F14A8E" w:rsidP="00F14A8E">
      <w:pPr>
        <w:pStyle w:val="Heading2"/>
        <w:ind w:left="720"/>
        <w:rPr>
          <w:rFonts w:ascii="Public Sans" w:eastAsia="Public Sans" w:hAnsi="Public Sans" w:cs="Public Sans"/>
        </w:rPr>
      </w:pPr>
      <w:bookmarkStart w:id="21" w:name="_Toc67330362"/>
      <w:r>
        <w:rPr>
          <w:rFonts w:ascii="Public Sans" w:eastAsia="Public Sans" w:hAnsi="Public Sans" w:cs="Public Sans"/>
        </w:rPr>
        <w:t>What is the token refresh rate?</w:t>
      </w:r>
      <w:bookmarkEnd w:id="21"/>
    </w:p>
    <w:p w14:paraId="0BEE4392" w14:textId="77777777" w:rsidR="00F14A8E" w:rsidRPr="00112C74" w:rsidRDefault="00F14A8E" w:rsidP="00F14A8E">
      <w:pPr>
        <w:pStyle w:val="ListParagraph"/>
        <w:rPr>
          <w:rFonts w:ascii="Calibri" w:eastAsia="Calibri" w:hAnsi="Calibri" w:cs="Calibri"/>
          <w:color w:val="000000" w:themeColor="text1"/>
          <w:sz w:val="24"/>
          <w:szCs w:val="24"/>
        </w:rPr>
      </w:pPr>
      <w:r w:rsidRPr="18CFA41F">
        <w:rPr>
          <w:rFonts w:ascii="Calibri" w:eastAsia="Calibri" w:hAnsi="Calibri" w:cs="Calibri"/>
          <w:sz w:val="24"/>
          <w:szCs w:val="24"/>
        </w:rPr>
        <w:t>The IT Collect team is working to determine a token refresh rate that will work for both the vendor community and GSA security</w:t>
      </w:r>
      <w:r w:rsidRPr="1D3E7C55">
        <w:rPr>
          <w:rFonts w:ascii="Calibri" w:eastAsia="Calibri" w:hAnsi="Calibri" w:cs="Calibri"/>
          <w:sz w:val="24"/>
          <w:szCs w:val="24"/>
        </w:rPr>
        <w:t>.</w:t>
      </w:r>
      <w:r w:rsidRPr="18CFA41F">
        <w:rPr>
          <w:rFonts w:ascii="Calibri" w:eastAsia="Calibri" w:hAnsi="Calibri" w:cs="Calibri"/>
          <w:sz w:val="24"/>
          <w:szCs w:val="24"/>
        </w:rPr>
        <w:t xml:space="preserve"> More information will be released when available. </w:t>
      </w:r>
    </w:p>
    <w:p w14:paraId="5210CDCB" w14:textId="57C24605" w:rsidR="00F14A8E" w:rsidRPr="00F14A8E" w:rsidRDefault="00F14A8E" w:rsidP="00F14A8E">
      <w:pPr>
        <w:pStyle w:val="Heading2"/>
        <w:ind w:left="720"/>
        <w:rPr>
          <w:rFonts w:ascii="Public Sans" w:eastAsia="Public Sans" w:hAnsi="Public Sans" w:cs="Public Sans"/>
        </w:rPr>
      </w:pPr>
      <w:bookmarkStart w:id="22" w:name="_Toc67312493"/>
      <w:bookmarkStart w:id="23" w:name="_Toc67314360"/>
      <w:bookmarkStart w:id="24" w:name="_Toc67325537"/>
      <w:bookmarkStart w:id="25" w:name="_Toc67330363"/>
      <w:r w:rsidRPr="00F14A8E">
        <w:rPr>
          <w:rFonts w:ascii="Public Sans" w:eastAsia="Public Sans" w:hAnsi="Public Sans" w:cs="Public Sans"/>
        </w:rPr>
        <w:t>How will the new service architecture impact AITPS (Agency IT Portfolio Summary) submissions, and how will that process change?</w:t>
      </w:r>
      <w:bookmarkEnd w:id="22"/>
      <w:bookmarkEnd w:id="23"/>
      <w:bookmarkEnd w:id="24"/>
      <w:bookmarkEnd w:id="25"/>
    </w:p>
    <w:p w14:paraId="64A94E0D" w14:textId="36727D99" w:rsidR="00F14A8E" w:rsidRPr="00F14A8E" w:rsidRDefault="00F14A8E" w:rsidP="00F14A8E">
      <w:pPr>
        <w:pStyle w:val="ListParagraph"/>
        <w:rPr>
          <w:rFonts w:ascii="Calibri" w:eastAsia="Calibri" w:hAnsi="Calibri" w:cs="Calibri"/>
          <w:color w:val="000000" w:themeColor="text1"/>
          <w:sz w:val="24"/>
          <w:szCs w:val="24"/>
        </w:rPr>
      </w:pPr>
      <w:r w:rsidRPr="62444419">
        <w:rPr>
          <w:rFonts w:ascii="Calibri" w:eastAsia="Calibri" w:hAnsi="Calibri" w:cs="Calibri"/>
          <w:sz w:val="24"/>
          <w:szCs w:val="24"/>
        </w:rPr>
        <w:t>All AITPS data is collected in IT Collect through the Services and Ledger resources. However, IT Collect does not contain a submission mechanism to allow transmission of all AITPS data within a single file. Agencies must provide all their AITPS data over the course of multiple Services and Ledger submissions.</w:t>
      </w:r>
    </w:p>
    <w:p w14:paraId="6A5FF612" w14:textId="5F529F07" w:rsidR="00F14A8E" w:rsidRDefault="00F14A8E" w:rsidP="00F14A8E">
      <w:pPr>
        <w:pStyle w:val="Heading1"/>
        <w:rPr>
          <w:rFonts w:ascii="Public Sans" w:eastAsia="Public Sans" w:hAnsi="Public Sans" w:cs="Public Sans"/>
        </w:rPr>
      </w:pPr>
      <w:bookmarkStart w:id="26" w:name="_Toc67330364"/>
      <w:r>
        <w:rPr>
          <w:rFonts w:ascii="Public Sans" w:eastAsia="Public Sans" w:hAnsi="Public Sans" w:cs="Public Sans"/>
        </w:rPr>
        <w:lastRenderedPageBreak/>
        <w:t>Validations &amp; Errors</w:t>
      </w:r>
      <w:bookmarkEnd w:id="26"/>
    </w:p>
    <w:p w14:paraId="3F5142AA" w14:textId="6E376A60" w:rsidR="00F14A8E" w:rsidRDefault="00F14A8E" w:rsidP="00F14A8E">
      <w:pPr>
        <w:pStyle w:val="Heading2"/>
        <w:ind w:left="720"/>
        <w:rPr>
          <w:rFonts w:ascii="Public Sans" w:eastAsia="Public Sans" w:hAnsi="Public Sans" w:cs="Public Sans"/>
        </w:rPr>
      </w:pPr>
      <w:bookmarkStart w:id="27" w:name="_Toc67330365"/>
      <w:r>
        <w:rPr>
          <w:rFonts w:ascii="Public Sans" w:eastAsia="Public Sans" w:hAnsi="Public Sans" w:cs="Public Sans"/>
        </w:rPr>
        <w:t>Is IT Collect going to have a validate-only indicator?</w:t>
      </w:r>
      <w:bookmarkEnd w:id="27"/>
    </w:p>
    <w:p w14:paraId="6AAA48F9" w14:textId="77777777" w:rsidR="00F14A8E" w:rsidRDefault="00F14A8E" w:rsidP="00F14A8E">
      <w:pPr>
        <w:pStyle w:val="ListParagraph"/>
        <w:rPr>
          <w:rFonts w:ascii="Calibri" w:eastAsia="Calibri" w:hAnsi="Calibri" w:cs="Calibri"/>
          <w:color w:val="000000" w:themeColor="text1"/>
          <w:sz w:val="24"/>
          <w:szCs w:val="24"/>
        </w:rPr>
      </w:pPr>
      <w:r w:rsidRPr="7AC7D323">
        <w:rPr>
          <w:rFonts w:ascii="Calibri" w:eastAsia="Calibri" w:hAnsi="Calibri" w:cs="Calibri"/>
          <w:sz w:val="24"/>
          <w:szCs w:val="24"/>
        </w:rPr>
        <w:t>IT Collect will support validate-only functionality. This feature allows users to validate data without submitting the data to the IT Dashboard. Validate-only will be available for all endpoints.</w:t>
      </w:r>
    </w:p>
    <w:p w14:paraId="320603B6" w14:textId="195FC6B0" w:rsidR="00F14A8E" w:rsidRDefault="00F14A8E" w:rsidP="00F14A8E">
      <w:pPr>
        <w:pStyle w:val="Heading2"/>
        <w:ind w:left="720"/>
        <w:rPr>
          <w:rFonts w:ascii="Public Sans" w:eastAsia="Public Sans" w:hAnsi="Public Sans" w:cs="Public Sans"/>
        </w:rPr>
      </w:pPr>
      <w:bookmarkStart w:id="28" w:name="_Toc67330366"/>
      <w:r>
        <w:rPr>
          <w:rFonts w:ascii="Public Sans" w:eastAsia="Public Sans" w:hAnsi="Public Sans" w:cs="Public Sans"/>
        </w:rPr>
        <w:t>How descriptive will error codes be?</w:t>
      </w:r>
      <w:bookmarkEnd w:id="28"/>
    </w:p>
    <w:p w14:paraId="0A5610A1" w14:textId="7D6708B7" w:rsidR="00F14A8E" w:rsidRPr="00F14A8E" w:rsidRDefault="00F14A8E" w:rsidP="00F14A8E">
      <w:pPr>
        <w:pStyle w:val="ListParagraph"/>
        <w:rPr>
          <w:rFonts w:ascii="Calibri" w:eastAsia="Calibri" w:hAnsi="Calibri" w:cs="Calibri"/>
          <w:color w:val="000000" w:themeColor="text1"/>
          <w:sz w:val="24"/>
          <w:szCs w:val="24"/>
        </w:rPr>
      </w:pPr>
      <w:r w:rsidRPr="6C31E2FE">
        <w:rPr>
          <w:rFonts w:ascii="Calibri" w:eastAsia="Calibri" w:hAnsi="Calibri" w:cs="Calibri"/>
          <w:sz w:val="24"/>
          <w:szCs w:val="24"/>
        </w:rPr>
        <w:t xml:space="preserve">Starting with the 0.0.2 beta release of documentation, the IT Collect team is incorporating validation messages at both the resources and class level of the IT Collect documentation. If you have any questions or suggestions on the clarity of a validation message, please let us know. Access the documentation at </w:t>
      </w:r>
      <w:hyperlink r:id="rId12">
        <w:r w:rsidRPr="6C31E2FE">
          <w:rPr>
            <w:rStyle w:val="Hyperlink"/>
            <w:rFonts w:ascii="Calibri" w:eastAsia="Calibri" w:hAnsi="Calibri" w:cs="Calibri"/>
            <w:sz w:val="24"/>
            <w:szCs w:val="24"/>
          </w:rPr>
          <w:t>this link</w:t>
        </w:r>
      </w:hyperlink>
      <w:r w:rsidRPr="6C31E2FE">
        <w:rPr>
          <w:rFonts w:ascii="Calibri" w:eastAsia="Calibri" w:hAnsi="Calibri" w:cs="Calibri"/>
          <w:sz w:val="24"/>
          <w:szCs w:val="24"/>
        </w:rPr>
        <w:t>.</w:t>
      </w:r>
    </w:p>
    <w:p w14:paraId="4080884C" w14:textId="0970B0C2" w:rsidR="00F14A8E" w:rsidRDefault="00F14A8E" w:rsidP="00F14A8E">
      <w:pPr>
        <w:pStyle w:val="Heading1"/>
        <w:rPr>
          <w:rFonts w:ascii="Public Sans" w:eastAsia="Public Sans" w:hAnsi="Public Sans" w:cs="Public Sans"/>
        </w:rPr>
      </w:pPr>
      <w:bookmarkStart w:id="29" w:name="_Toc67330367"/>
      <w:r>
        <w:rPr>
          <w:rFonts w:ascii="Public Sans" w:eastAsia="Public Sans" w:hAnsi="Public Sans" w:cs="Public Sans"/>
        </w:rPr>
        <w:t>Documentation</w:t>
      </w:r>
      <w:bookmarkEnd w:id="29"/>
    </w:p>
    <w:p w14:paraId="185F3F4E" w14:textId="55732677" w:rsidR="00F14A8E" w:rsidRDefault="00F14A8E" w:rsidP="00F14A8E">
      <w:pPr>
        <w:pStyle w:val="Heading2"/>
        <w:ind w:left="720"/>
        <w:rPr>
          <w:rFonts w:ascii="Public Sans" w:eastAsia="Public Sans" w:hAnsi="Public Sans" w:cs="Public Sans"/>
        </w:rPr>
      </w:pPr>
      <w:bookmarkStart w:id="30" w:name="_Toc67330368"/>
      <w:r>
        <w:rPr>
          <w:rFonts w:ascii="Public Sans" w:eastAsia="Public Sans" w:hAnsi="Public Sans" w:cs="Public Sans"/>
        </w:rPr>
        <w:t>When will there be a final version of the documentation?</w:t>
      </w:r>
      <w:bookmarkEnd w:id="30"/>
    </w:p>
    <w:p w14:paraId="76BD17AF" w14:textId="77777777" w:rsidR="00F14A8E" w:rsidRPr="00C13479" w:rsidRDefault="00F14A8E" w:rsidP="00F14A8E">
      <w:pPr>
        <w:pStyle w:val="ListParagraph"/>
        <w:rPr>
          <w:rFonts w:ascii="Calibri" w:eastAsia="Calibri" w:hAnsi="Calibri" w:cs="Calibri"/>
          <w:color w:val="000000" w:themeColor="text1"/>
          <w:sz w:val="24"/>
          <w:szCs w:val="24"/>
        </w:rPr>
      </w:pPr>
      <w:r w:rsidRPr="7F7E96A5">
        <w:rPr>
          <w:rFonts w:ascii="Calibri" w:eastAsia="Calibri" w:hAnsi="Calibri" w:cs="Calibri"/>
          <w:sz w:val="24"/>
          <w:szCs w:val="24"/>
        </w:rPr>
        <w:t>There will not be a “final version” of the documentation since it will be continually updated, but vendors can assume no major structural changes to the released data architecture. The IT Collect team is adding more validations around the business logic that will be documented as well. Agency users can expect a more stable version of the documentation to be available closer to launch.</w:t>
      </w:r>
    </w:p>
    <w:p w14:paraId="6D43021F" w14:textId="6B684BA9" w:rsidR="00F14A8E" w:rsidRPr="00F14A8E" w:rsidRDefault="00F14A8E" w:rsidP="00F14A8E">
      <w:pPr>
        <w:pStyle w:val="Heading2"/>
        <w:ind w:left="720"/>
        <w:rPr>
          <w:rFonts w:ascii="Public Sans" w:eastAsia="Public Sans" w:hAnsi="Public Sans" w:cs="Public Sans"/>
        </w:rPr>
      </w:pPr>
      <w:bookmarkStart w:id="31" w:name="_Toc67312500"/>
      <w:bookmarkStart w:id="32" w:name="_Toc67314366"/>
      <w:bookmarkStart w:id="33" w:name="_Toc67325543"/>
      <w:bookmarkStart w:id="34" w:name="_Toc67330369"/>
      <w:r w:rsidRPr="00F14A8E">
        <w:rPr>
          <w:rFonts w:ascii="Public Sans" w:eastAsia="Public Sans" w:hAnsi="Public Sans" w:cs="Public Sans"/>
        </w:rPr>
        <w:t>What can my agency do in the meantime to prepare for the IT Collect release, if only the documentation is available now?</w:t>
      </w:r>
      <w:bookmarkEnd w:id="31"/>
      <w:bookmarkEnd w:id="32"/>
      <w:bookmarkEnd w:id="33"/>
      <w:bookmarkEnd w:id="34"/>
    </w:p>
    <w:p w14:paraId="2399E9F6" w14:textId="77777777" w:rsidR="00F14A8E" w:rsidRPr="00F14A8E" w:rsidRDefault="00F14A8E" w:rsidP="00F14A8E">
      <w:pPr>
        <w:pStyle w:val="ListParagraph"/>
        <w:rPr>
          <w:rFonts w:asciiTheme="majorHAnsi" w:eastAsia="Calibri" w:hAnsiTheme="majorHAnsi" w:cstheme="majorHAnsi"/>
          <w:sz w:val="24"/>
          <w:szCs w:val="24"/>
        </w:rPr>
      </w:pPr>
      <w:r w:rsidRPr="00F14A8E">
        <w:rPr>
          <w:rFonts w:asciiTheme="majorHAnsi" w:eastAsia="Calibri" w:hAnsiTheme="majorHAnsi" w:cstheme="majorHAnsi"/>
          <w:sz w:val="24"/>
          <w:szCs w:val="24"/>
        </w:rPr>
        <w:t xml:space="preserve">Your agency can download the </w:t>
      </w:r>
      <w:proofErr w:type="spellStart"/>
      <w:r w:rsidRPr="00F14A8E">
        <w:rPr>
          <w:rFonts w:asciiTheme="majorHAnsi" w:eastAsia="Calibri" w:hAnsiTheme="majorHAnsi" w:cstheme="majorHAnsi"/>
          <w:sz w:val="24"/>
          <w:szCs w:val="24"/>
        </w:rPr>
        <w:t>OpenAPI</w:t>
      </w:r>
      <w:proofErr w:type="spellEnd"/>
      <w:r w:rsidRPr="00F14A8E">
        <w:rPr>
          <w:rFonts w:asciiTheme="majorHAnsi" w:eastAsia="Calibri" w:hAnsiTheme="majorHAnsi" w:cstheme="majorHAnsi"/>
          <w:sz w:val="24"/>
          <w:szCs w:val="24"/>
        </w:rPr>
        <w:t xml:space="preserve"> specifications for IT Collect from </w:t>
      </w:r>
      <w:hyperlink r:id="rId13">
        <w:r w:rsidRPr="00F14A8E">
          <w:rPr>
            <w:rStyle w:val="Hyperlink"/>
            <w:rFonts w:asciiTheme="majorHAnsi" w:eastAsia="Calibri" w:hAnsiTheme="majorHAnsi" w:cstheme="majorHAnsi"/>
            <w:sz w:val="24"/>
            <w:szCs w:val="24"/>
          </w:rPr>
          <w:t>this link</w:t>
        </w:r>
      </w:hyperlink>
      <w:r w:rsidRPr="00F14A8E">
        <w:rPr>
          <w:rFonts w:asciiTheme="majorHAnsi" w:eastAsia="Calibri" w:hAnsiTheme="majorHAnsi" w:cstheme="majorHAnsi"/>
          <w:sz w:val="24"/>
          <w:szCs w:val="24"/>
        </w:rPr>
        <w:t xml:space="preserve"> to see the new architecture and create a mock API server/JSON file. Creating a mock server will allow your agency to compare the proposed IT Collect API schema to your vendor application.</w:t>
      </w:r>
    </w:p>
    <w:p w14:paraId="1796E0FD" w14:textId="24848C96" w:rsidR="00F14A8E" w:rsidRDefault="00F14A8E" w:rsidP="00F14A8E">
      <w:pPr>
        <w:pStyle w:val="Heading1"/>
        <w:rPr>
          <w:rFonts w:ascii="Public Sans" w:eastAsia="Public Sans" w:hAnsi="Public Sans" w:cs="Public Sans"/>
        </w:rPr>
      </w:pPr>
      <w:bookmarkStart w:id="35" w:name="_Toc67330370"/>
      <w:r>
        <w:rPr>
          <w:rFonts w:ascii="Public Sans" w:eastAsia="Public Sans" w:hAnsi="Public Sans" w:cs="Public Sans"/>
        </w:rPr>
        <w:t>Submissions</w:t>
      </w:r>
      <w:bookmarkEnd w:id="35"/>
    </w:p>
    <w:p w14:paraId="717DD86F" w14:textId="083C4892" w:rsidR="00F14A8E" w:rsidRPr="00F14A8E" w:rsidRDefault="00F14A8E" w:rsidP="00F14A8E">
      <w:pPr>
        <w:pStyle w:val="Heading2"/>
        <w:ind w:left="720"/>
        <w:rPr>
          <w:rFonts w:ascii="Public Sans" w:eastAsia="Public Sans" w:hAnsi="Public Sans" w:cs="Public Sans"/>
        </w:rPr>
      </w:pPr>
      <w:bookmarkStart w:id="36" w:name="_Toc67312502"/>
      <w:bookmarkStart w:id="37" w:name="_Toc67314368"/>
      <w:bookmarkStart w:id="38" w:name="_Toc67325545"/>
      <w:bookmarkStart w:id="39" w:name="_Toc67330371"/>
      <w:r w:rsidRPr="00F14A8E">
        <w:rPr>
          <w:rFonts w:ascii="Public Sans" w:eastAsia="Public Sans" w:hAnsi="Public Sans" w:cs="Public Sans"/>
        </w:rPr>
        <w:t>Can multiple investments be submitted at one time? Will there be multiple responses (one for each submission)?</w:t>
      </w:r>
      <w:bookmarkEnd w:id="36"/>
      <w:bookmarkEnd w:id="37"/>
      <w:bookmarkEnd w:id="38"/>
      <w:bookmarkEnd w:id="39"/>
    </w:p>
    <w:p w14:paraId="4889AC9C" w14:textId="77777777" w:rsidR="00F14A8E" w:rsidRPr="005F0370" w:rsidRDefault="00F14A8E" w:rsidP="00F14A8E">
      <w:pPr>
        <w:pStyle w:val="ListParagraph"/>
        <w:rPr>
          <w:rFonts w:ascii="Calibri" w:eastAsia="Calibri" w:hAnsi="Calibri" w:cs="Calibri"/>
          <w:color w:val="000000" w:themeColor="text1"/>
          <w:sz w:val="24"/>
          <w:szCs w:val="24"/>
        </w:rPr>
      </w:pPr>
      <w:r w:rsidRPr="153604BE">
        <w:rPr>
          <w:rFonts w:ascii="Calibri" w:eastAsia="Calibri" w:hAnsi="Calibri" w:cs="Calibri"/>
          <w:sz w:val="24"/>
          <w:szCs w:val="24"/>
        </w:rPr>
        <w:t xml:space="preserve">IT Collect can handle a single resource (service, project, CIO rating, etc.) at one time, however, your vendor tool can implement a batch process to submit multiple resources at once. There will be one Project/Service/Contract per file. </w:t>
      </w:r>
      <w:r w:rsidRPr="005F0370">
        <w:rPr>
          <w:rFonts w:ascii="Calibri" w:eastAsia="Calibri" w:hAnsi="Calibri" w:cs="Calibri"/>
          <w:sz w:val="24"/>
          <w:szCs w:val="24"/>
        </w:rPr>
        <w:t xml:space="preserve">In practice, this means users could send updates or multiple services with a single click in their UI, however, there will be no functionality to group multiple services, projects, or activities within a single file. We recommend only grouping submission request files at the same hierarchy level </w:t>
      </w:r>
      <w:r w:rsidRPr="005F0370">
        <w:rPr>
          <w:rFonts w:ascii="Calibri" w:eastAsia="Calibri" w:hAnsi="Calibri" w:cs="Calibri"/>
          <w:sz w:val="24"/>
          <w:szCs w:val="24"/>
        </w:rPr>
        <w:lastRenderedPageBreak/>
        <w:t>within the API Path. Submission will not be like the legacy ITDB application where you send all the investment/financial data in one file.</w:t>
      </w:r>
    </w:p>
    <w:p w14:paraId="49FB3BF7" w14:textId="103B8132" w:rsidR="00F14A8E" w:rsidRPr="00F14A8E" w:rsidRDefault="00F14A8E" w:rsidP="00F14A8E">
      <w:pPr>
        <w:pStyle w:val="Heading2"/>
        <w:ind w:left="720"/>
        <w:rPr>
          <w:rFonts w:ascii="Public Sans" w:eastAsia="Public Sans" w:hAnsi="Public Sans" w:cs="Public Sans"/>
        </w:rPr>
      </w:pPr>
      <w:bookmarkStart w:id="40" w:name="_Toc67312503"/>
      <w:bookmarkStart w:id="41" w:name="_Toc67314369"/>
      <w:bookmarkStart w:id="42" w:name="_Toc67325546"/>
      <w:bookmarkStart w:id="43" w:name="_Toc67330372"/>
      <w:r w:rsidRPr="00F14A8E">
        <w:rPr>
          <w:rFonts w:ascii="Public Sans" w:eastAsia="Public Sans" w:hAnsi="Public Sans" w:cs="Public Sans"/>
        </w:rPr>
        <w:t>How can a user submit multiple resources together in a batch if they are different endpoints? (E.g., Services and Projects)</w:t>
      </w:r>
      <w:bookmarkEnd w:id="40"/>
      <w:bookmarkEnd w:id="41"/>
      <w:bookmarkEnd w:id="42"/>
      <w:bookmarkEnd w:id="43"/>
    </w:p>
    <w:p w14:paraId="5E79C6F2" w14:textId="77777777" w:rsidR="00F14A8E" w:rsidRDefault="00F14A8E" w:rsidP="00F14A8E">
      <w:pPr>
        <w:pStyle w:val="ListParagraph"/>
        <w:rPr>
          <w:rFonts w:ascii="Calibri" w:eastAsia="Calibri" w:hAnsi="Calibri" w:cs="Calibri"/>
          <w:sz w:val="24"/>
          <w:szCs w:val="24"/>
        </w:rPr>
      </w:pPr>
      <w:r w:rsidRPr="411BE497">
        <w:rPr>
          <w:rFonts w:ascii="Calibri" w:eastAsia="Calibri" w:hAnsi="Calibri" w:cs="Calibri"/>
          <w:sz w:val="24"/>
          <w:szCs w:val="24"/>
        </w:rPr>
        <w:t xml:space="preserve">IT Collect will fully evaluate received files in order before moving down the queue. However, this practice runs into limitations with validate-only files. Since Agency ID’s will not be saved in the IT Collect database during a validate-only submission, the </w:t>
      </w:r>
      <w:proofErr w:type="gramStart"/>
      <w:r w:rsidRPr="411BE497">
        <w:rPr>
          <w:rFonts w:ascii="Calibri" w:eastAsia="Calibri" w:hAnsi="Calibri" w:cs="Calibri"/>
          <w:sz w:val="24"/>
          <w:szCs w:val="24"/>
        </w:rPr>
        <w:t>ID’s</w:t>
      </w:r>
      <w:proofErr w:type="gramEnd"/>
      <w:r w:rsidRPr="411BE497">
        <w:rPr>
          <w:rFonts w:ascii="Calibri" w:eastAsia="Calibri" w:hAnsi="Calibri" w:cs="Calibri"/>
          <w:sz w:val="24"/>
          <w:szCs w:val="24"/>
        </w:rPr>
        <w:t xml:space="preserve"> in the API Path will show as invalid if the submission is reliant on creating a resource higher up in the API Path. As a result, we recommend implementing a practice where the user groups submissions based on location in the API Path. One simple approach could be grouping your services submissions together, then grouping projects submissions.</w:t>
      </w:r>
    </w:p>
    <w:p w14:paraId="7F5106A4" w14:textId="77777777" w:rsidR="00F14A8E" w:rsidRPr="00F14A8E" w:rsidRDefault="00F14A8E" w:rsidP="00F14A8E">
      <w:pPr>
        <w:pStyle w:val="Heading2"/>
        <w:ind w:left="720"/>
        <w:rPr>
          <w:rFonts w:ascii="Public Sans" w:eastAsia="Public Sans" w:hAnsi="Public Sans" w:cs="Public Sans"/>
        </w:rPr>
      </w:pPr>
      <w:bookmarkStart w:id="44" w:name="_Toc67312504"/>
      <w:bookmarkStart w:id="45" w:name="_Toc67314370"/>
      <w:bookmarkStart w:id="46" w:name="_Toc67325547"/>
      <w:bookmarkStart w:id="47" w:name="_Toc67330373"/>
      <w:r w:rsidRPr="00F14A8E">
        <w:rPr>
          <w:rFonts w:ascii="Public Sans" w:eastAsia="Public Sans" w:hAnsi="Public Sans" w:cs="Public Sans"/>
        </w:rPr>
        <w:t>Will the Change in Status field or Delete Operation determine if an investment is eliminated?</w:t>
      </w:r>
      <w:bookmarkEnd w:id="44"/>
      <w:bookmarkEnd w:id="45"/>
      <w:bookmarkEnd w:id="46"/>
      <w:bookmarkEnd w:id="47"/>
    </w:p>
    <w:p w14:paraId="683103C3" w14:textId="77777777" w:rsidR="00F14A8E" w:rsidRDefault="00F14A8E" w:rsidP="00F14A8E">
      <w:pPr>
        <w:pStyle w:val="ListParagraph"/>
        <w:rPr>
          <w:rFonts w:ascii="Calibri" w:eastAsia="Calibri" w:hAnsi="Calibri" w:cs="Calibri"/>
          <w:sz w:val="24"/>
          <w:szCs w:val="24"/>
        </w:rPr>
      </w:pPr>
      <w:r w:rsidRPr="153604BE">
        <w:rPr>
          <w:rFonts w:ascii="Calibri" w:eastAsia="Calibri" w:hAnsi="Calibri" w:cs="Calibri"/>
          <w:sz w:val="24"/>
          <w:szCs w:val="24"/>
        </w:rPr>
        <w:t>The IT Collect team does not currently plan to implement auto-delete functionality into IT Collect. Resources will only be removed from IT Collect if an Agency submits a delete operation. The IT Collect team is actively working with OMB to handle validations surrounding the Change in Status field and the eliminated options. More information will be distributed to the vendor community once finalized.</w:t>
      </w:r>
    </w:p>
    <w:p w14:paraId="03A18B81" w14:textId="77777777" w:rsidR="00F14A8E" w:rsidRPr="00F14A8E" w:rsidRDefault="00F14A8E" w:rsidP="00F14A8E">
      <w:pPr>
        <w:pStyle w:val="Heading2"/>
        <w:ind w:left="720"/>
        <w:rPr>
          <w:rFonts w:ascii="Public Sans" w:eastAsia="Public Sans" w:hAnsi="Public Sans" w:cs="Public Sans"/>
        </w:rPr>
      </w:pPr>
      <w:bookmarkStart w:id="48" w:name="_Toc67312505"/>
      <w:bookmarkStart w:id="49" w:name="_Toc67314371"/>
      <w:bookmarkStart w:id="50" w:name="_Toc67325548"/>
      <w:bookmarkStart w:id="51" w:name="_Toc67330374"/>
      <w:r w:rsidRPr="00F14A8E">
        <w:rPr>
          <w:rFonts w:ascii="Public Sans" w:eastAsia="Public Sans" w:hAnsi="Public Sans" w:cs="Public Sans"/>
        </w:rPr>
        <w:t>What are the key differences between PUT and PATCH operations in IT Collect?</w:t>
      </w:r>
      <w:bookmarkEnd w:id="48"/>
      <w:bookmarkEnd w:id="49"/>
      <w:bookmarkEnd w:id="50"/>
      <w:bookmarkEnd w:id="51"/>
    </w:p>
    <w:p w14:paraId="706EF74B" w14:textId="489361DE" w:rsidR="00F14A8E" w:rsidRDefault="00F14A8E" w:rsidP="00F14A8E">
      <w:pPr>
        <w:ind w:left="720"/>
        <w:rPr>
          <w:rFonts w:ascii="Calibri" w:eastAsia="Calibri" w:hAnsi="Calibri" w:cs="Calibri"/>
          <w:sz w:val="24"/>
          <w:szCs w:val="24"/>
        </w:rPr>
      </w:pPr>
      <w:r w:rsidRPr="7083C754">
        <w:rPr>
          <w:rFonts w:ascii="Calibri" w:eastAsia="Calibri" w:hAnsi="Calibri" w:cs="Calibri"/>
          <w:sz w:val="24"/>
          <w:szCs w:val="24"/>
        </w:rPr>
        <w:t>The difference between a PUT and PATCH is a PUT request is designed to replace an entire record, whereas a PATCH request is used to make changes to part of a record. In a PATCH, users will only change the included data points in the PATCH file, whereas a PUT will overwrite the entire record. Any datapoints not included in the PUT request will be removed.</w:t>
      </w:r>
    </w:p>
    <w:p w14:paraId="591E6706" w14:textId="77777777" w:rsidR="00F14A8E" w:rsidRPr="00F14A8E" w:rsidRDefault="00F14A8E" w:rsidP="00F14A8E">
      <w:pPr>
        <w:ind w:left="720"/>
        <w:rPr>
          <w:rFonts w:ascii="Calibri" w:eastAsia="Calibri" w:hAnsi="Calibri" w:cs="Calibri"/>
          <w:sz w:val="24"/>
          <w:szCs w:val="24"/>
        </w:rPr>
      </w:pPr>
    </w:p>
    <w:p w14:paraId="0B60B997" w14:textId="77777777" w:rsidR="00F14A8E" w:rsidRPr="00F14A8E" w:rsidRDefault="00F14A8E" w:rsidP="00F14A8E">
      <w:pPr>
        <w:pStyle w:val="Heading2"/>
        <w:ind w:left="720"/>
        <w:rPr>
          <w:rFonts w:ascii="Public Sans" w:eastAsia="Public Sans" w:hAnsi="Public Sans" w:cs="Public Sans"/>
        </w:rPr>
      </w:pPr>
      <w:bookmarkStart w:id="52" w:name="_Toc67312506"/>
      <w:bookmarkStart w:id="53" w:name="_Toc67314372"/>
      <w:bookmarkStart w:id="54" w:name="_Toc67325549"/>
      <w:bookmarkStart w:id="55" w:name="_Toc67330375"/>
      <w:r w:rsidRPr="00F14A8E">
        <w:rPr>
          <w:rFonts w:ascii="Public Sans" w:eastAsia="Public Sans" w:hAnsi="Public Sans" w:cs="Public Sans"/>
        </w:rPr>
        <w:t>Will data be migrated from ITDB to IT Collect?</w:t>
      </w:r>
      <w:bookmarkEnd w:id="52"/>
      <w:bookmarkEnd w:id="53"/>
      <w:bookmarkEnd w:id="54"/>
      <w:bookmarkEnd w:id="55"/>
    </w:p>
    <w:p w14:paraId="18BC9985" w14:textId="77777777" w:rsidR="00F14A8E" w:rsidRPr="00F14A8E" w:rsidRDefault="00F14A8E" w:rsidP="00F14A8E">
      <w:pPr>
        <w:ind w:left="720"/>
        <w:rPr>
          <w:rFonts w:ascii="Calibri" w:eastAsia="Calibri" w:hAnsi="Calibri" w:cs="Calibri"/>
          <w:sz w:val="24"/>
          <w:szCs w:val="24"/>
        </w:rPr>
      </w:pPr>
      <w:r w:rsidRPr="153604BE">
        <w:rPr>
          <w:rFonts w:ascii="Calibri" w:eastAsia="Calibri" w:hAnsi="Calibri" w:cs="Calibri"/>
          <w:sz w:val="24"/>
          <w:szCs w:val="24"/>
        </w:rPr>
        <w:t>No, data will not be migrated from the legacy IT Dashboard to IT Collect. Agencies will need to submit all initial IT Collect data.</w:t>
      </w:r>
    </w:p>
    <w:p w14:paraId="06BAECB6" w14:textId="1E784D5A" w:rsidR="00F14A8E" w:rsidRDefault="00F14A8E" w:rsidP="00F14A8E">
      <w:pPr>
        <w:pStyle w:val="Heading2"/>
        <w:rPr>
          <w:rFonts w:ascii="Public Sans" w:eastAsia="Public Sans" w:hAnsi="Public Sans" w:cs="Public Sans"/>
        </w:rPr>
      </w:pPr>
    </w:p>
    <w:p w14:paraId="7BD0B971" w14:textId="7CF43ECE" w:rsidR="00F14A8E" w:rsidRDefault="00F14A8E" w:rsidP="00F14A8E">
      <w:pPr>
        <w:pStyle w:val="Heading1"/>
        <w:rPr>
          <w:rFonts w:ascii="Public Sans" w:eastAsia="Public Sans" w:hAnsi="Public Sans" w:cs="Public Sans"/>
        </w:rPr>
      </w:pPr>
      <w:bookmarkStart w:id="56" w:name="_Toc67330376"/>
      <w:proofErr w:type="spellStart"/>
      <w:r>
        <w:rPr>
          <w:rFonts w:ascii="Public Sans" w:eastAsia="Public Sans" w:hAnsi="Public Sans" w:cs="Public Sans"/>
        </w:rPr>
        <w:t>Rebaselines</w:t>
      </w:r>
      <w:bookmarkEnd w:id="56"/>
      <w:proofErr w:type="spellEnd"/>
    </w:p>
    <w:p w14:paraId="2E32907B" w14:textId="5301076D" w:rsidR="00F14A8E" w:rsidRDefault="00F14A8E" w:rsidP="00F14A8E">
      <w:pPr>
        <w:pStyle w:val="Heading2"/>
        <w:ind w:left="720"/>
        <w:rPr>
          <w:rFonts w:ascii="Public Sans" w:eastAsia="Public Sans" w:hAnsi="Public Sans" w:cs="Public Sans"/>
        </w:rPr>
      </w:pPr>
      <w:bookmarkStart w:id="57" w:name="_Toc67312508"/>
      <w:bookmarkStart w:id="58" w:name="_Toc67314374"/>
      <w:bookmarkStart w:id="59" w:name="_Toc67325551"/>
      <w:bookmarkStart w:id="60" w:name="_Toc67330377"/>
      <w:r w:rsidRPr="00F14A8E">
        <w:rPr>
          <w:rFonts w:ascii="Public Sans" w:eastAsia="Public Sans" w:hAnsi="Public Sans" w:cs="Public Sans"/>
        </w:rPr>
        <w:t xml:space="preserve">How do </w:t>
      </w:r>
      <w:proofErr w:type="spellStart"/>
      <w:r w:rsidRPr="00F14A8E">
        <w:rPr>
          <w:rFonts w:ascii="Public Sans" w:eastAsia="Public Sans" w:hAnsi="Public Sans" w:cs="Public Sans"/>
        </w:rPr>
        <w:t>rebaselines</w:t>
      </w:r>
      <w:proofErr w:type="spellEnd"/>
      <w:r w:rsidRPr="00F14A8E">
        <w:rPr>
          <w:rFonts w:ascii="Public Sans" w:eastAsia="Public Sans" w:hAnsi="Public Sans" w:cs="Public Sans"/>
        </w:rPr>
        <w:t xml:space="preserve"> work in IT Collect?</w:t>
      </w:r>
      <w:bookmarkEnd w:id="57"/>
      <w:bookmarkEnd w:id="58"/>
      <w:bookmarkEnd w:id="59"/>
      <w:bookmarkEnd w:id="60"/>
    </w:p>
    <w:p w14:paraId="6FC536B4" w14:textId="77777777" w:rsidR="00F14A8E" w:rsidRPr="00636CB5" w:rsidRDefault="00F14A8E" w:rsidP="00F14A8E">
      <w:pPr>
        <w:pStyle w:val="ListParagraph"/>
        <w:rPr>
          <w:rFonts w:ascii="Calibri" w:eastAsia="Calibri" w:hAnsi="Calibri" w:cs="Calibri"/>
          <w:sz w:val="24"/>
          <w:szCs w:val="24"/>
        </w:rPr>
      </w:pPr>
      <w:proofErr w:type="spellStart"/>
      <w:r w:rsidRPr="153604BE">
        <w:rPr>
          <w:rFonts w:ascii="Calibri" w:eastAsia="Calibri" w:hAnsi="Calibri" w:cs="Calibri"/>
          <w:sz w:val="24"/>
          <w:szCs w:val="24"/>
        </w:rPr>
        <w:t>Rebaselines</w:t>
      </w:r>
      <w:proofErr w:type="spellEnd"/>
      <w:r w:rsidRPr="153604BE">
        <w:rPr>
          <w:rFonts w:ascii="Calibri" w:eastAsia="Calibri" w:hAnsi="Calibri" w:cs="Calibri"/>
          <w:sz w:val="24"/>
          <w:szCs w:val="24"/>
        </w:rPr>
        <w:t xml:space="preserve"> have their own endpoint in IT Collect with all the traditional API methods. Users will be able to retrieve the entire collection of </w:t>
      </w:r>
      <w:proofErr w:type="spellStart"/>
      <w:r w:rsidRPr="153604BE">
        <w:rPr>
          <w:rFonts w:ascii="Calibri" w:eastAsia="Calibri" w:hAnsi="Calibri" w:cs="Calibri"/>
          <w:sz w:val="24"/>
          <w:szCs w:val="24"/>
        </w:rPr>
        <w:t>rebaselines</w:t>
      </w:r>
      <w:proofErr w:type="spellEnd"/>
      <w:r w:rsidRPr="153604BE">
        <w:rPr>
          <w:rFonts w:ascii="Calibri" w:eastAsia="Calibri" w:hAnsi="Calibri" w:cs="Calibri"/>
          <w:sz w:val="24"/>
          <w:szCs w:val="24"/>
        </w:rPr>
        <w:t xml:space="preserve"> under their agency, or a single </w:t>
      </w:r>
      <w:proofErr w:type="spellStart"/>
      <w:r w:rsidRPr="153604BE">
        <w:rPr>
          <w:rFonts w:ascii="Calibri" w:eastAsia="Calibri" w:hAnsi="Calibri" w:cs="Calibri"/>
          <w:sz w:val="24"/>
          <w:szCs w:val="24"/>
        </w:rPr>
        <w:t>rebaseline</w:t>
      </w:r>
      <w:proofErr w:type="spellEnd"/>
      <w:r w:rsidRPr="153604BE">
        <w:rPr>
          <w:rFonts w:ascii="Calibri" w:eastAsia="Calibri" w:hAnsi="Calibri" w:cs="Calibri"/>
          <w:sz w:val="24"/>
          <w:szCs w:val="24"/>
        </w:rPr>
        <w:t xml:space="preserve"> by providing the </w:t>
      </w:r>
      <w:proofErr w:type="spellStart"/>
      <w:r w:rsidRPr="153604BE">
        <w:rPr>
          <w:rFonts w:ascii="Calibri" w:eastAsia="Calibri" w:hAnsi="Calibri" w:cs="Calibri"/>
          <w:sz w:val="24"/>
          <w:szCs w:val="24"/>
        </w:rPr>
        <w:t>rebaseline</w:t>
      </w:r>
      <w:proofErr w:type="spellEnd"/>
      <w:r w:rsidRPr="153604BE">
        <w:rPr>
          <w:rFonts w:ascii="Calibri" w:eastAsia="Calibri" w:hAnsi="Calibri" w:cs="Calibri"/>
          <w:sz w:val="24"/>
          <w:szCs w:val="24"/>
        </w:rPr>
        <w:t xml:space="preserve"> ID. </w:t>
      </w:r>
      <w:r w:rsidRPr="00636CB5">
        <w:rPr>
          <w:rFonts w:ascii="Calibri" w:eastAsia="Calibri" w:hAnsi="Calibri" w:cs="Calibri"/>
          <w:sz w:val="24"/>
          <w:szCs w:val="24"/>
        </w:rPr>
        <w:t xml:space="preserve">Once a </w:t>
      </w:r>
      <w:proofErr w:type="spellStart"/>
      <w:r w:rsidRPr="00636CB5">
        <w:rPr>
          <w:rFonts w:ascii="Calibri" w:eastAsia="Calibri" w:hAnsi="Calibri" w:cs="Calibri"/>
          <w:sz w:val="24"/>
          <w:szCs w:val="24"/>
        </w:rPr>
        <w:t>rebaseline</w:t>
      </w:r>
      <w:proofErr w:type="spellEnd"/>
      <w:r w:rsidRPr="00636CB5">
        <w:rPr>
          <w:rFonts w:ascii="Calibri" w:eastAsia="Calibri" w:hAnsi="Calibri" w:cs="Calibri"/>
          <w:sz w:val="24"/>
          <w:szCs w:val="24"/>
        </w:rPr>
        <w:t xml:space="preserve"> has been successfully submitted, an agency can provide the valid “</w:t>
      </w:r>
      <w:proofErr w:type="spellStart"/>
      <w:r w:rsidRPr="00636CB5">
        <w:rPr>
          <w:rFonts w:ascii="Calibri" w:eastAsia="Calibri" w:hAnsi="Calibri" w:cs="Calibri"/>
          <w:sz w:val="24"/>
          <w:szCs w:val="24"/>
        </w:rPr>
        <w:t>rebaseLineID</w:t>
      </w:r>
      <w:proofErr w:type="spellEnd"/>
      <w:r w:rsidRPr="00636CB5">
        <w:rPr>
          <w:rFonts w:ascii="Calibri" w:eastAsia="Calibri" w:hAnsi="Calibri" w:cs="Calibri"/>
          <w:sz w:val="24"/>
          <w:szCs w:val="24"/>
        </w:rPr>
        <w:t xml:space="preserve">” field as another data element in the JSON Request Body. The </w:t>
      </w:r>
      <w:proofErr w:type="spellStart"/>
      <w:r w:rsidRPr="00636CB5">
        <w:rPr>
          <w:rFonts w:ascii="Calibri" w:eastAsia="Calibri" w:hAnsi="Calibri" w:cs="Calibri"/>
          <w:sz w:val="24"/>
          <w:szCs w:val="24"/>
        </w:rPr>
        <w:t>rebaseline</w:t>
      </w:r>
      <w:proofErr w:type="spellEnd"/>
      <w:r w:rsidRPr="00636CB5">
        <w:rPr>
          <w:rFonts w:ascii="Calibri" w:eastAsia="Calibri" w:hAnsi="Calibri" w:cs="Calibri"/>
          <w:sz w:val="24"/>
          <w:szCs w:val="24"/>
        </w:rPr>
        <w:t xml:space="preserve"> ID will allow users to update (PATCH) that record. </w:t>
      </w:r>
      <w:proofErr w:type="spellStart"/>
      <w:r w:rsidRPr="00636CB5">
        <w:rPr>
          <w:rFonts w:ascii="Calibri" w:eastAsia="Calibri" w:hAnsi="Calibri" w:cs="Calibri"/>
          <w:sz w:val="24"/>
          <w:szCs w:val="24"/>
        </w:rPr>
        <w:t>Rebaseline</w:t>
      </w:r>
      <w:proofErr w:type="spellEnd"/>
      <w:r w:rsidRPr="00636CB5">
        <w:rPr>
          <w:rFonts w:ascii="Calibri" w:eastAsia="Calibri" w:hAnsi="Calibri" w:cs="Calibri"/>
          <w:sz w:val="24"/>
          <w:szCs w:val="24"/>
        </w:rPr>
        <w:t xml:space="preserve"> </w:t>
      </w:r>
      <w:proofErr w:type="gramStart"/>
      <w:r w:rsidRPr="00636CB5">
        <w:rPr>
          <w:rFonts w:ascii="Calibri" w:eastAsia="Calibri" w:hAnsi="Calibri" w:cs="Calibri"/>
          <w:sz w:val="24"/>
          <w:szCs w:val="24"/>
        </w:rPr>
        <w:t>ID’s</w:t>
      </w:r>
      <w:proofErr w:type="gramEnd"/>
      <w:r w:rsidRPr="00636CB5">
        <w:rPr>
          <w:rFonts w:ascii="Calibri" w:eastAsia="Calibri" w:hAnsi="Calibri" w:cs="Calibri"/>
          <w:sz w:val="24"/>
          <w:szCs w:val="24"/>
        </w:rPr>
        <w:t xml:space="preserve"> are established separate from investments and agencies can use the same </w:t>
      </w:r>
      <w:proofErr w:type="spellStart"/>
      <w:r w:rsidRPr="00636CB5">
        <w:rPr>
          <w:rFonts w:ascii="Calibri" w:eastAsia="Calibri" w:hAnsi="Calibri" w:cs="Calibri"/>
          <w:sz w:val="24"/>
          <w:szCs w:val="24"/>
        </w:rPr>
        <w:t>rebaseline</w:t>
      </w:r>
      <w:proofErr w:type="spellEnd"/>
      <w:r w:rsidRPr="00636CB5">
        <w:rPr>
          <w:rFonts w:ascii="Calibri" w:eastAsia="Calibri" w:hAnsi="Calibri" w:cs="Calibri"/>
          <w:sz w:val="24"/>
          <w:szCs w:val="24"/>
        </w:rPr>
        <w:t xml:space="preserve"> ID across multiple investments, projects, activities, etc. where applicable. IT Collect has also made agency assigned unique identifier functionality available for </w:t>
      </w:r>
      <w:proofErr w:type="spellStart"/>
      <w:r w:rsidRPr="00636CB5">
        <w:rPr>
          <w:rFonts w:ascii="Calibri" w:eastAsia="Calibri" w:hAnsi="Calibri" w:cs="Calibri"/>
          <w:sz w:val="24"/>
          <w:szCs w:val="24"/>
        </w:rPr>
        <w:t>rebaselines</w:t>
      </w:r>
      <w:proofErr w:type="spellEnd"/>
      <w:r w:rsidRPr="00636CB5">
        <w:rPr>
          <w:rFonts w:ascii="Calibri" w:eastAsia="Calibri" w:hAnsi="Calibri" w:cs="Calibri"/>
          <w:sz w:val="24"/>
          <w:szCs w:val="24"/>
        </w:rPr>
        <w:t xml:space="preserve">. </w:t>
      </w:r>
    </w:p>
    <w:p w14:paraId="6986B471" w14:textId="77777777" w:rsidR="00F14A8E" w:rsidRPr="00F14A8E" w:rsidRDefault="00F14A8E" w:rsidP="00F14A8E"/>
    <w:p w14:paraId="5EF8D99D" w14:textId="77777777" w:rsidR="00F14A8E" w:rsidRPr="00F14A8E" w:rsidRDefault="00F14A8E" w:rsidP="00F14A8E"/>
    <w:sectPr w:rsidR="00F14A8E" w:rsidRPr="00F14A8E">
      <w:headerReference w:type="even" r:id="rId14"/>
      <w:headerReference w:type="default" r:id="rId15"/>
      <w:footerReference w:type="even" r:id="rId16"/>
      <w:footerReference w:type="default" r:id="rId17"/>
      <w:headerReference w:type="first" r:id="rId18"/>
      <w:footerReference w:type="first" r:id="rId19"/>
      <w:pgSz w:w="12240" w:h="15840"/>
      <w:pgMar w:top="1440" w:right="1440" w:bottom="1440" w:left="1440" w:header="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68E8C32" w14:textId="77777777" w:rsidR="006F14CA" w:rsidRDefault="006F14CA">
      <w:pPr>
        <w:spacing w:line="240" w:lineRule="auto"/>
      </w:pPr>
      <w:r>
        <w:separator/>
      </w:r>
    </w:p>
  </w:endnote>
  <w:endnote w:type="continuationSeparator" w:id="0">
    <w:p w14:paraId="0D13C430" w14:textId="77777777" w:rsidR="006F14CA" w:rsidRDefault="006F14C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ource Sans Pro">
    <w:panose1 w:val="020B0503030403020204"/>
    <w:charset w:val="00"/>
    <w:family w:val="swiss"/>
    <w:pitch w:val="variable"/>
    <w:sig w:usb0="600002F7" w:usb1="02000001"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00000003" w:usb1="00000000" w:usb2="00000000" w:usb3="00000000" w:csb0="00000001" w:csb1="00000000"/>
  </w:font>
  <w:font w:name="Public Sans">
    <w:altName w:val="Calibri"/>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EBC336" w14:textId="77777777" w:rsidR="00EE08DA" w:rsidRDefault="00EE08D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12E720" w14:textId="7E1326CC" w:rsidR="001C3140" w:rsidRDefault="00614486">
    <w:pPr>
      <w:tabs>
        <w:tab w:val="right" w:pos="9360"/>
      </w:tabs>
      <w:rPr>
        <w:rFonts w:ascii="Arial" w:eastAsia="Arial" w:hAnsi="Arial" w:cs="Arial"/>
        <w:color w:val="999999"/>
        <w:sz w:val="18"/>
        <w:szCs w:val="18"/>
      </w:rPr>
    </w:pPr>
    <w:r>
      <w:rPr>
        <w:rFonts w:ascii="Arial" w:eastAsia="Arial" w:hAnsi="Arial" w:cs="Arial"/>
        <w:color w:val="999999"/>
        <w:sz w:val="18"/>
        <w:szCs w:val="18"/>
      </w:rPr>
      <w:t xml:space="preserve">IT Collect </w:t>
    </w:r>
    <w:r w:rsidR="00F14A8E">
      <w:rPr>
        <w:rFonts w:ascii="Arial" w:eastAsia="Arial" w:hAnsi="Arial" w:cs="Arial"/>
        <w:color w:val="999999"/>
        <w:sz w:val="18"/>
        <w:szCs w:val="18"/>
      </w:rPr>
      <w:t>FAQ</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744C46" w14:textId="77777777" w:rsidR="001C3140" w:rsidRDefault="001C3140">
    <w:pPr>
      <w:pBdr>
        <w:top w:val="nil"/>
        <w:left w:val="nil"/>
        <w:bottom w:val="nil"/>
        <w:right w:val="nil"/>
        <w:between w:val="nil"/>
      </w:pBdr>
      <w:rPr>
        <w:rFonts w:ascii="Calibri" w:eastAsia="Calibri" w:hAnsi="Calibri" w:cs="Calibri"/>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B55BEA8" w14:textId="77777777" w:rsidR="006F14CA" w:rsidRDefault="006F14CA">
      <w:pPr>
        <w:spacing w:line="240" w:lineRule="auto"/>
      </w:pPr>
      <w:r>
        <w:separator/>
      </w:r>
    </w:p>
  </w:footnote>
  <w:footnote w:type="continuationSeparator" w:id="0">
    <w:p w14:paraId="2F641C40" w14:textId="77777777" w:rsidR="006F14CA" w:rsidRDefault="006F14C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3B14A8" w14:textId="77777777" w:rsidR="00614486" w:rsidRDefault="0061448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B04A90" w14:textId="77777777" w:rsidR="00EE08DA" w:rsidRDefault="00EE08D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EA17D9" w14:textId="77777777" w:rsidR="00EE08DA" w:rsidRDefault="00EE08D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hybridMultilevel"/>
    <w:tmpl w:val="00000001"/>
    <w:lvl w:ilvl="0" w:tplc="00000001">
      <w:start w:val="1"/>
      <w:numFmt w:val="lowerLetter"/>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2"/>
      <w:numFmt w:val="lowerLetter"/>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00000003"/>
    <w:lvl w:ilvl="0" w:tplc="000000C9">
      <w:start w:val="3"/>
      <w:numFmt w:val="lowerLetter"/>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00000004"/>
    <w:lvl w:ilvl="0" w:tplc="0000012D">
      <w:start w:val="4"/>
      <w:numFmt w:val="lowerLetter"/>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256E33D3"/>
    <w:multiLevelType w:val="hybridMultilevel"/>
    <w:tmpl w:val="8348D2F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0F26E84"/>
    <w:multiLevelType w:val="hybridMultilevel"/>
    <w:tmpl w:val="FE5231D2"/>
    <w:lvl w:ilvl="0" w:tplc="04090017">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C623497"/>
    <w:multiLevelType w:val="hybridMultilevel"/>
    <w:tmpl w:val="83528570"/>
    <w:lvl w:ilvl="0" w:tplc="B38CB74E">
      <w:start w:val="1"/>
      <w:numFmt w:val="decimal"/>
      <w:lvlText w:val="%1."/>
      <w:lvlJc w:val="left"/>
      <w:pPr>
        <w:ind w:left="720" w:hanging="360"/>
      </w:pPr>
    </w:lvl>
    <w:lvl w:ilvl="1" w:tplc="9C0AD0A6">
      <w:start w:val="1"/>
      <w:numFmt w:val="lowerLetter"/>
      <w:lvlText w:val="%2."/>
      <w:lvlJc w:val="left"/>
      <w:pPr>
        <w:ind w:left="1440" w:hanging="360"/>
      </w:pPr>
    </w:lvl>
    <w:lvl w:ilvl="2" w:tplc="13DEA0A6">
      <w:start w:val="1"/>
      <w:numFmt w:val="lowerRoman"/>
      <w:lvlText w:val="%3."/>
      <w:lvlJc w:val="right"/>
      <w:pPr>
        <w:ind w:left="2160" w:hanging="180"/>
      </w:pPr>
    </w:lvl>
    <w:lvl w:ilvl="3" w:tplc="853A9640">
      <w:start w:val="1"/>
      <w:numFmt w:val="decimal"/>
      <w:lvlText w:val="%4."/>
      <w:lvlJc w:val="left"/>
      <w:pPr>
        <w:ind w:left="2880" w:hanging="360"/>
      </w:pPr>
    </w:lvl>
    <w:lvl w:ilvl="4" w:tplc="B908DE0E">
      <w:start w:val="1"/>
      <w:numFmt w:val="lowerLetter"/>
      <w:lvlText w:val="%5."/>
      <w:lvlJc w:val="left"/>
      <w:pPr>
        <w:ind w:left="3600" w:hanging="360"/>
      </w:pPr>
    </w:lvl>
    <w:lvl w:ilvl="5" w:tplc="4F3C20A2">
      <w:start w:val="1"/>
      <w:numFmt w:val="lowerRoman"/>
      <w:lvlText w:val="%6."/>
      <w:lvlJc w:val="right"/>
      <w:pPr>
        <w:ind w:left="4320" w:hanging="180"/>
      </w:pPr>
    </w:lvl>
    <w:lvl w:ilvl="6" w:tplc="42B81BC6">
      <w:start w:val="1"/>
      <w:numFmt w:val="decimal"/>
      <w:lvlText w:val="%7."/>
      <w:lvlJc w:val="left"/>
      <w:pPr>
        <w:ind w:left="5040" w:hanging="360"/>
      </w:pPr>
    </w:lvl>
    <w:lvl w:ilvl="7" w:tplc="C660C590">
      <w:start w:val="1"/>
      <w:numFmt w:val="lowerLetter"/>
      <w:lvlText w:val="%8."/>
      <w:lvlJc w:val="left"/>
      <w:pPr>
        <w:ind w:left="5760" w:hanging="360"/>
      </w:pPr>
    </w:lvl>
    <w:lvl w:ilvl="8" w:tplc="DACED0EA">
      <w:start w:val="1"/>
      <w:numFmt w:val="lowerRoman"/>
      <w:lvlText w:val="%9."/>
      <w:lvlJc w:val="right"/>
      <w:pPr>
        <w:ind w:left="6480" w:hanging="180"/>
      </w:pPr>
    </w:lvl>
  </w:abstractNum>
  <w:abstractNum w:abstractNumId="7" w15:restartNumberingAfterBreak="0">
    <w:nsid w:val="3C87422E"/>
    <w:multiLevelType w:val="multilevel"/>
    <w:tmpl w:val="1CA65E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4DC95D0C"/>
    <w:multiLevelType w:val="multilevel"/>
    <w:tmpl w:val="9C1666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5C782DFA"/>
    <w:multiLevelType w:val="multilevel"/>
    <w:tmpl w:val="00BEE3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8"/>
  </w:num>
  <w:num w:numId="2">
    <w:abstractNumId w:val="9"/>
  </w:num>
  <w:num w:numId="3">
    <w:abstractNumId w:val="7"/>
  </w:num>
  <w:num w:numId="4">
    <w:abstractNumId w:val="6"/>
  </w:num>
  <w:num w:numId="5">
    <w:abstractNumId w:val="0"/>
  </w:num>
  <w:num w:numId="6">
    <w:abstractNumId w:val="1"/>
  </w:num>
  <w:num w:numId="7">
    <w:abstractNumId w:val="2"/>
  </w:num>
  <w:num w:numId="8">
    <w:abstractNumId w:val="3"/>
  </w:num>
  <w:num w:numId="9">
    <w:abstractNumId w:val="4"/>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3140"/>
    <w:rsid w:val="00106761"/>
    <w:rsid w:val="001C3140"/>
    <w:rsid w:val="003F66B4"/>
    <w:rsid w:val="00614486"/>
    <w:rsid w:val="006F14CA"/>
    <w:rsid w:val="00765A0A"/>
    <w:rsid w:val="00CD0B55"/>
    <w:rsid w:val="00EE08DA"/>
    <w:rsid w:val="00F14A8E"/>
    <w:rsid w:val="00F26C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DCAABA"/>
  <w15:docId w15:val="{78396AAD-A43A-EF4F-96A2-3D7942684E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Source Sans Pro" w:eastAsia="Source Sans Pro" w:hAnsi="Source Sans Pro" w:cs="Source Sans Pro"/>
        <w:sz w:val="22"/>
        <w:szCs w:val="22"/>
        <w:lang w:val="en-US" w:eastAsia="en-US" w:bidi="ar-SA"/>
      </w:rPr>
    </w:rPrDefault>
    <w:pPrDefault>
      <w:pPr>
        <w:widowControl w:val="0"/>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after="120"/>
      <w:outlineLvl w:val="0"/>
    </w:pPr>
    <w:rPr>
      <w:rFonts w:ascii="Arial" w:eastAsia="Arial" w:hAnsi="Arial" w:cs="Arial"/>
      <w:b/>
      <w:color w:val="0579BD"/>
      <w:sz w:val="36"/>
      <w:szCs w:val="36"/>
    </w:rPr>
  </w:style>
  <w:style w:type="paragraph" w:styleId="Heading2">
    <w:name w:val="heading 2"/>
    <w:basedOn w:val="Normal"/>
    <w:next w:val="Normal"/>
    <w:uiPriority w:val="9"/>
    <w:unhideWhenUsed/>
    <w:qFormat/>
    <w:pPr>
      <w:keepNext/>
      <w:keepLines/>
      <w:spacing w:after="120" w:line="273" w:lineRule="auto"/>
      <w:outlineLvl w:val="1"/>
    </w:pPr>
    <w:rPr>
      <w:rFonts w:ascii="Arial" w:eastAsia="Arial" w:hAnsi="Arial" w:cs="Arial"/>
      <w:b/>
      <w:color w:val="0095DA"/>
      <w:sz w:val="28"/>
      <w:szCs w:val="28"/>
    </w:rPr>
  </w:style>
  <w:style w:type="paragraph" w:styleId="Heading3">
    <w:name w:val="heading 3"/>
    <w:basedOn w:val="Normal"/>
    <w:next w:val="Normal"/>
    <w:uiPriority w:val="9"/>
    <w:semiHidden/>
    <w:unhideWhenUsed/>
    <w:qFormat/>
    <w:pPr>
      <w:keepNext/>
      <w:keepLines/>
      <w:spacing w:after="120"/>
      <w:outlineLvl w:val="2"/>
    </w:pPr>
    <w:rPr>
      <w:rFonts w:ascii="Calibri" w:eastAsia="Calibri" w:hAnsi="Calibri" w:cs="Calibri"/>
      <w:color w:val="5B87D5"/>
      <w:sz w:val="24"/>
      <w:szCs w:val="24"/>
    </w:rPr>
  </w:style>
  <w:style w:type="paragraph" w:styleId="Heading4">
    <w:name w:val="heading 4"/>
    <w:basedOn w:val="Normal"/>
    <w:next w:val="Normal"/>
    <w:uiPriority w:val="9"/>
    <w:semiHidden/>
    <w:unhideWhenUsed/>
    <w:qFormat/>
    <w:pPr>
      <w:keepNext/>
      <w:keepLines/>
      <w:pBdr>
        <w:top w:val="nil"/>
        <w:left w:val="nil"/>
        <w:bottom w:val="nil"/>
        <w:right w:val="nil"/>
        <w:between w:val="nil"/>
      </w:pBdr>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pBdr>
        <w:top w:val="nil"/>
        <w:left w:val="nil"/>
        <w:bottom w:val="nil"/>
        <w:right w:val="nil"/>
        <w:between w:val="nil"/>
      </w:pBdr>
      <w:spacing w:before="240" w:after="80"/>
      <w:outlineLvl w:val="4"/>
    </w:pPr>
    <w:rPr>
      <w:color w:val="666666"/>
    </w:rPr>
  </w:style>
  <w:style w:type="paragraph" w:styleId="Heading6">
    <w:name w:val="heading 6"/>
    <w:basedOn w:val="Normal"/>
    <w:next w:val="Normal"/>
    <w:uiPriority w:val="9"/>
    <w:semiHidden/>
    <w:unhideWhenUsed/>
    <w:qFormat/>
    <w:pPr>
      <w:keepNext/>
      <w:keepLines/>
      <w:pBdr>
        <w:top w:val="nil"/>
        <w:left w:val="nil"/>
        <w:bottom w:val="nil"/>
        <w:right w:val="nil"/>
        <w:between w:val="nil"/>
      </w:pBdr>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120"/>
    </w:pPr>
    <w:rPr>
      <w:rFonts w:ascii="Arial" w:eastAsia="Arial" w:hAnsi="Arial" w:cs="Arial"/>
      <w:b/>
      <w:color w:val="3B5789"/>
      <w:sz w:val="44"/>
      <w:szCs w:val="44"/>
    </w:rPr>
  </w:style>
  <w:style w:type="paragraph" w:styleId="Subtitle">
    <w:name w:val="Subtitle"/>
    <w:basedOn w:val="Normal"/>
    <w:next w:val="Normal"/>
    <w:uiPriority w:val="11"/>
    <w:qFormat/>
    <w:pPr>
      <w:keepNext/>
      <w:keepLines/>
      <w:spacing w:after="240" w:line="240" w:lineRule="auto"/>
      <w:jc w:val="center"/>
    </w:pPr>
    <w:rPr>
      <w:rFonts w:ascii="Calibri" w:eastAsia="Calibri" w:hAnsi="Calibri" w:cs="Calibri"/>
      <w:color w:val="5B87D5"/>
      <w:sz w:val="36"/>
      <w:szCs w:val="36"/>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614486"/>
    <w:pPr>
      <w:tabs>
        <w:tab w:val="center" w:pos="4680"/>
        <w:tab w:val="right" w:pos="9360"/>
      </w:tabs>
      <w:spacing w:line="240" w:lineRule="auto"/>
    </w:pPr>
  </w:style>
  <w:style w:type="character" w:customStyle="1" w:styleId="HeaderChar">
    <w:name w:val="Header Char"/>
    <w:basedOn w:val="DefaultParagraphFont"/>
    <w:link w:val="Header"/>
    <w:uiPriority w:val="99"/>
    <w:rsid w:val="00614486"/>
  </w:style>
  <w:style w:type="paragraph" w:styleId="Footer">
    <w:name w:val="footer"/>
    <w:basedOn w:val="Normal"/>
    <w:link w:val="FooterChar"/>
    <w:uiPriority w:val="99"/>
    <w:unhideWhenUsed/>
    <w:rsid w:val="00614486"/>
    <w:pPr>
      <w:tabs>
        <w:tab w:val="center" w:pos="4680"/>
        <w:tab w:val="right" w:pos="9360"/>
      </w:tabs>
      <w:spacing w:line="240" w:lineRule="auto"/>
    </w:pPr>
  </w:style>
  <w:style w:type="character" w:customStyle="1" w:styleId="FooterChar">
    <w:name w:val="Footer Char"/>
    <w:basedOn w:val="DefaultParagraphFont"/>
    <w:link w:val="Footer"/>
    <w:uiPriority w:val="99"/>
    <w:rsid w:val="00614486"/>
  </w:style>
  <w:style w:type="paragraph" w:styleId="TOC1">
    <w:name w:val="toc 1"/>
    <w:basedOn w:val="Normal"/>
    <w:next w:val="Normal"/>
    <w:autoRedefine/>
    <w:uiPriority w:val="39"/>
    <w:unhideWhenUsed/>
    <w:rsid w:val="00F26CD3"/>
    <w:pPr>
      <w:spacing w:before="120"/>
    </w:pPr>
    <w:rPr>
      <w:rFonts w:asciiTheme="majorHAnsi" w:hAnsiTheme="majorHAnsi"/>
      <w:b/>
      <w:bCs/>
      <w:iCs/>
      <w:szCs w:val="24"/>
    </w:rPr>
  </w:style>
  <w:style w:type="paragraph" w:styleId="TOC2">
    <w:name w:val="toc 2"/>
    <w:basedOn w:val="Normal"/>
    <w:next w:val="Normal"/>
    <w:autoRedefine/>
    <w:uiPriority w:val="39"/>
    <w:unhideWhenUsed/>
    <w:rsid w:val="00F26CD3"/>
    <w:pPr>
      <w:spacing w:before="120"/>
      <w:ind w:left="220"/>
    </w:pPr>
    <w:rPr>
      <w:rFonts w:asciiTheme="majorHAnsi" w:hAnsiTheme="majorHAnsi"/>
      <w:bCs/>
      <w:sz w:val="20"/>
    </w:rPr>
  </w:style>
  <w:style w:type="character" w:styleId="Hyperlink">
    <w:name w:val="Hyperlink"/>
    <w:basedOn w:val="DefaultParagraphFont"/>
    <w:uiPriority w:val="99"/>
    <w:unhideWhenUsed/>
    <w:rsid w:val="00614486"/>
    <w:rPr>
      <w:color w:val="0000FF" w:themeColor="hyperlink"/>
      <w:u w:val="single"/>
    </w:rPr>
  </w:style>
  <w:style w:type="paragraph" w:styleId="ListParagraph">
    <w:name w:val="List Paragraph"/>
    <w:basedOn w:val="Normal"/>
    <w:uiPriority w:val="34"/>
    <w:qFormat/>
    <w:rsid w:val="00614486"/>
    <w:pPr>
      <w:widowControl/>
      <w:spacing w:after="160" w:line="259" w:lineRule="auto"/>
      <w:ind w:left="720"/>
      <w:contextualSpacing/>
    </w:pPr>
    <w:rPr>
      <w:rFonts w:asciiTheme="minorHAnsi" w:eastAsiaTheme="minorHAnsi" w:hAnsiTheme="minorHAnsi" w:cstheme="minorBidi"/>
    </w:rPr>
  </w:style>
  <w:style w:type="character" w:styleId="CommentReference">
    <w:name w:val="annotation reference"/>
    <w:basedOn w:val="DefaultParagraphFont"/>
    <w:uiPriority w:val="99"/>
    <w:semiHidden/>
    <w:unhideWhenUsed/>
    <w:rsid w:val="00614486"/>
    <w:rPr>
      <w:sz w:val="16"/>
      <w:szCs w:val="16"/>
    </w:rPr>
  </w:style>
  <w:style w:type="paragraph" w:styleId="CommentText">
    <w:name w:val="annotation text"/>
    <w:basedOn w:val="Normal"/>
    <w:link w:val="CommentTextChar"/>
    <w:uiPriority w:val="99"/>
    <w:semiHidden/>
    <w:unhideWhenUsed/>
    <w:rsid w:val="00614486"/>
    <w:pPr>
      <w:widowControl/>
      <w:spacing w:after="160" w:line="240" w:lineRule="auto"/>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semiHidden/>
    <w:rsid w:val="00614486"/>
    <w:rPr>
      <w:rFonts w:asciiTheme="minorHAnsi" w:eastAsiaTheme="minorHAnsi" w:hAnsiTheme="minorHAnsi" w:cstheme="minorBidi"/>
      <w:sz w:val="20"/>
      <w:szCs w:val="20"/>
    </w:rPr>
  </w:style>
  <w:style w:type="character" w:styleId="Mention">
    <w:name w:val="Mention"/>
    <w:basedOn w:val="DefaultParagraphFont"/>
    <w:uiPriority w:val="99"/>
    <w:unhideWhenUsed/>
    <w:rsid w:val="00614486"/>
    <w:rPr>
      <w:color w:val="2B579A"/>
      <w:shd w:val="clear" w:color="auto" w:fill="E6E6E6"/>
    </w:rPr>
  </w:style>
  <w:style w:type="paragraph" w:styleId="TOCHeading">
    <w:name w:val="TOC Heading"/>
    <w:basedOn w:val="Heading1"/>
    <w:next w:val="Normal"/>
    <w:uiPriority w:val="39"/>
    <w:unhideWhenUsed/>
    <w:qFormat/>
    <w:rsid w:val="00F26CD3"/>
    <w:pPr>
      <w:widowControl/>
      <w:spacing w:before="480" w:after="0"/>
      <w:outlineLvl w:val="9"/>
    </w:pPr>
    <w:rPr>
      <w:rFonts w:asciiTheme="majorHAnsi" w:eastAsiaTheme="majorEastAsia" w:hAnsiTheme="majorHAnsi" w:cstheme="majorBidi"/>
      <w:bCs/>
      <w:color w:val="365F91" w:themeColor="accent1" w:themeShade="BF"/>
      <w:sz w:val="28"/>
      <w:szCs w:val="28"/>
    </w:rPr>
  </w:style>
  <w:style w:type="paragraph" w:styleId="TOC3">
    <w:name w:val="toc 3"/>
    <w:basedOn w:val="Normal"/>
    <w:next w:val="Normal"/>
    <w:autoRedefine/>
    <w:uiPriority w:val="39"/>
    <w:unhideWhenUsed/>
    <w:rsid w:val="00F26CD3"/>
    <w:pPr>
      <w:ind w:left="440"/>
    </w:pPr>
    <w:rPr>
      <w:rFonts w:asciiTheme="minorHAnsi" w:hAnsiTheme="minorHAnsi"/>
      <w:sz w:val="20"/>
      <w:szCs w:val="20"/>
    </w:rPr>
  </w:style>
  <w:style w:type="paragraph" w:styleId="TOC4">
    <w:name w:val="toc 4"/>
    <w:basedOn w:val="Normal"/>
    <w:next w:val="Normal"/>
    <w:autoRedefine/>
    <w:uiPriority w:val="39"/>
    <w:unhideWhenUsed/>
    <w:rsid w:val="00F26CD3"/>
    <w:pPr>
      <w:ind w:left="660"/>
    </w:pPr>
    <w:rPr>
      <w:rFonts w:asciiTheme="minorHAnsi" w:hAnsiTheme="minorHAnsi"/>
      <w:sz w:val="20"/>
      <w:szCs w:val="20"/>
    </w:rPr>
  </w:style>
  <w:style w:type="paragraph" w:styleId="TOC5">
    <w:name w:val="toc 5"/>
    <w:basedOn w:val="Normal"/>
    <w:next w:val="Normal"/>
    <w:autoRedefine/>
    <w:uiPriority w:val="39"/>
    <w:unhideWhenUsed/>
    <w:rsid w:val="00F26CD3"/>
    <w:pPr>
      <w:ind w:left="880"/>
    </w:pPr>
    <w:rPr>
      <w:rFonts w:asciiTheme="minorHAnsi" w:hAnsiTheme="minorHAnsi"/>
      <w:sz w:val="20"/>
      <w:szCs w:val="20"/>
    </w:rPr>
  </w:style>
  <w:style w:type="paragraph" w:styleId="TOC6">
    <w:name w:val="toc 6"/>
    <w:basedOn w:val="Normal"/>
    <w:next w:val="Normal"/>
    <w:autoRedefine/>
    <w:uiPriority w:val="39"/>
    <w:unhideWhenUsed/>
    <w:rsid w:val="00F26CD3"/>
    <w:pPr>
      <w:ind w:left="1100"/>
    </w:pPr>
    <w:rPr>
      <w:rFonts w:asciiTheme="minorHAnsi" w:hAnsiTheme="minorHAnsi"/>
      <w:sz w:val="20"/>
      <w:szCs w:val="20"/>
    </w:rPr>
  </w:style>
  <w:style w:type="paragraph" w:styleId="TOC7">
    <w:name w:val="toc 7"/>
    <w:basedOn w:val="Normal"/>
    <w:next w:val="Normal"/>
    <w:autoRedefine/>
    <w:uiPriority w:val="39"/>
    <w:unhideWhenUsed/>
    <w:rsid w:val="00F26CD3"/>
    <w:pPr>
      <w:ind w:left="1320"/>
    </w:pPr>
    <w:rPr>
      <w:rFonts w:asciiTheme="minorHAnsi" w:hAnsiTheme="minorHAnsi"/>
      <w:sz w:val="20"/>
      <w:szCs w:val="20"/>
    </w:rPr>
  </w:style>
  <w:style w:type="paragraph" w:styleId="TOC8">
    <w:name w:val="toc 8"/>
    <w:basedOn w:val="Normal"/>
    <w:next w:val="Normal"/>
    <w:autoRedefine/>
    <w:uiPriority w:val="39"/>
    <w:unhideWhenUsed/>
    <w:rsid w:val="00F26CD3"/>
    <w:pPr>
      <w:ind w:left="1540"/>
    </w:pPr>
    <w:rPr>
      <w:rFonts w:asciiTheme="minorHAnsi" w:hAnsiTheme="minorHAnsi"/>
      <w:sz w:val="20"/>
      <w:szCs w:val="20"/>
    </w:rPr>
  </w:style>
  <w:style w:type="paragraph" w:styleId="TOC9">
    <w:name w:val="toc 9"/>
    <w:basedOn w:val="Normal"/>
    <w:next w:val="Normal"/>
    <w:autoRedefine/>
    <w:uiPriority w:val="39"/>
    <w:unhideWhenUsed/>
    <w:rsid w:val="00F26CD3"/>
    <w:pPr>
      <w:ind w:left="1760"/>
    </w:pPr>
    <w:rPr>
      <w:rFonts w:asciiTheme="minorHAnsi" w:hAnsi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066358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sa.github.io/ITDB-schema/" TargetMode="External"/><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gsa.github.io/ITDB-schema/"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yperlink" Target="https://gsa.github.io/ITDB-schema/" TargetMode="Externa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hyperlink" Target="https://login.gov/create-an-account/"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DB5E5C-F730-0741-B325-4CD09249D2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7</Pages>
  <Words>1694</Words>
  <Characters>9656</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Thomas, Samantha [USA]</cp:lastModifiedBy>
  <cp:revision>5</cp:revision>
  <dcterms:created xsi:type="dcterms:W3CDTF">2021-03-22T22:29:00Z</dcterms:created>
  <dcterms:modified xsi:type="dcterms:W3CDTF">2021-03-23T15:11:00Z</dcterms:modified>
</cp:coreProperties>
</file>