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107EE693" w:rsidP="4DBA3918" w:rsidRDefault="107EE693" w14:paraId="1358ACF0" w14:textId="112D6B04">
      <w:pPr>
        <w:spacing w:before="240" w:after="120" w:line="259" w:lineRule="auto"/>
        <w:rPr>
          <w:rFonts w:ascii="Calibri" w:hAnsi="Calibri" w:eastAsia="Calibri" w:cs="Calibri"/>
          <w:b w:val="0"/>
          <w:bCs w:val="0"/>
          <w:i w:val="0"/>
          <w:iCs w:val="0"/>
          <w:noProof w:val="0"/>
          <w:color w:val="3AAD2C"/>
          <w:sz w:val="32"/>
          <w:szCs w:val="32"/>
          <w:lang w:val="en-US"/>
        </w:rPr>
      </w:pPr>
      <w:r w:rsidR="107EE693">
        <w:drawing>
          <wp:inline wp14:editId="4C1440F2" wp14:anchorId="286158A5">
            <wp:extent cx="1028700" cy="904875"/>
            <wp:effectExtent l="0" t="0" r="0" b="0"/>
            <wp:docPr id="1072483410" name="" descr="GSA Star Mark logo - blue background with the letters &quot;GSA&quot; in white text" title=""/>
            <wp:cNvGraphicFramePr>
              <a:graphicFrameLocks noChangeAspect="1"/>
            </wp:cNvGraphicFramePr>
            <a:graphic>
              <a:graphicData uri="http://schemas.openxmlformats.org/drawingml/2006/picture">
                <pic:pic>
                  <pic:nvPicPr>
                    <pic:cNvPr id="0" name=""/>
                    <pic:cNvPicPr/>
                  </pic:nvPicPr>
                  <pic:blipFill>
                    <a:blip r:embed="R753b29fa637843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28700" cy="904875"/>
                    </a:xfrm>
                    <a:prstGeom prst="rect">
                      <a:avLst/>
                    </a:prstGeom>
                  </pic:spPr>
                </pic:pic>
              </a:graphicData>
            </a:graphic>
          </wp:inline>
        </w:drawing>
      </w:r>
    </w:p>
    <w:p w:rsidR="4DBA3918" w:rsidP="4DBA3918" w:rsidRDefault="4DBA3918" w14:paraId="7E2214AF" w14:textId="6CBA2FC7">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4DBA3918" w:rsidP="4DBA3918" w:rsidRDefault="4DBA3918" w14:paraId="20196075" w14:textId="4624E1D9">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4DBA3918" w:rsidP="4DBA3918" w:rsidRDefault="4DBA3918" w14:paraId="7059EC26" w14:textId="7289BF2E">
      <w:pPr>
        <w:spacing w:after="160" w:line="259" w:lineRule="auto"/>
        <w:rPr>
          <w:rFonts w:ascii="Segoe UI" w:hAnsi="Segoe UI" w:eastAsia="Segoe UI" w:cs="Segoe UI"/>
          <w:b w:val="0"/>
          <w:bCs w:val="0"/>
          <w:i w:val="0"/>
          <w:iCs w:val="0"/>
          <w:noProof w:val="0"/>
          <w:color w:val="000000" w:themeColor="text1" w:themeTint="FF" w:themeShade="FF"/>
          <w:sz w:val="22"/>
          <w:szCs w:val="22"/>
          <w:lang w:val="en-US"/>
        </w:rPr>
      </w:pPr>
    </w:p>
    <w:p w:rsidR="107EE693" w:rsidP="3722BE7F" w:rsidRDefault="107EE693" w14:paraId="1F460B04" w14:textId="13F1FA62">
      <w:pPr>
        <w:spacing w:after="160" w:line="259" w:lineRule="auto"/>
        <w:jc w:val="center"/>
        <w:rPr>
          <w:rFonts w:ascii="Public sans" w:hAnsi="Public sans" w:eastAsia="Public sans" w:cs="Public sans"/>
          <w:b w:val="0"/>
          <w:bCs w:val="0"/>
          <w:i w:val="0"/>
          <w:iCs w:val="0"/>
          <w:noProof w:val="0"/>
          <w:color w:val="3B5789"/>
          <w:sz w:val="60"/>
          <w:szCs w:val="60"/>
          <w:lang w:val="en-US"/>
        </w:rPr>
      </w:pPr>
      <w:r w:rsidRPr="3722BE7F" w:rsidR="107EE693">
        <w:rPr>
          <w:rFonts w:ascii="Public sans" w:hAnsi="Public sans" w:eastAsia="Public sans" w:cs="Public sans"/>
          <w:b w:val="1"/>
          <w:bCs w:val="1"/>
          <w:i w:val="0"/>
          <w:iCs w:val="0"/>
          <w:noProof w:val="0"/>
          <w:color w:val="3B5789"/>
          <w:sz w:val="60"/>
          <w:szCs w:val="60"/>
          <w:lang w:val="en-US"/>
        </w:rPr>
        <w:t xml:space="preserve">IT Collect "How </w:t>
      </w:r>
      <w:proofErr w:type="gramStart"/>
      <w:r w:rsidRPr="3722BE7F" w:rsidR="107EE693">
        <w:rPr>
          <w:rFonts w:ascii="Public sans" w:hAnsi="Public sans" w:eastAsia="Public sans" w:cs="Public sans"/>
          <w:b w:val="1"/>
          <w:bCs w:val="1"/>
          <w:i w:val="0"/>
          <w:iCs w:val="0"/>
          <w:noProof w:val="0"/>
          <w:color w:val="3B5789"/>
          <w:sz w:val="60"/>
          <w:szCs w:val="60"/>
          <w:lang w:val="en-US"/>
        </w:rPr>
        <w:t>To</w:t>
      </w:r>
      <w:proofErr w:type="gramEnd"/>
      <w:r w:rsidRPr="3722BE7F" w:rsidR="107EE693">
        <w:rPr>
          <w:rFonts w:ascii="Public sans" w:hAnsi="Public sans" w:eastAsia="Public sans" w:cs="Public sans"/>
          <w:b w:val="1"/>
          <w:bCs w:val="1"/>
          <w:i w:val="0"/>
          <w:iCs w:val="0"/>
          <w:noProof w:val="0"/>
          <w:color w:val="3B5789"/>
          <w:sz w:val="60"/>
          <w:szCs w:val="60"/>
          <w:lang w:val="en-US"/>
        </w:rPr>
        <w:t>” Series</w:t>
      </w:r>
    </w:p>
    <w:p w:rsidR="107EE693" w:rsidP="3722BE7F" w:rsidRDefault="107EE693" w14:paraId="4855993F" w14:textId="71AEC0B3">
      <w:pPr>
        <w:spacing w:after="160" w:line="259" w:lineRule="auto"/>
        <w:jc w:val="center"/>
        <w:rPr>
          <w:rFonts w:ascii="Public sans" w:hAnsi="Public sans" w:eastAsia="Public sans" w:cs="Public sans"/>
          <w:b w:val="0"/>
          <w:bCs w:val="0"/>
          <w:i w:val="0"/>
          <w:iCs w:val="0"/>
          <w:noProof w:val="0"/>
          <w:color w:val="3B5789"/>
          <w:sz w:val="50"/>
          <w:szCs w:val="50"/>
          <w:lang w:val="en-US"/>
        </w:rPr>
      </w:pPr>
      <w:r w:rsidRPr="3722BE7F" w:rsidR="107EE693">
        <w:rPr>
          <w:rFonts w:ascii="Public sans" w:hAnsi="Public sans" w:eastAsia="Public sans" w:cs="Public sans"/>
          <w:b w:val="1"/>
          <w:bCs w:val="1"/>
          <w:i w:val="1"/>
          <w:iCs w:val="1"/>
          <w:noProof w:val="0"/>
          <w:color w:val="3B5789"/>
          <w:sz w:val="50"/>
          <w:szCs w:val="50"/>
          <w:lang w:val="en-US"/>
        </w:rPr>
        <w:t>How to use Services</w:t>
      </w:r>
    </w:p>
    <w:p w:rsidR="4DBA3918" w:rsidP="3722BE7F" w:rsidRDefault="4DBA3918" w14:paraId="1491233C" w14:textId="1641C28C">
      <w:pPr>
        <w:spacing w:after="160" w:line="259" w:lineRule="auto"/>
        <w:jc w:val="center"/>
        <w:rPr>
          <w:rFonts w:ascii="Public sans" w:hAnsi="Public sans" w:eastAsia="Public sans" w:cs="Public sans"/>
          <w:b w:val="0"/>
          <w:bCs w:val="0"/>
          <w:i w:val="0"/>
          <w:iCs w:val="0"/>
          <w:noProof w:val="0"/>
          <w:color w:val="000000" w:themeColor="text1" w:themeTint="FF" w:themeShade="FF"/>
          <w:sz w:val="20"/>
          <w:szCs w:val="20"/>
          <w:lang w:val="en-US"/>
        </w:rPr>
      </w:pPr>
    </w:p>
    <w:p w:rsidR="4DBA3918" w:rsidP="3722BE7F" w:rsidRDefault="4DBA3918" w14:paraId="06E587F9" w14:textId="0A1E5B69">
      <w:pPr>
        <w:spacing w:after="160" w:line="259" w:lineRule="auto"/>
        <w:jc w:val="center"/>
        <w:rPr>
          <w:rFonts w:ascii="Public sans" w:hAnsi="Public sans" w:eastAsia="Public sans" w:cs="Public sans"/>
          <w:b w:val="0"/>
          <w:bCs w:val="0"/>
          <w:i w:val="0"/>
          <w:iCs w:val="0"/>
          <w:noProof w:val="0"/>
          <w:color w:val="000000" w:themeColor="text1" w:themeTint="FF" w:themeShade="FF"/>
          <w:sz w:val="20"/>
          <w:szCs w:val="20"/>
          <w:lang w:val="en-US"/>
        </w:rPr>
      </w:pPr>
    </w:p>
    <w:p w:rsidR="107EE693" w:rsidP="3722BE7F" w:rsidRDefault="107EE693" w14:paraId="7BCE3187" w14:textId="19B9AF9A">
      <w:pPr>
        <w:spacing w:after="160" w:line="259" w:lineRule="auto"/>
        <w:jc w:val="center"/>
        <w:rPr>
          <w:rFonts w:ascii="Public sans" w:hAnsi="Public sans" w:eastAsia="Public sans" w:cs="Public sans"/>
          <w:b w:val="0"/>
          <w:bCs w:val="0"/>
          <w:i w:val="0"/>
          <w:iCs w:val="0"/>
          <w:noProof w:val="0"/>
          <w:color w:val="3B5789"/>
          <w:sz w:val="32"/>
          <w:szCs w:val="32"/>
          <w:lang w:val="en-US"/>
        </w:rPr>
      </w:pPr>
      <w:proofErr w:type="gramStart"/>
      <w:r w:rsidRPr="3722BE7F" w:rsidR="107EE693">
        <w:rPr>
          <w:rFonts w:ascii="Public sans" w:hAnsi="Public sans" w:eastAsia="Public sans" w:cs="Public sans"/>
          <w:b w:val="1"/>
          <w:bCs w:val="1"/>
          <w:i w:val="0"/>
          <w:iCs w:val="0"/>
          <w:noProof w:val="0"/>
          <w:color w:val="3B5789"/>
          <w:sz w:val="32"/>
          <w:szCs w:val="32"/>
          <w:lang w:val="en-US"/>
        </w:rPr>
        <w:t>April,</w:t>
      </w:r>
      <w:proofErr w:type="gramEnd"/>
      <w:r w:rsidRPr="3722BE7F" w:rsidR="107EE693">
        <w:rPr>
          <w:rFonts w:ascii="Public sans" w:hAnsi="Public sans" w:eastAsia="Public sans" w:cs="Public sans"/>
          <w:b w:val="1"/>
          <w:bCs w:val="1"/>
          <w:i w:val="0"/>
          <w:iCs w:val="0"/>
          <w:noProof w:val="0"/>
          <w:color w:val="3B5789"/>
          <w:sz w:val="32"/>
          <w:szCs w:val="32"/>
          <w:lang w:val="en-US"/>
        </w:rPr>
        <w:t xml:space="preserve"> 2021</w:t>
      </w:r>
    </w:p>
    <w:p w:rsidR="107EE693" w:rsidP="3722BE7F" w:rsidRDefault="107EE693" w14:paraId="3105D812" w14:textId="5E8FE4C2">
      <w:pPr>
        <w:spacing w:after="160" w:line="259" w:lineRule="auto"/>
        <w:jc w:val="center"/>
        <w:rPr>
          <w:rFonts w:ascii="Public sans" w:hAnsi="Public sans" w:eastAsia="Public sans" w:cs="Public sans"/>
          <w:b w:val="0"/>
          <w:bCs w:val="0"/>
          <w:i w:val="0"/>
          <w:iCs w:val="0"/>
          <w:noProof w:val="0"/>
          <w:color w:val="3B5789"/>
          <w:sz w:val="32"/>
          <w:szCs w:val="32"/>
          <w:lang w:val="en-US"/>
        </w:rPr>
      </w:pPr>
      <w:r w:rsidRPr="3722BE7F" w:rsidR="107EE693">
        <w:rPr>
          <w:rFonts w:ascii="Public sans" w:hAnsi="Public sans" w:eastAsia="Public sans" w:cs="Public sans"/>
          <w:b w:val="1"/>
          <w:bCs w:val="1"/>
          <w:i w:val="0"/>
          <w:iCs w:val="0"/>
          <w:noProof w:val="0"/>
          <w:color w:val="3B5789"/>
          <w:sz w:val="32"/>
          <w:szCs w:val="32"/>
          <w:lang w:val="en-US"/>
        </w:rPr>
        <w:t xml:space="preserve">Beta v0.1 </w:t>
      </w:r>
    </w:p>
    <w:p w:rsidR="4DBA3918" w:rsidP="3722BE7F" w:rsidRDefault="4DBA3918" w14:paraId="4A3AC8B2" w14:textId="194D5390">
      <w:pPr>
        <w:spacing w:after="160" w:line="259" w:lineRule="auto"/>
        <w:jc w:val="center"/>
        <w:rPr>
          <w:rFonts w:ascii="Public sans" w:hAnsi="Public sans" w:eastAsia="Public sans" w:cs="Public sans"/>
          <w:b w:val="0"/>
          <w:bCs w:val="0"/>
          <w:i w:val="0"/>
          <w:iCs w:val="0"/>
          <w:noProof w:val="0"/>
          <w:color w:val="000000" w:themeColor="text1" w:themeTint="FF" w:themeShade="FF"/>
          <w:sz w:val="20"/>
          <w:szCs w:val="20"/>
          <w:lang w:val="en-US"/>
        </w:rPr>
      </w:pPr>
    </w:p>
    <w:p w:rsidR="4DBA3918" w:rsidP="3722BE7F" w:rsidRDefault="4DBA3918" w14:paraId="1F4AFDC0" w14:textId="657B82BB">
      <w:pPr>
        <w:spacing w:after="160" w:line="259" w:lineRule="auto"/>
        <w:jc w:val="center"/>
        <w:rPr>
          <w:rFonts w:ascii="Public sans" w:hAnsi="Public sans" w:eastAsia="Public sans" w:cs="Public sans"/>
          <w:b w:val="0"/>
          <w:bCs w:val="0"/>
          <w:i w:val="0"/>
          <w:iCs w:val="0"/>
          <w:noProof w:val="0"/>
          <w:color w:val="000000" w:themeColor="text1" w:themeTint="FF" w:themeShade="FF"/>
          <w:sz w:val="20"/>
          <w:szCs w:val="20"/>
          <w:lang w:val="en-US"/>
        </w:rPr>
      </w:pPr>
    </w:p>
    <w:p w:rsidR="107EE693" w:rsidP="3722BE7F" w:rsidRDefault="107EE693" w14:paraId="6C7D0D66" w14:textId="014BC1E5">
      <w:pPr>
        <w:spacing w:after="160" w:line="259" w:lineRule="auto"/>
        <w:jc w:val="center"/>
        <w:rPr>
          <w:rFonts w:ascii="Public sans" w:hAnsi="Public sans" w:eastAsia="Public sans" w:cs="Public sans"/>
          <w:b w:val="0"/>
          <w:bCs w:val="0"/>
          <w:i w:val="0"/>
          <w:iCs w:val="0"/>
          <w:noProof w:val="0"/>
          <w:color w:val="3B5789"/>
          <w:sz w:val="24"/>
          <w:szCs w:val="24"/>
          <w:lang w:val="en-US"/>
        </w:rPr>
      </w:pPr>
      <w:r w:rsidRPr="3722BE7F" w:rsidR="107EE693">
        <w:rPr>
          <w:rFonts w:ascii="Public sans" w:hAnsi="Public sans" w:eastAsia="Public sans" w:cs="Public sans"/>
          <w:b w:val="1"/>
          <w:bCs w:val="1"/>
          <w:i w:val="0"/>
          <w:iCs w:val="0"/>
          <w:noProof w:val="0"/>
          <w:color w:val="3B5789"/>
          <w:sz w:val="24"/>
          <w:szCs w:val="24"/>
          <w:lang w:val="en-US"/>
        </w:rPr>
        <w:t>General Services Administration</w:t>
      </w:r>
    </w:p>
    <w:p w:rsidR="107EE693" w:rsidP="3722BE7F" w:rsidRDefault="107EE693" w14:paraId="079A9420" w14:textId="6572451F">
      <w:pPr>
        <w:spacing w:after="160" w:line="259" w:lineRule="auto"/>
        <w:jc w:val="center"/>
        <w:rPr>
          <w:rFonts w:ascii="Public sans" w:hAnsi="Public sans" w:eastAsia="Public sans" w:cs="Public sans"/>
          <w:b w:val="0"/>
          <w:bCs w:val="0"/>
          <w:i w:val="0"/>
          <w:iCs w:val="0"/>
          <w:noProof w:val="0"/>
          <w:color w:val="3B5789"/>
          <w:sz w:val="24"/>
          <w:szCs w:val="24"/>
          <w:lang w:val="en-US"/>
        </w:rPr>
      </w:pPr>
      <w:r w:rsidRPr="3722BE7F" w:rsidR="107EE693">
        <w:rPr>
          <w:rFonts w:ascii="Public sans" w:hAnsi="Public sans" w:eastAsia="Public sans" w:cs="Public sans"/>
          <w:b w:val="1"/>
          <w:bCs w:val="1"/>
          <w:i w:val="0"/>
          <w:iCs w:val="0"/>
          <w:noProof w:val="0"/>
          <w:color w:val="3B5789"/>
          <w:sz w:val="24"/>
          <w:szCs w:val="24"/>
          <w:lang w:val="en-US"/>
        </w:rPr>
        <w:t>Office of Government-wide Policy</w:t>
      </w:r>
    </w:p>
    <w:p w:rsidR="4DBA3918" w:rsidP="3722BE7F" w:rsidRDefault="4DBA3918" w14:paraId="7E8C6EF0" w14:textId="285167C6">
      <w:pPr>
        <w:spacing w:beforeAutospacing="on" w:afterAutospacing="on" w:line="240" w:lineRule="auto"/>
        <w:jc w:val="center"/>
        <w:rPr>
          <w:rFonts w:ascii="Public sans" w:hAnsi="Public sans" w:eastAsia="Public sans" w:cs="Public sans"/>
          <w:b w:val="0"/>
          <w:bCs w:val="0"/>
          <w:i w:val="0"/>
          <w:iCs w:val="0"/>
          <w:noProof w:val="0"/>
          <w:color w:val="002060"/>
          <w:sz w:val="24"/>
          <w:szCs w:val="24"/>
          <w:lang w:val="en-US"/>
        </w:rPr>
      </w:pPr>
    </w:p>
    <w:p w:rsidR="4DBA3918" w:rsidP="3722BE7F" w:rsidRDefault="4DBA3918" w14:paraId="6CEACBC4" w14:textId="3F4A42DF">
      <w:pPr>
        <w:spacing w:after="160" w:line="259" w:lineRule="auto"/>
        <w:rPr>
          <w:rFonts w:ascii="Public sans" w:hAnsi="Public sans" w:eastAsia="Public sans" w:cs="Public sans"/>
          <w:b w:val="0"/>
          <w:bCs w:val="0"/>
          <w:i w:val="0"/>
          <w:iCs w:val="0"/>
          <w:noProof w:val="0"/>
          <w:color w:val="000000" w:themeColor="text1" w:themeTint="FF" w:themeShade="FF"/>
          <w:sz w:val="22"/>
          <w:szCs w:val="22"/>
          <w:lang w:val="en-US"/>
        </w:rPr>
      </w:pPr>
    </w:p>
    <w:p w:rsidR="4DBA3918" w:rsidP="3722BE7F" w:rsidRDefault="4DBA3918" w14:paraId="34649ECC" w14:textId="25EFC399">
      <w:pPr>
        <w:spacing w:before="240" w:after="120" w:line="259" w:lineRule="auto"/>
        <w:rPr>
          <w:rFonts w:ascii="Public sans" w:hAnsi="Public sans" w:eastAsia="Public sans" w:cs="Public sans"/>
          <w:b w:val="0"/>
          <w:bCs w:val="0"/>
          <w:i w:val="0"/>
          <w:iCs w:val="0"/>
          <w:noProof w:val="0"/>
          <w:color w:val="2F5496" w:themeColor="accent1" w:themeTint="FF" w:themeShade="BF"/>
          <w:sz w:val="32"/>
          <w:szCs w:val="32"/>
          <w:lang w:val="en-US"/>
        </w:rPr>
      </w:pPr>
    </w:p>
    <w:p w:rsidR="4DBA3918" w:rsidP="3722BE7F" w:rsidRDefault="4DBA3918" w14:paraId="5501B1BD" w14:textId="5209072A">
      <w:pPr>
        <w:spacing w:after="160" w:line="259" w:lineRule="auto"/>
        <w:rPr>
          <w:rFonts w:ascii="Public sans" w:hAnsi="Public sans" w:eastAsia="Public sans" w:cs="Public sans"/>
          <w:b w:val="0"/>
          <w:bCs w:val="0"/>
          <w:i w:val="0"/>
          <w:iCs w:val="0"/>
          <w:noProof w:val="0"/>
          <w:color w:val="000000" w:themeColor="text1" w:themeTint="FF" w:themeShade="FF"/>
          <w:sz w:val="22"/>
          <w:szCs w:val="22"/>
          <w:lang w:val="en-US"/>
        </w:rPr>
      </w:pPr>
    </w:p>
    <w:p w:rsidR="4DBA3918" w:rsidP="3722BE7F" w:rsidRDefault="4DBA3918" w14:paraId="6DB0714A" w14:textId="54F37CE4">
      <w:pPr>
        <w:spacing w:after="160" w:line="259" w:lineRule="auto"/>
        <w:rPr>
          <w:rFonts w:ascii="Public sans" w:hAnsi="Public sans" w:eastAsia="Public sans" w:cs="Public sans"/>
          <w:b w:val="0"/>
          <w:bCs w:val="0"/>
          <w:i w:val="0"/>
          <w:iCs w:val="0"/>
          <w:noProof w:val="0"/>
          <w:color w:val="000000" w:themeColor="text1" w:themeTint="FF" w:themeShade="FF"/>
          <w:sz w:val="22"/>
          <w:szCs w:val="22"/>
          <w:lang w:val="en-US"/>
        </w:rPr>
      </w:pPr>
    </w:p>
    <w:p w:rsidR="4DBA3918" w:rsidP="3722BE7F" w:rsidRDefault="4DBA3918" w14:paraId="26BBC677" w14:textId="383BDDA0">
      <w:pPr>
        <w:spacing w:after="160" w:line="259" w:lineRule="auto"/>
        <w:rPr>
          <w:rFonts w:ascii="Public sans" w:hAnsi="Public sans" w:eastAsia="Public sans" w:cs="Public sans"/>
          <w:b w:val="0"/>
          <w:bCs w:val="0"/>
          <w:i w:val="0"/>
          <w:iCs w:val="0"/>
          <w:noProof w:val="0"/>
          <w:color w:val="000000" w:themeColor="text1" w:themeTint="FF" w:themeShade="FF"/>
          <w:sz w:val="22"/>
          <w:szCs w:val="22"/>
          <w:lang w:val="en-US"/>
        </w:rPr>
      </w:pPr>
    </w:p>
    <w:p w:rsidR="4DBA3918" w:rsidP="3722BE7F" w:rsidRDefault="4DBA3918" w14:paraId="44F4910E" w14:textId="7D2CE0A6">
      <w:pPr>
        <w:spacing w:after="160" w:line="259" w:lineRule="auto"/>
        <w:rPr>
          <w:rFonts w:ascii="Public sans" w:hAnsi="Public sans" w:eastAsia="Public sans" w:cs="Public sans"/>
          <w:b w:val="0"/>
          <w:bCs w:val="0"/>
          <w:i w:val="0"/>
          <w:iCs w:val="0"/>
          <w:noProof w:val="0"/>
          <w:color w:val="000000" w:themeColor="text1" w:themeTint="FF" w:themeShade="FF"/>
          <w:sz w:val="22"/>
          <w:szCs w:val="22"/>
          <w:lang w:val="en-US"/>
        </w:rPr>
      </w:pPr>
    </w:p>
    <w:p w:rsidR="4DBA3918" w:rsidP="3722BE7F" w:rsidRDefault="4DBA3918" w14:paraId="6C6C6767" w14:textId="1C59CFCC">
      <w:pPr>
        <w:spacing w:after="160" w:line="259" w:lineRule="auto"/>
        <w:rPr>
          <w:rFonts w:ascii="Public sans" w:hAnsi="Public sans" w:eastAsia="Public sans" w:cs="Public sans"/>
          <w:b w:val="0"/>
          <w:bCs w:val="0"/>
          <w:i w:val="0"/>
          <w:iCs w:val="0"/>
          <w:noProof w:val="0"/>
          <w:color w:val="000000" w:themeColor="text1" w:themeTint="FF" w:themeShade="FF"/>
          <w:sz w:val="22"/>
          <w:szCs w:val="22"/>
          <w:lang w:val="en-US"/>
        </w:rPr>
      </w:pPr>
    </w:p>
    <w:p w:rsidR="4DBA3918" w:rsidP="3722BE7F" w:rsidRDefault="4DBA3918" w14:paraId="3E6E04E5" w14:textId="760E2396">
      <w:pPr>
        <w:spacing w:after="160" w:line="259" w:lineRule="auto"/>
        <w:rPr>
          <w:rFonts w:ascii="Public sans" w:hAnsi="Public sans" w:eastAsia="Public sans" w:cs="Public sans"/>
          <w:b w:val="0"/>
          <w:bCs w:val="0"/>
          <w:i w:val="0"/>
          <w:iCs w:val="0"/>
          <w:noProof w:val="0"/>
          <w:color w:val="000000" w:themeColor="text1" w:themeTint="FF" w:themeShade="FF"/>
          <w:sz w:val="22"/>
          <w:szCs w:val="22"/>
          <w:lang w:val="en-US"/>
        </w:rPr>
      </w:pPr>
    </w:p>
    <w:p w:rsidR="107EE693" w:rsidP="3722BE7F" w:rsidRDefault="107EE693" w14:paraId="69A9B827" w14:textId="2D3FEE03">
      <w:pPr>
        <w:pStyle w:val="Heading1"/>
        <w:spacing w:before="240" w:after="120" w:line="259" w:lineRule="auto"/>
        <w:rPr>
          <w:rFonts w:ascii="Public sans" w:hAnsi="Public sans" w:eastAsia="Public sans" w:cs="Public sans"/>
          <w:b w:val="0"/>
          <w:bCs w:val="0"/>
          <w:i w:val="0"/>
          <w:iCs w:val="0"/>
          <w:noProof w:val="0"/>
          <w:color w:val="00B0F0"/>
          <w:sz w:val="28"/>
          <w:szCs w:val="28"/>
          <w:lang w:val="en-US"/>
        </w:rPr>
      </w:pPr>
      <w:r w:rsidRPr="3722BE7F" w:rsidR="107EE693">
        <w:rPr>
          <w:rFonts w:ascii="Public sans" w:hAnsi="Public sans" w:eastAsia="Public sans" w:cs="Public sans"/>
          <w:b w:val="1"/>
          <w:bCs w:val="1"/>
          <w:i w:val="0"/>
          <w:iCs w:val="0"/>
          <w:noProof w:val="0"/>
          <w:color w:val="00B0F0"/>
          <w:sz w:val="28"/>
          <w:szCs w:val="28"/>
          <w:lang w:val="en-US"/>
        </w:rPr>
        <w:t>What are IT Collect services?</w:t>
      </w:r>
    </w:p>
    <w:p w:rsidR="107EE693" w:rsidP="3722BE7F" w:rsidRDefault="107EE693" w14:paraId="7FC0232C" w14:textId="1C9C2415">
      <w:pPr>
        <w:spacing w:after="160" w:line="259" w:lineRule="auto"/>
        <w:rPr>
          <w:rFonts w:ascii="Public sans" w:hAnsi="Public sans" w:eastAsia="Public sans" w:cs="Public sans"/>
          <w:b w:val="0"/>
          <w:bCs w:val="0"/>
          <w:i w:val="0"/>
          <w:iCs w:val="0"/>
          <w:noProof w:val="0"/>
          <w:color w:val="000000" w:themeColor="text1" w:themeTint="FF" w:themeShade="FF"/>
          <w:sz w:val="22"/>
          <w:szCs w:val="22"/>
          <w:lang w:val="en-US"/>
        </w:rPr>
      </w:pPr>
      <w:r w:rsidRPr="3722BE7F" w:rsidR="107EE693">
        <w:rPr>
          <w:rFonts w:ascii="Public sans" w:hAnsi="Public sans" w:eastAsia="Public sans" w:cs="Public sans"/>
          <w:b w:val="0"/>
          <w:bCs w:val="0"/>
          <w:i w:val="0"/>
          <w:iCs w:val="0"/>
          <w:noProof w:val="0"/>
          <w:color w:val="000000" w:themeColor="text1" w:themeTint="FF" w:themeShade="FF"/>
          <w:sz w:val="22"/>
          <w:szCs w:val="22"/>
          <w:lang w:val="en-US"/>
        </w:rPr>
        <w:t>The IT Collect services endpoint is a data collection mechanism for investment level descriptive data. The services collection allows agencies to submit investments and their data on type, status, description, etc. as specified within the CPIC policy guidance. Each service in IT Collect corresponds with a given UII, and for the purposes of this documentation, a service can be considered the equivalent to an investment/UII within the legacy IT Dashboard system. A full list of services level fields is available in the IT Collect API Schema documentation. Services are at the top of the IT Collect CPIC submission service hierarchy. Agencies must add a service to IT Collect prior to adding that service’s projects, activities, CIO ratings, contracts, and/or ledger items.</w:t>
      </w:r>
    </w:p>
    <w:p w:rsidR="107EE693" w:rsidP="3722BE7F" w:rsidRDefault="107EE693" w14:paraId="13BD77E6" w14:textId="50DA686D">
      <w:pPr>
        <w:pStyle w:val="Heading3"/>
        <w:spacing w:before="240" w:after="240" w:line="259" w:lineRule="auto"/>
        <w:rPr>
          <w:rFonts w:ascii="Public sans" w:hAnsi="Public sans" w:eastAsia="Public sans" w:cs="Public sans"/>
          <w:b w:val="0"/>
          <w:bCs w:val="0"/>
          <w:i w:val="0"/>
          <w:iCs w:val="0"/>
          <w:noProof w:val="0"/>
          <w:color w:val="00B0F0"/>
          <w:sz w:val="28"/>
          <w:szCs w:val="28"/>
          <w:lang w:val="en-US"/>
        </w:rPr>
      </w:pPr>
      <w:r w:rsidRPr="3722BE7F" w:rsidR="107EE693">
        <w:rPr>
          <w:rFonts w:ascii="Public sans" w:hAnsi="Public sans" w:eastAsia="Public sans" w:cs="Public sans"/>
          <w:b w:val="1"/>
          <w:bCs w:val="1"/>
          <w:i w:val="0"/>
          <w:iCs w:val="0"/>
          <w:noProof w:val="0"/>
          <w:color w:val="00B0F0"/>
          <w:sz w:val="28"/>
          <w:szCs w:val="28"/>
          <w:lang w:val="en-GB"/>
        </w:rPr>
        <w:t>How do I add a service to my agency’s IT Portfolio?</w:t>
      </w:r>
    </w:p>
    <w:p w:rsidR="107EE693" w:rsidP="3722BE7F" w:rsidRDefault="107EE693" w14:paraId="52E793B8" w14:textId="4B72930B">
      <w:pPr>
        <w:spacing w:after="160" w:line="259" w:lineRule="auto"/>
        <w:rPr>
          <w:rFonts w:ascii="Public sans" w:hAnsi="Public sans" w:eastAsia="Public sans" w:cs="Public sans"/>
          <w:b w:val="0"/>
          <w:bCs w:val="0"/>
          <w:i w:val="0"/>
          <w:iCs w:val="0"/>
          <w:noProof w:val="0"/>
          <w:color w:val="000000" w:themeColor="text1" w:themeTint="FF" w:themeShade="FF"/>
          <w:sz w:val="22"/>
          <w:szCs w:val="22"/>
          <w:lang w:val="en-US"/>
        </w:rPr>
      </w:pPr>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 xml:space="preserve">Agencies must submit all new services to IT Collect through a POST operation, including all required fields outlined in the API Schema documentation. </w:t>
      </w:r>
      <w:r w:rsidRPr="3722BE7F" w:rsidR="107EE693">
        <w:rPr>
          <w:rFonts w:ascii="Public sans" w:hAnsi="Public sans" w:eastAsia="Public sans" w:cs="Public sans"/>
          <w:b w:val="0"/>
          <w:bCs w:val="0"/>
          <w:i w:val="0"/>
          <w:iCs w:val="0"/>
          <w:noProof w:val="0"/>
          <w:color w:val="000000" w:themeColor="text1" w:themeTint="FF" w:themeShade="FF"/>
          <w:sz w:val="22"/>
          <w:szCs w:val="22"/>
          <w:lang w:val="en-US"/>
        </w:rPr>
        <w:t xml:space="preserve">Following </w:t>
      </w:r>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 xml:space="preserve">a successful POST, IT Collect automatically includes that service’s UII in the relevant </w:t>
      </w:r>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agenc</w:t>
      </w:r>
      <w:r w:rsidRPr="3722BE7F" w:rsidR="032F81AF">
        <w:rPr>
          <w:rFonts w:ascii="Public sans" w:hAnsi="Public sans" w:eastAsia="Public sans" w:cs="Public sans"/>
          <w:b w:val="0"/>
          <w:bCs w:val="0"/>
          <w:i w:val="0"/>
          <w:iCs w:val="0"/>
          <w:noProof w:val="0"/>
          <w:color w:val="000000" w:themeColor="text1" w:themeTint="FF" w:themeShade="FF"/>
          <w:sz w:val="22"/>
          <w:szCs w:val="22"/>
          <w:lang w:val="en-GB"/>
        </w:rPr>
        <w:t>y’s</w:t>
      </w:r>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 xml:space="preserve"> current Budget Year IT Portfolio. </w:t>
      </w:r>
      <w:r w:rsidRPr="3722BE7F" w:rsidR="107EE693">
        <w:rPr>
          <w:rFonts w:ascii="Public sans" w:hAnsi="Public sans" w:eastAsia="Public sans" w:cs="Public sans"/>
          <w:b w:val="0"/>
          <w:bCs w:val="0"/>
          <w:i w:val="0"/>
          <w:iCs w:val="0"/>
          <w:noProof w:val="0"/>
          <w:color w:val="000000" w:themeColor="text1" w:themeTint="FF" w:themeShade="FF"/>
          <w:sz w:val="22"/>
          <w:szCs w:val="22"/>
          <w:lang w:val="en-US"/>
        </w:rPr>
        <w:t>Each service in IT Collect corresponds with a given UII, and for the purposes of this documentation, a service can be considered the equivalent to an investment/UII within the legacy IT Dashboard system. For example, a service/UII posted in September 2021 will automatically be included in the BY 2023 Pre-Decisional IT Portfolio.</w:t>
      </w:r>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 xml:space="preserve"> No </w:t>
      </w:r>
      <w:r w:rsidRPr="3722BE7F" w:rsidR="107EE693">
        <w:rPr>
          <w:rFonts w:ascii="Public sans" w:hAnsi="Public sans" w:eastAsia="Public sans" w:cs="Public sans"/>
          <w:b w:val="0"/>
          <w:bCs w:val="0"/>
          <w:i w:val="0"/>
          <w:iCs w:val="0"/>
          <w:noProof w:val="0"/>
          <w:color w:val="000000" w:themeColor="text1" w:themeTint="FF" w:themeShade="FF"/>
          <w:sz w:val="22"/>
          <w:szCs w:val="22"/>
          <w:lang w:val="en-US"/>
        </w:rPr>
        <w:t xml:space="preserve">further action is required by agencies to indicate a service/UII is part </w:t>
      </w:r>
      <w:proofErr w:type="gramStart"/>
      <w:r w:rsidRPr="3722BE7F" w:rsidR="107EE693">
        <w:rPr>
          <w:rFonts w:ascii="Public sans" w:hAnsi="Public sans" w:eastAsia="Public sans" w:cs="Public sans"/>
          <w:b w:val="0"/>
          <w:bCs w:val="0"/>
          <w:i w:val="0"/>
          <w:iCs w:val="0"/>
          <w:noProof w:val="0"/>
          <w:color w:val="000000" w:themeColor="text1" w:themeTint="FF" w:themeShade="FF"/>
          <w:sz w:val="22"/>
          <w:szCs w:val="22"/>
          <w:lang w:val="en-US"/>
        </w:rPr>
        <w:t>o</w:t>
      </w:r>
      <w:proofErr w:type="gramEnd"/>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f</w:t>
      </w:r>
      <w:r w:rsidRPr="3722BE7F" w:rsidR="107EE693">
        <w:rPr>
          <w:rFonts w:ascii="Public sans" w:hAnsi="Public sans" w:eastAsia="Public sans" w:cs="Public sans"/>
          <w:b w:val="0"/>
          <w:bCs w:val="0"/>
          <w:i w:val="0"/>
          <w:iCs w:val="0"/>
          <w:noProof w:val="0"/>
          <w:color w:val="000000" w:themeColor="text1" w:themeTint="FF" w:themeShade="FF"/>
          <w:sz w:val="22"/>
          <w:szCs w:val="22"/>
          <w:lang w:val="en-US"/>
        </w:rPr>
        <w:t xml:space="preserve"> a given IT </w:t>
      </w:r>
      <w:proofErr w:type="gramStart"/>
      <w:r w:rsidRPr="3722BE7F" w:rsidR="107EE693">
        <w:rPr>
          <w:rFonts w:ascii="Public sans" w:hAnsi="Public sans" w:eastAsia="Public sans" w:cs="Public sans"/>
          <w:b w:val="0"/>
          <w:bCs w:val="0"/>
          <w:i w:val="0"/>
          <w:iCs w:val="0"/>
          <w:noProof w:val="0"/>
          <w:color w:val="000000" w:themeColor="text1" w:themeTint="FF" w:themeShade="FF"/>
          <w:sz w:val="22"/>
          <w:szCs w:val="22"/>
          <w:lang w:val="en-US"/>
        </w:rPr>
        <w:t>Port</w:t>
      </w:r>
      <w:proofErr w:type="gramEnd"/>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folio. IT Collect auto-assigns a time-period to a user’s service record, no user action is required for this part.</w:t>
      </w:r>
    </w:p>
    <w:p w:rsidR="107EE693" w:rsidP="3722BE7F" w:rsidRDefault="107EE693" w14:paraId="756CE40E" w14:textId="1232807E">
      <w:pPr>
        <w:pStyle w:val="Heading3"/>
        <w:spacing w:before="240" w:after="240" w:line="259" w:lineRule="auto"/>
        <w:rPr>
          <w:rFonts w:ascii="Public sans" w:hAnsi="Public sans" w:eastAsia="Public sans" w:cs="Public sans"/>
          <w:b w:val="0"/>
          <w:bCs w:val="0"/>
          <w:i w:val="0"/>
          <w:iCs w:val="0"/>
          <w:noProof w:val="0"/>
          <w:color w:val="00B0F0"/>
          <w:sz w:val="28"/>
          <w:szCs w:val="28"/>
          <w:lang w:val="en-US"/>
        </w:rPr>
      </w:pPr>
      <w:r w:rsidRPr="3722BE7F" w:rsidR="107EE693">
        <w:rPr>
          <w:rFonts w:ascii="Public sans" w:hAnsi="Public sans" w:eastAsia="Public sans" w:cs="Public sans"/>
          <w:b w:val="1"/>
          <w:bCs w:val="1"/>
          <w:i w:val="0"/>
          <w:iCs w:val="0"/>
          <w:noProof w:val="0"/>
          <w:color w:val="00B0F0"/>
          <w:sz w:val="28"/>
          <w:szCs w:val="28"/>
          <w:lang w:val="en-GB"/>
        </w:rPr>
        <w:t>What embedded documents am I required to submit under each service?</w:t>
      </w:r>
    </w:p>
    <w:p w:rsidR="107EE693" w:rsidP="3722BE7F" w:rsidRDefault="107EE693" w14:paraId="2784FB5B" w14:textId="18E11F72">
      <w:pPr>
        <w:spacing w:after="160" w:line="259" w:lineRule="auto"/>
        <w:rPr>
          <w:rFonts w:ascii="Public sans" w:hAnsi="Public sans" w:eastAsia="Public sans" w:cs="Public sans"/>
          <w:b w:val="0"/>
          <w:bCs w:val="0"/>
          <w:i w:val="0"/>
          <w:iCs w:val="0"/>
          <w:noProof w:val="0"/>
          <w:color w:val="000000" w:themeColor="text1" w:themeTint="FF" w:themeShade="FF"/>
          <w:sz w:val="22"/>
          <w:szCs w:val="22"/>
          <w:lang w:val="en-US"/>
        </w:rPr>
      </w:pPr>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 xml:space="preserve">IT Collect will produce metrics that track agencies progress in submitting required embedded documents (projects, </w:t>
      </w:r>
      <w:proofErr w:type="spellStart"/>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cio</w:t>
      </w:r>
      <w:proofErr w:type="spellEnd"/>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 xml:space="preserve"> ratings, etc.) derived from the CPIC guidance. These primary checks will evaluate a given UII’s progress in submitting embedded documents based on the investment type value (major, standard, etc.) provided in the service submission. IT Collect will then return a list of UIIs that have NOT submitted the expected embedded documents. For example, if a service/UII has </w:t>
      </w:r>
      <w:proofErr w:type="spellStart"/>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investmentType</w:t>
      </w:r>
      <w:proofErr w:type="spellEnd"/>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 xml:space="preserve"> = 01 Major and has not provided any CIO Rating data, IT Collect will flag that UII accordingly. </w:t>
      </w:r>
    </w:p>
    <w:p w:rsidR="107EE693" w:rsidP="3722BE7F" w:rsidRDefault="107EE693" w14:paraId="6C380170" w14:textId="6C6F5E15">
      <w:pPr>
        <w:spacing w:after="160" w:line="259" w:lineRule="auto"/>
        <w:jc w:val="center"/>
        <w:rPr>
          <w:rFonts w:ascii="Public sans" w:hAnsi="Public sans" w:eastAsia="Public sans" w:cs="Public sans"/>
          <w:b w:val="1"/>
          <w:bCs w:val="1"/>
          <w:i w:val="0"/>
          <w:iCs w:val="0"/>
          <w:noProof w:val="0"/>
          <w:color w:val="4471C4" w:themeColor="accent1" w:themeTint="FF" w:themeShade="FF"/>
          <w:sz w:val="22"/>
          <w:szCs w:val="22"/>
          <w:lang w:val="en-US"/>
        </w:rPr>
      </w:pPr>
      <w:r w:rsidRPr="3722BE7F" w:rsidR="107EE693">
        <w:rPr>
          <w:rStyle w:val="IntenseReference"/>
          <w:rFonts w:ascii="Public sans" w:hAnsi="Public sans" w:eastAsia="Public sans" w:cs="Public sans"/>
          <w:b w:val="1"/>
          <w:bCs w:val="1"/>
          <w:i w:val="0"/>
          <w:iCs w:val="0"/>
          <w:smallCaps w:val="1"/>
          <w:noProof w:val="0"/>
          <w:color w:val="4471C4"/>
          <w:sz w:val="22"/>
          <w:szCs w:val="22"/>
          <w:lang w:val="en-US"/>
        </w:rPr>
        <w:t>IT Collect Submission Expectations</w:t>
      </w:r>
    </w:p>
    <w:tbl>
      <w:tblPr>
        <w:tblStyle w:val="PlainTable3"/>
        <w:tblW w:w="0" w:type="auto"/>
        <w:tblLayout w:type="fixed"/>
        <w:tblLook w:val="04A0" w:firstRow="1" w:lastRow="0" w:firstColumn="1" w:lastColumn="0" w:noHBand="0" w:noVBand="1"/>
      </w:tblPr>
      <w:tblGrid>
        <w:gridCol w:w="1335"/>
        <w:gridCol w:w="1335"/>
        <w:gridCol w:w="1335"/>
        <w:gridCol w:w="1335"/>
        <w:gridCol w:w="1335"/>
        <w:gridCol w:w="1335"/>
        <w:gridCol w:w="1335"/>
      </w:tblGrid>
      <w:tr w:rsidR="4DBA3918" w:rsidTr="4DBA3918" w14:paraId="3BC2A8CC">
        <w:tc>
          <w:tcPr>
            <w:cnfStyle w:val="001000000100" w:firstRow="0" w:lastRow="0" w:firstColumn="1" w:lastColumn="0" w:oddVBand="0" w:evenVBand="0" w:oddHBand="0" w:evenHBand="0" w:firstRowFirstColumn="1" w:firstRowLastColumn="0" w:lastRowFirstColumn="0" w:lastRowLastColumn="0"/>
            <w:tcW w:w="1335" w:type="dxa"/>
            <w:tcBorders>
              <w:bottom w:val="single" w:color="7F7F7F" w:themeColor="text1" w:themeTint="80" w:sz="6"/>
              <w:right w:val="nil"/>
            </w:tcBorders>
            <w:tcMar/>
            <w:vAlign w:val="top"/>
          </w:tcPr>
          <w:p w:rsidR="4DBA3918" w:rsidP="4DBA3918" w:rsidRDefault="4DBA3918" w14:paraId="55278A3B" w14:textId="67E1D9FC">
            <w:pPr>
              <w:spacing w:line="259" w:lineRule="auto"/>
              <w:rPr>
                <w:b w:val="1"/>
                <w:bCs w:val="1"/>
                <w:i w:val="0"/>
                <w:iCs w:val="0"/>
                <w:caps w:val="1"/>
                <w:sz w:val="16"/>
                <w:szCs w:val="16"/>
              </w:rPr>
            </w:pPr>
            <w:r w:rsidRPr="4DBA3918" w:rsidR="4DBA3918">
              <w:rPr>
                <w:b w:val="1"/>
                <w:bCs w:val="1"/>
                <w:i w:val="0"/>
                <w:iCs w:val="0"/>
                <w:caps w:val="1"/>
                <w:sz w:val="16"/>
                <w:szCs w:val="16"/>
                <w:lang w:val="en-GB"/>
              </w:rPr>
              <w:t>INVESTMENT TYPE</w:t>
            </w:r>
          </w:p>
        </w:tc>
        <w:tc>
          <w:tcPr>
            <w:cnfStyle w:val="000000000000" w:firstRow="0" w:lastRow="0" w:firstColumn="0" w:lastColumn="0" w:oddVBand="0" w:evenVBand="0" w:oddHBand="0" w:evenHBand="0" w:firstRowFirstColumn="0" w:firstRowLastColumn="0" w:lastRowFirstColumn="0" w:lastRowLastColumn="0"/>
            <w:tcW w:w="1335" w:type="dxa"/>
            <w:tcBorders>
              <w:bottom w:val="single" w:color="7F7F7F" w:themeColor="text1" w:themeTint="80" w:sz="6"/>
            </w:tcBorders>
            <w:tcMar/>
            <w:vAlign w:val="top"/>
          </w:tcPr>
          <w:p w:rsidR="4DBA3918" w:rsidP="4DBA3918" w:rsidRDefault="4DBA3918" w14:paraId="4DAB5FFA" w14:textId="5AB4DB39">
            <w:pPr>
              <w:spacing w:line="259" w:lineRule="auto"/>
              <w:rPr>
                <w:b w:val="1"/>
                <w:bCs w:val="1"/>
                <w:i w:val="0"/>
                <w:iCs w:val="0"/>
                <w:caps w:val="1"/>
                <w:sz w:val="16"/>
                <w:szCs w:val="16"/>
              </w:rPr>
            </w:pPr>
            <w:r w:rsidRPr="4DBA3918" w:rsidR="4DBA3918">
              <w:rPr>
                <w:b w:val="1"/>
                <w:bCs w:val="1"/>
                <w:i w:val="0"/>
                <w:iCs w:val="0"/>
                <w:caps w:val="1"/>
                <w:sz w:val="16"/>
                <w:szCs w:val="16"/>
                <w:lang w:val="en-GB"/>
              </w:rPr>
              <w:t xml:space="preserve">LEDGER </w:t>
            </w:r>
          </w:p>
        </w:tc>
        <w:tc>
          <w:tcPr>
            <w:cnfStyle w:val="000000000000" w:firstRow="0" w:lastRow="0" w:firstColumn="0" w:lastColumn="0" w:oddVBand="0" w:evenVBand="0" w:oddHBand="0" w:evenHBand="0" w:firstRowFirstColumn="0" w:firstRowLastColumn="0" w:lastRowFirstColumn="0" w:lastRowLastColumn="0"/>
            <w:tcW w:w="1335" w:type="dxa"/>
            <w:tcBorders>
              <w:bottom w:val="single" w:color="7F7F7F" w:themeColor="text1" w:themeTint="80" w:sz="6"/>
            </w:tcBorders>
            <w:tcMar/>
            <w:vAlign w:val="top"/>
          </w:tcPr>
          <w:p w:rsidR="4DBA3918" w:rsidP="4DBA3918" w:rsidRDefault="4DBA3918" w14:paraId="45787D44" w14:textId="25A1FF6C">
            <w:pPr>
              <w:spacing w:line="259" w:lineRule="auto"/>
              <w:rPr>
                <w:b w:val="1"/>
                <w:bCs w:val="1"/>
                <w:i w:val="0"/>
                <w:iCs w:val="0"/>
                <w:caps w:val="1"/>
                <w:sz w:val="16"/>
                <w:szCs w:val="16"/>
              </w:rPr>
            </w:pPr>
            <w:r w:rsidRPr="4DBA3918" w:rsidR="4DBA3918">
              <w:rPr>
                <w:b w:val="1"/>
                <w:bCs w:val="1"/>
                <w:i w:val="0"/>
                <w:iCs w:val="0"/>
                <w:caps w:val="1"/>
                <w:sz w:val="16"/>
                <w:szCs w:val="16"/>
                <w:lang w:val="en-GB"/>
              </w:rPr>
              <w:t>CIO RATING</w:t>
            </w:r>
          </w:p>
        </w:tc>
        <w:tc>
          <w:tcPr>
            <w:cnfStyle w:val="000000000000" w:firstRow="0" w:lastRow="0" w:firstColumn="0" w:lastColumn="0" w:oddVBand="0" w:evenVBand="0" w:oddHBand="0" w:evenHBand="0" w:firstRowFirstColumn="0" w:firstRowLastColumn="0" w:lastRowFirstColumn="0" w:lastRowLastColumn="0"/>
            <w:tcW w:w="1335" w:type="dxa"/>
            <w:tcBorders>
              <w:bottom w:val="single" w:color="7F7F7F" w:themeColor="text1" w:themeTint="80" w:sz="6"/>
            </w:tcBorders>
            <w:tcMar/>
            <w:vAlign w:val="top"/>
          </w:tcPr>
          <w:p w:rsidR="4DBA3918" w:rsidP="4DBA3918" w:rsidRDefault="4DBA3918" w14:paraId="5404579D" w14:textId="5C79EF62">
            <w:pPr>
              <w:spacing w:line="259" w:lineRule="auto"/>
              <w:rPr>
                <w:b w:val="1"/>
                <w:bCs w:val="1"/>
                <w:i w:val="0"/>
                <w:iCs w:val="0"/>
                <w:caps w:val="1"/>
                <w:sz w:val="16"/>
                <w:szCs w:val="16"/>
              </w:rPr>
            </w:pPr>
            <w:r w:rsidRPr="4DBA3918" w:rsidR="4DBA3918">
              <w:rPr>
                <w:b w:val="1"/>
                <w:bCs w:val="1"/>
                <w:i w:val="0"/>
                <w:iCs w:val="0"/>
                <w:caps w:val="1"/>
                <w:sz w:val="16"/>
                <w:szCs w:val="16"/>
                <w:lang w:val="en-GB"/>
              </w:rPr>
              <w:t>CONTRACTS</w:t>
            </w:r>
          </w:p>
        </w:tc>
        <w:tc>
          <w:tcPr>
            <w:cnfStyle w:val="000000000000" w:firstRow="0" w:lastRow="0" w:firstColumn="0" w:lastColumn="0" w:oddVBand="0" w:evenVBand="0" w:oddHBand="0" w:evenHBand="0" w:firstRowFirstColumn="0" w:firstRowLastColumn="0" w:lastRowFirstColumn="0" w:lastRowLastColumn="0"/>
            <w:tcW w:w="1335" w:type="dxa"/>
            <w:tcBorders>
              <w:bottom w:val="single" w:color="7F7F7F" w:themeColor="text1" w:themeTint="80" w:sz="6"/>
            </w:tcBorders>
            <w:tcMar/>
            <w:vAlign w:val="top"/>
          </w:tcPr>
          <w:p w:rsidR="4DBA3918" w:rsidP="4DBA3918" w:rsidRDefault="4DBA3918" w14:paraId="474F3123" w14:textId="322208A8">
            <w:pPr>
              <w:spacing w:line="259" w:lineRule="auto"/>
              <w:rPr>
                <w:b w:val="1"/>
                <w:bCs w:val="1"/>
                <w:i w:val="0"/>
                <w:iCs w:val="0"/>
                <w:caps w:val="1"/>
                <w:sz w:val="16"/>
                <w:szCs w:val="16"/>
              </w:rPr>
            </w:pPr>
            <w:r w:rsidRPr="4DBA3918" w:rsidR="4DBA3918">
              <w:rPr>
                <w:b w:val="1"/>
                <w:bCs w:val="1"/>
                <w:i w:val="0"/>
                <w:iCs w:val="0"/>
                <w:caps w:val="1"/>
                <w:sz w:val="16"/>
                <w:szCs w:val="16"/>
                <w:lang w:val="en-GB"/>
              </w:rPr>
              <w:t>PROJECTS</w:t>
            </w:r>
          </w:p>
        </w:tc>
        <w:tc>
          <w:tcPr>
            <w:cnfStyle w:val="000000000000" w:firstRow="0" w:lastRow="0" w:firstColumn="0" w:lastColumn="0" w:oddVBand="0" w:evenVBand="0" w:oddHBand="0" w:evenHBand="0" w:firstRowFirstColumn="0" w:firstRowLastColumn="0" w:lastRowFirstColumn="0" w:lastRowLastColumn="0"/>
            <w:tcW w:w="1335" w:type="dxa"/>
            <w:tcBorders>
              <w:bottom w:val="single" w:color="7F7F7F" w:themeColor="text1" w:themeTint="80" w:sz="6"/>
            </w:tcBorders>
            <w:tcMar/>
            <w:vAlign w:val="top"/>
          </w:tcPr>
          <w:p w:rsidR="4DBA3918" w:rsidP="4DBA3918" w:rsidRDefault="4DBA3918" w14:paraId="542DF0DD" w14:textId="30B311F0">
            <w:pPr>
              <w:spacing w:line="259" w:lineRule="auto"/>
              <w:rPr>
                <w:b w:val="1"/>
                <w:bCs w:val="1"/>
                <w:i w:val="0"/>
                <w:iCs w:val="0"/>
                <w:caps w:val="1"/>
                <w:sz w:val="16"/>
                <w:szCs w:val="16"/>
              </w:rPr>
            </w:pPr>
            <w:r w:rsidRPr="4DBA3918" w:rsidR="4DBA3918">
              <w:rPr>
                <w:b w:val="1"/>
                <w:bCs w:val="1"/>
                <w:i w:val="0"/>
                <w:iCs w:val="0"/>
                <w:caps w:val="1"/>
                <w:sz w:val="16"/>
                <w:szCs w:val="16"/>
                <w:lang w:val="en-GB"/>
              </w:rPr>
              <w:t>ACTIVITIES</w:t>
            </w:r>
          </w:p>
        </w:tc>
        <w:tc>
          <w:tcPr>
            <w:cnfStyle w:val="000000000000" w:firstRow="0" w:lastRow="0" w:firstColumn="0" w:lastColumn="0" w:oddVBand="0" w:evenVBand="0" w:oddHBand="0" w:evenHBand="0" w:firstRowFirstColumn="0" w:firstRowLastColumn="0" w:lastRowFirstColumn="0" w:lastRowLastColumn="0"/>
            <w:tcW w:w="1335" w:type="dxa"/>
            <w:tcBorders>
              <w:bottom w:val="single" w:color="7F7F7F" w:themeColor="text1" w:themeTint="80" w:sz="6"/>
            </w:tcBorders>
            <w:tcMar/>
            <w:vAlign w:val="top"/>
          </w:tcPr>
          <w:p w:rsidR="4DBA3918" w:rsidP="4DBA3918" w:rsidRDefault="4DBA3918" w14:paraId="0973BC20" w14:textId="60B1978F">
            <w:pPr>
              <w:spacing w:line="259" w:lineRule="auto"/>
              <w:rPr>
                <w:b w:val="1"/>
                <w:bCs w:val="1"/>
                <w:i w:val="0"/>
                <w:iCs w:val="0"/>
                <w:caps w:val="1"/>
                <w:sz w:val="16"/>
                <w:szCs w:val="16"/>
              </w:rPr>
            </w:pPr>
            <w:r w:rsidRPr="4DBA3918" w:rsidR="4DBA3918">
              <w:rPr>
                <w:b w:val="1"/>
                <w:bCs w:val="1"/>
                <w:i w:val="0"/>
                <w:iCs w:val="0"/>
                <w:caps w:val="1"/>
                <w:sz w:val="16"/>
                <w:szCs w:val="16"/>
                <w:lang w:val="en-GB"/>
              </w:rPr>
              <w:t>OPERATIONAL ANALYSIS</w:t>
            </w:r>
          </w:p>
        </w:tc>
      </w:tr>
      <w:tr w:rsidR="4DBA3918" w:rsidTr="4DBA3918" w14:paraId="47441722">
        <w:tc>
          <w:tcPr>
            <w:cnfStyle w:val="001000000000" w:firstRow="0" w:lastRow="0" w:firstColumn="1" w:lastColumn="0" w:oddVBand="0" w:evenVBand="0" w:oddHBand="0" w:evenHBand="0" w:firstRowFirstColumn="0" w:firstRowLastColumn="0" w:lastRowFirstColumn="0" w:lastRowLastColumn="0"/>
            <w:tcW w:w="1335" w:type="dxa"/>
            <w:tcBorders>
              <w:right w:val="single" w:color="7F7F7F" w:themeColor="text1" w:themeTint="80" w:sz="6"/>
            </w:tcBorders>
            <w:tcMar/>
            <w:vAlign w:val="top"/>
          </w:tcPr>
          <w:p w:rsidR="4DBA3918" w:rsidP="4DBA3918" w:rsidRDefault="4DBA3918" w14:paraId="34300C38" w14:textId="6F4406F5">
            <w:pPr>
              <w:spacing w:line="259" w:lineRule="auto"/>
              <w:rPr>
                <w:b w:val="1"/>
                <w:bCs w:val="1"/>
                <w:i w:val="0"/>
                <w:iCs w:val="0"/>
                <w:caps w:val="1"/>
                <w:sz w:val="16"/>
                <w:szCs w:val="16"/>
              </w:rPr>
            </w:pPr>
            <w:r w:rsidRPr="4DBA3918" w:rsidR="4DBA3918">
              <w:rPr>
                <w:b w:val="0"/>
                <w:bCs w:val="0"/>
                <w:i w:val="1"/>
                <w:iCs w:val="1"/>
                <w:caps w:val="1"/>
                <w:sz w:val="16"/>
                <w:szCs w:val="16"/>
                <w:lang w:val="en-GB"/>
              </w:rPr>
              <w:t>01: MAJOR</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4E1C0861" w14:textId="22839785">
            <w:pPr>
              <w:spacing w:line="259" w:lineRule="auto"/>
              <w:rPr>
                <w:b w:val="0"/>
                <w:bCs w:val="0"/>
                <w:i w:val="0"/>
                <w:iCs w:val="0"/>
                <w:sz w:val="16"/>
                <w:szCs w:val="16"/>
              </w:rPr>
            </w:pPr>
            <w:r w:rsidRPr="4DBA3918" w:rsidR="4DBA3918">
              <w:rPr>
                <w:b w:val="0"/>
                <w:bCs w:val="0"/>
                <w:i w:val="0"/>
                <w:iCs w:val="0"/>
                <w:sz w:val="16"/>
                <w:szCs w:val="16"/>
                <w:lang w:val="en-GB"/>
              </w:rPr>
              <w:t>expected</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26995DF3" w14:textId="236A21EE">
            <w:pPr>
              <w:spacing w:line="259" w:lineRule="auto"/>
              <w:rPr>
                <w:b w:val="0"/>
                <w:bCs w:val="0"/>
                <w:i w:val="0"/>
                <w:iCs w:val="0"/>
                <w:sz w:val="16"/>
                <w:szCs w:val="16"/>
              </w:rPr>
            </w:pPr>
            <w:r w:rsidRPr="4DBA3918" w:rsidR="4DBA3918">
              <w:rPr>
                <w:b w:val="0"/>
                <w:bCs w:val="0"/>
                <w:i w:val="0"/>
                <w:iCs w:val="0"/>
                <w:sz w:val="16"/>
                <w:szCs w:val="16"/>
                <w:lang w:val="en-GB"/>
              </w:rPr>
              <w:t>expected</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5C46F241" w14:textId="44F4A34F">
            <w:pPr>
              <w:spacing w:line="259" w:lineRule="auto"/>
              <w:rPr>
                <w:b w:val="0"/>
                <w:bCs w:val="0"/>
                <w:i w:val="0"/>
                <w:iCs w:val="0"/>
                <w:sz w:val="16"/>
                <w:szCs w:val="16"/>
              </w:rPr>
            </w:pPr>
            <w:r w:rsidRPr="4DBA3918" w:rsidR="4DBA3918">
              <w:rPr>
                <w:b w:val="0"/>
                <w:bCs w:val="0"/>
                <w:i w:val="0"/>
                <w:iCs w:val="0"/>
                <w:sz w:val="16"/>
                <w:szCs w:val="16"/>
                <w:lang w:val="en-GB"/>
              </w:rPr>
              <w:t>expected</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3C254759" w14:textId="7A5734B0">
            <w:pPr>
              <w:spacing w:line="259" w:lineRule="auto"/>
              <w:rPr>
                <w:b w:val="0"/>
                <w:bCs w:val="0"/>
                <w:i w:val="0"/>
                <w:iCs w:val="0"/>
                <w:sz w:val="16"/>
                <w:szCs w:val="16"/>
              </w:rPr>
            </w:pPr>
            <w:r w:rsidRPr="4DBA3918" w:rsidR="4DBA3918">
              <w:rPr>
                <w:b w:val="0"/>
                <w:bCs w:val="0"/>
                <w:i w:val="0"/>
                <w:iCs w:val="0"/>
                <w:sz w:val="16"/>
                <w:szCs w:val="16"/>
                <w:lang w:val="en-GB"/>
              </w:rPr>
              <w:t>expected</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0FAFB02A" w14:textId="7BB05653">
            <w:pPr>
              <w:spacing w:line="259" w:lineRule="auto"/>
              <w:rPr>
                <w:b w:val="0"/>
                <w:bCs w:val="0"/>
                <w:i w:val="0"/>
                <w:iCs w:val="0"/>
                <w:sz w:val="16"/>
                <w:szCs w:val="16"/>
              </w:rPr>
            </w:pPr>
            <w:r w:rsidRPr="4DBA3918" w:rsidR="4DBA3918">
              <w:rPr>
                <w:b w:val="0"/>
                <w:bCs w:val="0"/>
                <w:i w:val="0"/>
                <w:iCs w:val="0"/>
                <w:sz w:val="16"/>
                <w:szCs w:val="16"/>
                <w:lang w:val="en-GB"/>
              </w:rPr>
              <w:t>expected</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66C28961" w14:textId="09E5ABCF">
            <w:pPr>
              <w:spacing w:line="259" w:lineRule="auto"/>
              <w:rPr>
                <w:b w:val="0"/>
                <w:bCs w:val="0"/>
                <w:i w:val="0"/>
                <w:iCs w:val="0"/>
                <w:sz w:val="16"/>
                <w:szCs w:val="16"/>
              </w:rPr>
            </w:pPr>
            <w:r w:rsidRPr="4DBA3918" w:rsidR="4DBA3918">
              <w:rPr>
                <w:b w:val="0"/>
                <w:bCs w:val="0"/>
                <w:i w:val="0"/>
                <w:iCs w:val="0"/>
                <w:sz w:val="16"/>
                <w:szCs w:val="16"/>
                <w:lang w:val="en-GB"/>
              </w:rPr>
              <w:t>expected</w:t>
            </w:r>
          </w:p>
        </w:tc>
      </w:tr>
      <w:tr w:rsidR="4DBA3918" w:rsidTr="4DBA3918" w14:paraId="7C993B00">
        <w:tc>
          <w:tcPr>
            <w:cnfStyle w:val="001000000000" w:firstRow="0" w:lastRow="0" w:firstColumn="1" w:lastColumn="0" w:oddVBand="0" w:evenVBand="0" w:oddHBand="0" w:evenHBand="0" w:firstRowFirstColumn="0" w:firstRowLastColumn="0" w:lastRowFirstColumn="0" w:lastRowLastColumn="0"/>
            <w:tcW w:w="1335" w:type="dxa"/>
            <w:tcBorders>
              <w:right w:val="single" w:color="7F7F7F" w:themeColor="text1" w:themeTint="80" w:sz="6"/>
            </w:tcBorders>
            <w:tcMar/>
            <w:vAlign w:val="top"/>
          </w:tcPr>
          <w:p w:rsidR="4DBA3918" w:rsidP="4DBA3918" w:rsidRDefault="4DBA3918" w14:paraId="0B127D35" w14:textId="71840972">
            <w:pPr>
              <w:spacing w:line="259" w:lineRule="auto"/>
              <w:rPr>
                <w:b w:val="1"/>
                <w:bCs w:val="1"/>
                <w:i w:val="0"/>
                <w:iCs w:val="0"/>
                <w:caps w:val="1"/>
                <w:sz w:val="16"/>
                <w:szCs w:val="16"/>
              </w:rPr>
            </w:pPr>
            <w:r w:rsidRPr="4DBA3918" w:rsidR="4DBA3918">
              <w:rPr>
                <w:b w:val="0"/>
                <w:bCs w:val="0"/>
                <w:i w:val="1"/>
                <w:iCs w:val="1"/>
                <w:caps w:val="1"/>
                <w:sz w:val="16"/>
                <w:szCs w:val="16"/>
                <w:lang w:val="en-GB"/>
              </w:rPr>
              <w:t>02: NON-MAJOR</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6AB1C083" w14:textId="09E49FFA">
            <w:pPr>
              <w:spacing w:line="259" w:lineRule="auto"/>
              <w:rPr>
                <w:b w:val="0"/>
                <w:bCs w:val="0"/>
                <w:i w:val="0"/>
                <w:iCs w:val="0"/>
                <w:sz w:val="16"/>
                <w:szCs w:val="16"/>
              </w:rPr>
            </w:pPr>
            <w:r w:rsidRPr="4DBA3918" w:rsidR="4DBA3918">
              <w:rPr>
                <w:b w:val="0"/>
                <w:bCs w:val="0"/>
                <w:i w:val="0"/>
                <w:iCs w:val="0"/>
                <w:sz w:val="16"/>
                <w:szCs w:val="16"/>
                <w:lang w:val="en-GB"/>
              </w:rPr>
              <w:t>expected</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7FF686F9" w14:textId="27703485">
            <w:pPr>
              <w:spacing w:line="259" w:lineRule="auto"/>
              <w:rPr>
                <w:b w:val="0"/>
                <w:bCs w:val="0"/>
                <w:i w:val="0"/>
                <w:iCs w:val="0"/>
                <w:sz w:val="16"/>
                <w:szCs w:val="16"/>
              </w:rPr>
            </w:pPr>
            <w:r w:rsidRPr="4DBA3918" w:rsidR="4DBA3918">
              <w:rPr>
                <w:b w:val="0"/>
                <w:bCs w:val="0"/>
                <w:i w:val="0"/>
                <w:iCs w:val="0"/>
                <w:sz w:val="16"/>
                <w:szCs w:val="16"/>
                <w:lang w:val="en-GB"/>
              </w:rPr>
              <w:t>optional</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3D86E06F" w14:textId="025FF005">
            <w:pPr>
              <w:spacing w:line="259" w:lineRule="auto"/>
              <w:rPr>
                <w:b w:val="0"/>
                <w:bCs w:val="0"/>
                <w:i w:val="0"/>
                <w:iCs w:val="0"/>
                <w:sz w:val="16"/>
                <w:szCs w:val="16"/>
              </w:rPr>
            </w:pPr>
            <w:r w:rsidRPr="4DBA3918" w:rsidR="4DBA3918">
              <w:rPr>
                <w:b w:val="0"/>
                <w:bCs w:val="0"/>
                <w:i w:val="0"/>
                <w:iCs w:val="0"/>
                <w:sz w:val="16"/>
                <w:szCs w:val="16"/>
                <w:lang w:val="en-GB"/>
              </w:rPr>
              <w:t>expected</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7B71A1B3" w14:textId="6FFBDA7A">
            <w:pPr>
              <w:spacing w:line="259" w:lineRule="auto"/>
              <w:rPr>
                <w:b w:val="0"/>
                <w:bCs w:val="0"/>
                <w:i w:val="0"/>
                <w:iCs w:val="0"/>
                <w:sz w:val="16"/>
                <w:szCs w:val="16"/>
              </w:rPr>
            </w:pPr>
            <w:r w:rsidRPr="4DBA3918" w:rsidR="4DBA3918">
              <w:rPr>
                <w:b w:val="0"/>
                <w:bCs w:val="0"/>
                <w:i w:val="0"/>
                <w:iCs w:val="0"/>
                <w:sz w:val="16"/>
                <w:szCs w:val="16"/>
                <w:lang w:val="en-GB"/>
              </w:rPr>
              <w:t>optional</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6469EB32" w14:textId="425C3962">
            <w:pPr>
              <w:spacing w:line="259" w:lineRule="auto"/>
              <w:rPr>
                <w:b w:val="0"/>
                <w:bCs w:val="0"/>
                <w:i w:val="0"/>
                <w:iCs w:val="0"/>
                <w:sz w:val="16"/>
                <w:szCs w:val="16"/>
              </w:rPr>
            </w:pPr>
            <w:r w:rsidRPr="4DBA3918" w:rsidR="4DBA3918">
              <w:rPr>
                <w:b w:val="0"/>
                <w:bCs w:val="0"/>
                <w:i w:val="0"/>
                <w:iCs w:val="0"/>
                <w:sz w:val="16"/>
                <w:szCs w:val="16"/>
                <w:lang w:val="en-GB"/>
              </w:rPr>
              <w:t>optional</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25C7C9D0" w14:textId="23A304AD">
            <w:pPr>
              <w:spacing w:line="259" w:lineRule="auto"/>
              <w:rPr>
                <w:b w:val="0"/>
                <w:bCs w:val="0"/>
                <w:i w:val="0"/>
                <w:iCs w:val="0"/>
                <w:sz w:val="16"/>
                <w:szCs w:val="16"/>
              </w:rPr>
            </w:pPr>
            <w:r w:rsidRPr="4DBA3918" w:rsidR="4DBA3918">
              <w:rPr>
                <w:b w:val="0"/>
                <w:bCs w:val="0"/>
                <w:i w:val="0"/>
                <w:iCs w:val="0"/>
                <w:sz w:val="16"/>
                <w:szCs w:val="16"/>
                <w:lang w:val="en-GB"/>
              </w:rPr>
              <w:t>optional</w:t>
            </w:r>
          </w:p>
        </w:tc>
      </w:tr>
      <w:tr w:rsidR="4DBA3918" w:rsidTr="4DBA3918" w14:paraId="267F923B">
        <w:tc>
          <w:tcPr>
            <w:cnfStyle w:val="001000000000" w:firstRow="0" w:lastRow="0" w:firstColumn="1" w:lastColumn="0" w:oddVBand="0" w:evenVBand="0" w:oddHBand="0" w:evenHBand="0" w:firstRowFirstColumn="0" w:firstRowLastColumn="0" w:lastRowFirstColumn="0" w:lastRowLastColumn="0"/>
            <w:tcW w:w="1335" w:type="dxa"/>
            <w:tcBorders>
              <w:right w:val="single" w:color="7F7F7F" w:themeColor="text1" w:themeTint="80" w:sz="6"/>
            </w:tcBorders>
            <w:tcMar/>
            <w:vAlign w:val="top"/>
          </w:tcPr>
          <w:p w:rsidR="4DBA3918" w:rsidP="4DBA3918" w:rsidRDefault="4DBA3918" w14:paraId="4EDC0FF7" w14:textId="56F8A1E9">
            <w:pPr>
              <w:spacing w:line="259" w:lineRule="auto"/>
              <w:rPr>
                <w:b w:val="1"/>
                <w:bCs w:val="1"/>
                <w:i w:val="0"/>
                <w:iCs w:val="0"/>
                <w:caps w:val="1"/>
                <w:sz w:val="16"/>
                <w:szCs w:val="16"/>
              </w:rPr>
            </w:pPr>
            <w:r w:rsidRPr="4DBA3918" w:rsidR="4DBA3918">
              <w:rPr>
                <w:b w:val="0"/>
                <w:bCs w:val="0"/>
                <w:i w:val="1"/>
                <w:iCs w:val="1"/>
                <w:caps w:val="1"/>
                <w:sz w:val="16"/>
                <w:szCs w:val="16"/>
                <w:lang w:val="en-GB"/>
              </w:rPr>
              <w:t>03: IT MIGRATION</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118F15EB" w14:textId="579A95CF">
            <w:pPr>
              <w:spacing w:line="259" w:lineRule="auto"/>
              <w:rPr>
                <w:b w:val="0"/>
                <w:bCs w:val="0"/>
                <w:i w:val="0"/>
                <w:iCs w:val="0"/>
                <w:sz w:val="16"/>
                <w:szCs w:val="16"/>
              </w:rPr>
            </w:pPr>
            <w:r w:rsidRPr="4DBA3918" w:rsidR="4DBA3918">
              <w:rPr>
                <w:b w:val="0"/>
                <w:bCs w:val="0"/>
                <w:i w:val="0"/>
                <w:iCs w:val="0"/>
                <w:sz w:val="16"/>
                <w:szCs w:val="16"/>
                <w:lang w:val="en-GB"/>
              </w:rPr>
              <w:t>expected</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4433F5CC" w14:textId="08DD9DAB">
            <w:pPr>
              <w:spacing w:line="259" w:lineRule="auto"/>
              <w:rPr>
                <w:b w:val="0"/>
                <w:bCs w:val="0"/>
                <w:i w:val="0"/>
                <w:iCs w:val="0"/>
                <w:sz w:val="16"/>
                <w:szCs w:val="16"/>
              </w:rPr>
            </w:pPr>
            <w:r w:rsidRPr="4DBA3918" w:rsidR="4DBA3918">
              <w:rPr>
                <w:b w:val="0"/>
                <w:bCs w:val="0"/>
                <w:i w:val="0"/>
                <w:iCs w:val="0"/>
                <w:sz w:val="16"/>
                <w:szCs w:val="16"/>
                <w:lang w:val="en-GB"/>
              </w:rPr>
              <w:t>optional</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4BBAB6DC" w14:textId="255B2263">
            <w:pPr>
              <w:spacing w:line="259" w:lineRule="auto"/>
              <w:rPr>
                <w:b w:val="0"/>
                <w:bCs w:val="0"/>
                <w:i w:val="0"/>
                <w:iCs w:val="0"/>
                <w:sz w:val="16"/>
                <w:szCs w:val="16"/>
              </w:rPr>
            </w:pPr>
            <w:r w:rsidRPr="4DBA3918" w:rsidR="4DBA3918">
              <w:rPr>
                <w:b w:val="0"/>
                <w:bCs w:val="0"/>
                <w:i w:val="0"/>
                <w:iCs w:val="0"/>
                <w:sz w:val="16"/>
                <w:szCs w:val="16"/>
                <w:lang w:val="en-GB"/>
              </w:rPr>
              <w:t>optional</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5E1D10E3" w14:textId="27C8141E">
            <w:pPr>
              <w:spacing w:line="259" w:lineRule="auto"/>
              <w:rPr>
                <w:b w:val="0"/>
                <w:bCs w:val="0"/>
                <w:i w:val="0"/>
                <w:iCs w:val="0"/>
                <w:sz w:val="16"/>
                <w:szCs w:val="16"/>
              </w:rPr>
            </w:pPr>
            <w:r w:rsidRPr="4DBA3918" w:rsidR="4DBA3918">
              <w:rPr>
                <w:b w:val="0"/>
                <w:bCs w:val="0"/>
                <w:i w:val="0"/>
                <w:iCs w:val="0"/>
                <w:sz w:val="16"/>
                <w:szCs w:val="16"/>
                <w:lang w:val="en-GB"/>
              </w:rPr>
              <w:t>optional</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0795A37B" w14:textId="0A8A306D">
            <w:pPr>
              <w:spacing w:line="259" w:lineRule="auto"/>
              <w:rPr>
                <w:b w:val="0"/>
                <w:bCs w:val="0"/>
                <w:i w:val="0"/>
                <w:iCs w:val="0"/>
                <w:sz w:val="16"/>
                <w:szCs w:val="16"/>
              </w:rPr>
            </w:pPr>
            <w:r w:rsidRPr="4DBA3918" w:rsidR="4DBA3918">
              <w:rPr>
                <w:b w:val="0"/>
                <w:bCs w:val="0"/>
                <w:i w:val="0"/>
                <w:iCs w:val="0"/>
                <w:sz w:val="16"/>
                <w:szCs w:val="16"/>
                <w:lang w:val="en-GB"/>
              </w:rPr>
              <w:t>optional</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4791AE32" w14:textId="0EAE4EBC">
            <w:pPr>
              <w:spacing w:line="259" w:lineRule="auto"/>
              <w:rPr>
                <w:b w:val="0"/>
                <w:bCs w:val="0"/>
                <w:i w:val="0"/>
                <w:iCs w:val="0"/>
                <w:sz w:val="16"/>
                <w:szCs w:val="16"/>
              </w:rPr>
            </w:pPr>
            <w:r w:rsidRPr="4DBA3918" w:rsidR="4DBA3918">
              <w:rPr>
                <w:b w:val="0"/>
                <w:bCs w:val="0"/>
                <w:i w:val="0"/>
                <w:iCs w:val="0"/>
                <w:sz w:val="16"/>
                <w:szCs w:val="16"/>
                <w:lang w:val="en-GB"/>
              </w:rPr>
              <w:t>optional</w:t>
            </w:r>
          </w:p>
        </w:tc>
      </w:tr>
      <w:tr w:rsidR="4DBA3918" w:rsidTr="4DBA3918" w14:paraId="47467F3B">
        <w:tc>
          <w:tcPr>
            <w:cnfStyle w:val="001000000000" w:firstRow="0" w:lastRow="0" w:firstColumn="1" w:lastColumn="0" w:oddVBand="0" w:evenVBand="0" w:oddHBand="0" w:evenHBand="0" w:firstRowFirstColumn="0" w:firstRowLastColumn="0" w:lastRowFirstColumn="0" w:lastRowLastColumn="0"/>
            <w:tcW w:w="1335" w:type="dxa"/>
            <w:tcBorders>
              <w:right w:val="single" w:color="7F7F7F" w:themeColor="text1" w:themeTint="80" w:sz="6"/>
            </w:tcBorders>
            <w:tcMar/>
            <w:vAlign w:val="top"/>
          </w:tcPr>
          <w:p w:rsidR="4DBA3918" w:rsidP="4DBA3918" w:rsidRDefault="4DBA3918" w14:paraId="3EF61DD8" w14:textId="03E15E75">
            <w:pPr>
              <w:spacing w:line="259" w:lineRule="auto"/>
              <w:rPr>
                <w:b w:val="1"/>
                <w:bCs w:val="1"/>
                <w:i w:val="0"/>
                <w:iCs w:val="0"/>
                <w:caps w:val="1"/>
                <w:sz w:val="16"/>
                <w:szCs w:val="16"/>
              </w:rPr>
            </w:pPr>
            <w:r w:rsidRPr="4DBA3918" w:rsidR="4DBA3918">
              <w:rPr>
                <w:b w:val="0"/>
                <w:bCs w:val="0"/>
                <w:i w:val="1"/>
                <w:iCs w:val="1"/>
                <w:caps w:val="1"/>
                <w:sz w:val="16"/>
                <w:szCs w:val="16"/>
                <w:lang w:val="en-GB"/>
              </w:rPr>
              <w:t xml:space="preserve">04: </w:t>
            </w:r>
            <w:r w:rsidRPr="4DBA3918" w:rsidR="4DBA3918">
              <w:rPr>
                <w:b w:val="0"/>
                <w:bCs w:val="0"/>
                <w:i w:val="1"/>
                <w:iCs w:val="1"/>
                <w:caps w:val="1"/>
                <w:sz w:val="16"/>
                <w:szCs w:val="16"/>
                <w:lang w:val="en-US"/>
              </w:rPr>
              <w:t>F</w:t>
            </w:r>
            <w:r w:rsidRPr="4DBA3918" w:rsidR="4DBA3918">
              <w:rPr>
                <w:b w:val="0"/>
                <w:bCs w:val="0"/>
                <w:i w:val="1"/>
                <w:iCs w:val="1"/>
                <w:caps w:val="1"/>
                <w:sz w:val="16"/>
                <w:szCs w:val="16"/>
                <w:lang w:val="en-GB"/>
              </w:rPr>
              <w:t>UNDING TRANSFER</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0C395556" w14:textId="4761BD1C">
            <w:pPr>
              <w:spacing w:line="259" w:lineRule="auto"/>
              <w:rPr>
                <w:b w:val="0"/>
                <w:bCs w:val="0"/>
                <w:i w:val="0"/>
                <w:iCs w:val="0"/>
                <w:sz w:val="16"/>
                <w:szCs w:val="16"/>
              </w:rPr>
            </w:pPr>
            <w:r w:rsidRPr="4DBA3918" w:rsidR="4DBA3918">
              <w:rPr>
                <w:b w:val="0"/>
                <w:bCs w:val="0"/>
                <w:i w:val="0"/>
                <w:iCs w:val="0"/>
                <w:sz w:val="16"/>
                <w:szCs w:val="16"/>
                <w:lang w:val="en-GB"/>
              </w:rPr>
              <w:t>expected</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052956D6" w14:textId="51EAEBE1">
            <w:pPr>
              <w:spacing w:line="259" w:lineRule="auto"/>
              <w:rPr>
                <w:b w:val="0"/>
                <w:bCs w:val="0"/>
                <w:i w:val="0"/>
                <w:iCs w:val="0"/>
                <w:sz w:val="16"/>
                <w:szCs w:val="16"/>
              </w:rPr>
            </w:pPr>
            <w:r w:rsidRPr="4DBA3918" w:rsidR="4DBA3918">
              <w:rPr>
                <w:b w:val="0"/>
                <w:bCs w:val="0"/>
                <w:i w:val="0"/>
                <w:iCs w:val="0"/>
                <w:sz w:val="16"/>
                <w:szCs w:val="16"/>
                <w:lang w:val="en-GB"/>
              </w:rPr>
              <w:t>optional</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3E810C10" w14:textId="561335D4">
            <w:pPr>
              <w:spacing w:line="259" w:lineRule="auto"/>
              <w:rPr>
                <w:b w:val="0"/>
                <w:bCs w:val="0"/>
                <w:i w:val="0"/>
                <w:iCs w:val="0"/>
                <w:sz w:val="16"/>
                <w:szCs w:val="16"/>
              </w:rPr>
            </w:pPr>
            <w:r w:rsidRPr="4DBA3918" w:rsidR="4DBA3918">
              <w:rPr>
                <w:b w:val="0"/>
                <w:bCs w:val="0"/>
                <w:i w:val="0"/>
                <w:iCs w:val="0"/>
                <w:sz w:val="16"/>
                <w:szCs w:val="16"/>
                <w:lang w:val="en-GB"/>
              </w:rPr>
              <w:t>optional</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4A6DDA08" w14:textId="7EA0B128">
            <w:pPr>
              <w:spacing w:line="259" w:lineRule="auto"/>
              <w:rPr>
                <w:b w:val="0"/>
                <w:bCs w:val="0"/>
                <w:i w:val="0"/>
                <w:iCs w:val="0"/>
                <w:sz w:val="16"/>
                <w:szCs w:val="16"/>
              </w:rPr>
            </w:pPr>
            <w:r w:rsidRPr="4DBA3918" w:rsidR="4DBA3918">
              <w:rPr>
                <w:b w:val="0"/>
                <w:bCs w:val="0"/>
                <w:i w:val="0"/>
                <w:iCs w:val="0"/>
                <w:sz w:val="16"/>
                <w:szCs w:val="16"/>
                <w:lang w:val="en-GB"/>
              </w:rPr>
              <w:t>optional</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6AF8398D" w14:textId="57D741AE">
            <w:pPr>
              <w:spacing w:line="259" w:lineRule="auto"/>
              <w:rPr>
                <w:b w:val="0"/>
                <w:bCs w:val="0"/>
                <w:i w:val="0"/>
                <w:iCs w:val="0"/>
                <w:sz w:val="16"/>
                <w:szCs w:val="16"/>
              </w:rPr>
            </w:pPr>
            <w:r w:rsidRPr="4DBA3918" w:rsidR="4DBA3918">
              <w:rPr>
                <w:b w:val="0"/>
                <w:bCs w:val="0"/>
                <w:i w:val="0"/>
                <w:iCs w:val="0"/>
                <w:sz w:val="16"/>
                <w:szCs w:val="16"/>
                <w:lang w:val="en-GB"/>
              </w:rPr>
              <w:t>optional</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634F7DE7" w14:textId="4890DB8C">
            <w:pPr>
              <w:spacing w:line="259" w:lineRule="auto"/>
              <w:rPr>
                <w:b w:val="0"/>
                <w:bCs w:val="0"/>
                <w:i w:val="0"/>
                <w:iCs w:val="0"/>
                <w:sz w:val="16"/>
                <w:szCs w:val="16"/>
              </w:rPr>
            </w:pPr>
            <w:r w:rsidRPr="4DBA3918" w:rsidR="4DBA3918">
              <w:rPr>
                <w:b w:val="0"/>
                <w:bCs w:val="0"/>
                <w:i w:val="0"/>
                <w:iCs w:val="0"/>
                <w:sz w:val="16"/>
                <w:szCs w:val="16"/>
                <w:lang w:val="en-GB"/>
              </w:rPr>
              <w:t>optional</w:t>
            </w:r>
          </w:p>
        </w:tc>
      </w:tr>
      <w:tr w:rsidR="4DBA3918" w:rsidTr="4DBA3918" w14:paraId="3B95A9B5">
        <w:tc>
          <w:tcPr>
            <w:cnfStyle w:val="001000000000" w:firstRow="0" w:lastRow="0" w:firstColumn="1" w:lastColumn="0" w:oddVBand="0" w:evenVBand="0" w:oddHBand="0" w:evenHBand="0" w:firstRowFirstColumn="0" w:firstRowLastColumn="0" w:lastRowFirstColumn="0" w:lastRowLastColumn="0"/>
            <w:tcW w:w="1335" w:type="dxa"/>
            <w:tcBorders>
              <w:right w:val="single" w:color="7F7F7F" w:themeColor="text1" w:themeTint="80" w:sz="6"/>
            </w:tcBorders>
            <w:tcMar/>
            <w:vAlign w:val="top"/>
          </w:tcPr>
          <w:p w:rsidR="4DBA3918" w:rsidP="4DBA3918" w:rsidRDefault="4DBA3918" w14:paraId="6BE96FE5" w14:textId="74393C16">
            <w:pPr>
              <w:spacing w:line="259" w:lineRule="auto"/>
              <w:rPr>
                <w:b w:val="1"/>
                <w:bCs w:val="1"/>
                <w:i w:val="0"/>
                <w:iCs w:val="0"/>
                <w:caps w:val="1"/>
                <w:sz w:val="16"/>
                <w:szCs w:val="16"/>
              </w:rPr>
            </w:pPr>
            <w:r w:rsidRPr="4DBA3918" w:rsidR="4DBA3918">
              <w:rPr>
                <w:b w:val="0"/>
                <w:bCs w:val="0"/>
                <w:i w:val="1"/>
                <w:iCs w:val="1"/>
                <w:caps w:val="1"/>
                <w:sz w:val="16"/>
                <w:szCs w:val="16"/>
                <w:lang w:val="en-GB"/>
              </w:rPr>
              <w:t>05: STANDARD</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4C5A821B" w14:textId="63212587">
            <w:pPr>
              <w:spacing w:line="259" w:lineRule="auto"/>
              <w:rPr>
                <w:b w:val="0"/>
                <w:bCs w:val="0"/>
                <w:i w:val="0"/>
                <w:iCs w:val="0"/>
                <w:sz w:val="16"/>
                <w:szCs w:val="16"/>
              </w:rPr>
            </w:pPr>
            <w:r w:rsidRPr="4DBA3918" w:rsidR="4DBA3918">
              <w:rPr>
                <w:b w:val="0"/>
                <w:bCs w:val="0"/>
                <w:i w:val="0"/>
                <w:iCs w:val="0"/>
                <w:sz w:val="16"/>
                <w:szCs w:val="16"/>
                <w:lang w:val="en-GB"/>
              </w:rPr>
              <w:t>expected</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3C38AA8F" w14:textId="0CEB7E85">
            <w:pPr>
              <w:spacing w:line="259" w:lineRule="auto"/>
              <w:rPr>
                <w:b w:val="0"/>
                <w:bCs w:val="0"/>
                <w:i w:val="0"/>
                <w:iCs w:val="0"/>
                <w:sz w:val="16"/>
                <w:szCs w:val="16"/>
              </w:rPr>
            </w:pPr>
            <w:r w:rsidRPr="4DBA3918" w:rsidR="4DBA3918">
              <w:rPr>
                <w:b w:val="0"/>
                <w:bCs w:val="0"/>
                <w:i w:val="0"/>
                <w:iCs w:val="0"/>
                <w:sz w:val="16"/>
                <w:szCs w:val="16"/>
                <w:lang w:val="en-GB"/>
              </w:rPr>
              <w:t>expected</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45458BEC" w14:textId="705E0FDA">
            <w:pPr>
              <w:spacing w:line="259" w:lineRule="auto"/>
              <w:rPr>
                <w:b w:val="0"/>
                <w:bCs w:val="0"/>
                <w:i w:val="0"/>
                <w:iCs w:val="0"/>
                <w:sz w:val="16"/>
                <w:szCs w:val="16"/>
              </w:rPr>
            </w:pPr>
            <w:r w:rsidRPr="4DBA3918" w:rsidR="4DBA3918">
              <w:rPr>
                <w:b w:val="0"/>
                <w:bCs w:val="0"/>
                <w:i w:val="0"/>
                <w:iCs w:val="0"/>
                <w:sz w:val="16"/>
                <w:szCs w:val="16"/>
                <w:lang w:val="en-GB"/>
              </w:rPr>
              <w:t>expected</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2C096F4F" w14:textId="7F23CB4D">
            <w:pPr>
              <w:spacing w:line="259" w:lineRule="auto"/>
              <w:rPr>
                <w:b w:val="0"/>
                <w:bCs w:val="0"/>
                <w:i w:val="0"/>
                <w:iCs w:val="0"/>
                <w:sz w:val="16"/>
                <w:szCs w:val="16"/>
              </w:rPr>
            </w:pPr>
            <w:r w:rsidRPr="4DBA3918" w:rsidR="4DBA3918">
              <w:rPr>
                <w:b w:val="0"/>
                <w:bCs w:val="0"/>
                <w:i w:val="0"/>
                <w:iCs w:val="0"/>
                <w:sz w:val="16"/>
                <w:szCs w:val="16"/>
                <w:lang w:val="en-GB"/>
              </w:rPr>
              <w:t>optional</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403D89CC" w14:textId="2B217E08">
            <w:pPr>
              <w:spacing w:line="259" w:lineRule="auto"/>
              <w:rPr>
                <w:b w:val="0"/>
                <w:bCs w:val="0"/>
                <w:i w:val="0"/>
                <w:iCs w:val="0"/>
                <w:sz w:val="16"/>
                <w:szCs w:val="16"/>
              </w:rPr>
            </w:pPr>
            <w:r w:rsidRPr="4DBA3918" w:rsidR="4DBA3918">
              <w:rPr>
                <w:b w:val="0"/>
                <w:bCs w:val="0"/>
                <w:i w:val="0"/>
                <w:iCs w:val="0"/>
                <w:sz w:val="16"/>
                <w:szCs w:val="16"/>
                <w:lang w:val="en-GB"/>
              </w:rPr>
              <w:t>optional</w:t>
            </w:r>
          </w:p>
        </w:tc>
        <w:tc>
          <w:tcPr>
            <w:cnfStyle w:val="000000000000" w:firstRow="0" w:lastRow="0" w:firstColumn="0" w:lastColumn="0" w:oddVBand="0" w:evenVBand="0" w:oddHBand="0" w:evenHBand="0" w:firstRowFirstColumn="0" w:firstRowLastColumn="0" w:lastRowFirstColumn="0" w:lastRowLastColumn="0"/>
            <w:tcW w:w="1335" w:type="dxa"/>
            <w:tcMar/>
            <w:vAlign w:val="top"/>
          </w:tcPr>
          <w:p w:rsidR="4DBA3918" w:rsidP="4DBA3918" w:rsidRDefault="4DBA3918" w14:paraId="1DF7BDB6" w14:textId="6982222C">
            <w:pPr>
              <w:spacing w:line="259" w:lineRule="auto"/>
              <w:rPr>
                <w:b w:val="0"/>
                <w:bCs w:val="0"/>
                <w:i w:val="0"/>
                <w:iCs w:val="0"/>
                <w:sz w:val="16"/>
                <w:szCs w:val="16"/>
              </w:rPr>
            </w:pPr>
            <w:r w:rsidRPr="4DBA3918" w:rsidR="4DBA3918">
              <w:rPr>
                <w:b w:val="0"/>
                <w:bCs w:val="0"/>
                <w:i w:val="0"/>
                <w:iCs w:val="0"/>
                <w:sz w:val="16"/>
                <w:szCs w:val="16"/>
                <w:lang w:val="en-GB"/>
              </w:rPr>
              <w:t>optional</w:t>
            </w:r>
          </w:p>
        </w:tc>
      </w:tr>
    </w:tbl>
    <w:p w:rsidR="4DBA3918" w:rsidP="4DBA3918" w:rsidRDefault="4DBA3918" w14:paraId="1DECE69B" w14:textId="3190D1B7">
      <w:pPr>
        <w:spacing w:after="160" w:line="259" w:lineRule="auto"/>
        <w:rPr>
          <w:rFonts w:ascii="Segoe UI" w:hAnsi="Segoe UI" w:eastAsia="Segoe UI" w:cs="Segoe UI"/>
          <w:b w:val="0"/>
          <w:bCs w:val="0"/>
          <w:i w:val="0"/>
          <w:iCs w:val="0"/>
          <w:noProof w:val="0"/>
          <w:color w:val="000000" w:themeColor="text1" w:themeTint="FF" w:themeShade="FF"/>
          <w:sz w:val="22"/>
          <w:szCs w:val="22"/>
          <w:lang w:val="en-US"/>
        </w:rPr>
      </w:pPr>
    </w:p>
    <w:p w:rsidR="107EE693" w:rsidP="3722BE7F" w:rsidRDefault="107EE693" w14:paraId="74D50342" w14:textId="53C0CCB0">
      <w:pPr>
        <w:spacing w:after="160" w:line="259" w:lineRule="auto"/>
        <w:rPr>
          <w:rFonts w:ascii="Public sans" w:hAnsi="Public sans" w:eastAsia="Public sans" w:cs="Public sans"/>
          <w:b w:val="0"/>
          <w:bCs w:val="0"/>
          <w:i w:val="0"/>
          <w:iCs w:val="0"/>
          <w:noProof w:val="0"/>
          <w:color w:val="000000" w:themeColor="text1" w:themeTint="FF" w:themeShade="FF"/>
          <w:sz w:val="22"/>
          <w:szCs w:val="22"/>
          <w:lang w:val="en-US"/>
        </w:rPr>
      </w:pPr>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For more information on how to submit embedded documents, please reference the AP</w:t>
      </w:r>
      <w:r w:rsidRPr="3722BE7F" w:rsidR="196D3672">
        <w:rPr>
          <w:rFonts w:ascii="Public sans" w:hAnsi="Public sans" w:eastAsia="Public sans" w:cs="Public sans"/>
          <w:b w:val="0"/>
          <w:bCs w:val="0"/>
          <w:i w:val="0"/>
          <w:iCs w:val="0"/>
          <w:noProof w:val="0"/>
          <w:color w:val="000000" w:themeColor="text1" w:themeTint="FF" w:themeShade="FF"/>
          <w:sz w:val="22"/>
          <w:szCs w:val="22"/>
          <w:lang w:val="en-GB"/>
        </w:rPr>
        <w:t>I</w:t>
      </w:r>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 xml:space="preserve"> Schema documentation. </w:t>
      </w:r>
    </w:p>
    <w:p w:rsidR="107EE693" w:rsidP="3722BE7F" w:rsidRDefault="107EE693" w14:paraId="6EF0D691" w14:textId="22828EFC">
      <w:pPr>
        <w:pStyle w:val="Heading3"/>
        <w:spacing w:before="240" w:after="240" w:line="259" w:lineRule="auto"/>
        <w:rPr>
          <w:rFonts w:ascii="Public sans" w:hAnsi="Public sans" w:eastAsia="Public sans" w:cs="Public sans"/>
          <w:b w:val="0"/>
          <w:bCs w:val="0"/>
          <w:i w:val="0"/>
          <w:iCs w:val="0"/>
          <w:noProof w:val="0"/>
          <w:color w:val="00B0F0"/>
          <w:sz w:val="28"/>
          <w:szCs w:val="28"/>
          <w:lang w:val="en-US"/>
        </w:rPr>
      </w:pPr>
      <w:r w:rsidRPr="3722BE7F" w:rsidR="107EE693">
        <w:rPr>
          <w:rFonts w:ascii="Public sans" w:hAnsi="Public sans" w:eastAsia="Public sans" w:cs="Public sans"/>
          <w:b w:val="1"/>
          <w:bCs w:val="1"/>
          <w:i w:val="0"/>
          <w:iCs w:val="0"/>
          <w:noProof w:val="0"/>
          <w:color w:val="00B0F0"/>
          <w:sz w:val="28"/>
          <w:szCs w:val="28"/>
          <w:lang w:val="en-GB"/>
        </w:rPr>
        <w:t>How do I keep a service active within subsequent budget submissions?</w:t>
      </w:r>
    </w:p>
    <w:p w:rsidR="107EE693" w:rsidP="3722BE7F" w:rsidRDefault="107EE693" w14:paraId="0689E9E2" w14:textId="4A2FE2D0">
      <w:pPr>
        <w:spacing w:after="160" w:line="259" w:lineRule="auto"/>
        <w:rPr>
          <w:rFonts w:ascii="Public sans" w:hAnsi="Public sans" w:eastAsia="Public sans" w:cs="Public sans"/>
          <w:b w:val="0"/>
          <w:bCs w:val="0"/>
          <w:i w:val="0"/>
          <w:iCs w:val="0"/>
          <w:noProof w:val="0"/>
          <w:color w:val="000000" w:themeColor="text1" w:themeTint="FF" w:themeShade="FF"/>
          <w:sz w:val="22"/>
          <w:szCs w:val="22"/>
          <w:lang w:val="en-US"/>
        </w:rPr>
      </w:pPr>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Once a service/UII is posted to IT Collect, the service/UII will remain active in your Agency’s IT Portfolio until the Service is retired. Agencies are expected to update any relevant data points within the Service during each budget cycle submission. However, IT Collect does not mandate any user action to keep a service active. In the BY 2024 Pre-Decisional September submission window, agency users only need to update relevant data points for their existing stock of active services. No further action is required to carry over UII’s from the BY 2023 President’s Budget IT Portfolio to the BY 2024 Pre-Decisional Portfolio.</w:t>
      </w:r>
    </w:p>
    <w:p w:rsidR="107EE693" w:rsidP="3722BE7F" w:rsidRDefault="107EE693" w14:paraId="7D07512A" w14:textId="6EF3F15B">
      <w:pPr>
        <w:pStyle w:val="Heading3"/>
        <w:spacing w:before="240" w:after="240" w:line="259" w:lineRule="auto"/>
        <w:rPr>
          <w:rFonts w:ascii="Public sans" w:hAnsi="Public sans" w:eastAsia="Public sans" w:cs="Public sans"/>
          <w:b w:val="0"/>
          <w:bCs w:val="0"/>
          <w:i w:val="0"/>
          <w:iCs w:val="0"/>
          <w:noProof w:val="0"/>
          <w:color w:val="00B0F0"/>
          <w:sz w:val="28"/>
          <w:szCs w:val="28"/>
          <w:lang w:val="en-US"/>
        </w:rPr>
      </w:pPr>
      <w:r w:rsidRPr="3722BE7F" w:rsidR="107EE693">
        <w:rPr>
          <w:rFonts w:ascii="Public sans" w:hAnsi="Public sans" w:eastAsia="Public sans" w:cs="Public sans"/>
          <w:b w:val="1"/>
          <w:bCs w:val="1"/>
          <w:i w:val="0"/>
          <w:iCs w:val="0"/>
          <w:noProof w:val="0"/>
          <w:color w:val="00B0F0"/>
          <w:sz w:val="28"/>
          <w:szCs w:val="28"/>
          <w:lang w:val="en-GB"/>
        </w:rPr>
        <w:t xml:space="preserve">How do I remove a service from my agency’s IT Portfolio? </w:t>
      </w:r>
    </w:p>
    <w:p w:rsidR="107EE693" w:rsidP="3722BE7F" w:rsidRDefault="107EE693" w14:paraId="062AE8E2" w14:textId="0EFEBECF">
      <w:pPr>
        <w:spacing w:after="160" w:line="259" w:lineRule="auto"/>
        <w:rPr>
          <w:rFonts w:ascii="Public sans" w:hAnsi="Public sans" w:eastAsia="Public sans" w:cs="Public sans"/>
          <w:b w:val="0"/>
          <w:bCs w:val="0"/>
          <w:i w:val="0"/>
          <w:iCs w:val="0"/>
          <w:noProof w:val="0"/>
          <w:color w:val="000000" w:themeColor="text1" w:themeTint="FF" w:themeShade="FF"/>
          <w:sz w:val="22"/>
          <w:szCs w:val="22"/>
          <w:lang w:val="en-US"/>
        </w:rPr>
      </w:pPr>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To retire a Service, set the “</w:t>
      </w:r>
      <w:proofErr w:type="spellStart"/>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isRetired</w:t>
      </w:r>
      <w:proofErr w:type="spellEnd"/>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 xml:space="preserve">” field to “true”. Additionally, the “Change </w:t>
      </w:r>
      <w:proofErr w:type="gramStart"/>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In</w:t>
      </w:r>
      <w:proofErr w:type="gramEnd"/>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 xml:space="preserve"> Status” must equal a value of 06, 07, 08, or 09 to successfully change the Service to Retired. IT Collect allows agencies to un-retire services can by changing “</w:t>
      </w:r>
      <w:proofErr w:type="spellStart"/>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isRetired</w:t>
      </w:r>
      <w:proofErr w:type="spellEnd"/>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 xml:space="preserve">” to “false”. However, agencies must include a valid </w:t>
      </w:r>
      <w:proofErr w:type="spellStart"/>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rebaseline</w:t>
      </w:r>
      <w:proofErr w:type="spellEnd"/>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 xml:space="preserve"> ID to un-retire a service. Agencies and vendors should plan on using the </w:t>
      </w:r>
      <w:proofErr w:type="spellStart"/>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isRetired</w:t>
      </w:r>
      <w:proofErr w:type="spellEnd"/>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 xml:space="preserve"> field rather than the DELETE operation.</w:t>
      </w:r>
    </w:p>
    <w:p w:rsidR="107EE693" w:rsidP="3722BE7F" w:rsidRDefault="107EE693" w14:paraId="1ADE44CE" w14:textId="3E1AEC9A">
      <w:pPr>
        <w:pStyle w:val="Heading3"/>
        <w:spacing w:before="240" w:after="240" w:line="259" w:lineRule="auto"/>
        <w:rPr>
          <w:rFonts w:ascii="Public sans" w:hAnsi="Public sans" w:eastAsia="Public sans" w:cs="Public sans"/>
          <w:b w:val="0"/>
          <w:bCs w:val="0"/>
          <w:i w:val="0"/>
          <w:iCs w:val="0"/>
          <w:noProof w:val="0"/>
          <w:color w:val="00B0F0"/>
          <w:sz w:val="28"/>
          <w:szCs w:val="28"/>
          <w:lang w:val="en-US"/>
        </w:rPr>
      </w:pPr>
      <w:r w:rsidRPr="3722BE7F" w:rsidR="107EE693">
        <w:rPr>
          <w:rFonts w:ascii="Public sans" w:hAnsi="Public sans" w:eastAsia="Public sans" w:cs="Public sans"/>
          <w:b w:val="1"/>
          <w:bCs w:val="1"/>
          <w:i w:val="0"/>
          <w:iCs w:val="0"/>
          <w:noProof w:val="0"/>
          <w:color w:val="00B0F0"/>
          <w:sz w:val="28"/>
          <w:szCs w:val="28"/>
          <w:lang w:val="en-GB"/>
        </w:rPr>
        <w:t>What happens to “stale” services data?</w:t>
      </w:r>
    </w:p>
    <w:p w:rsidR="107EE693" w:rsidP="3722BE7F" w:rsidRDefault="107EE693" w14:paraId="60918A19" w14:textId="57F70E34">
      <w:pPr>
        <w:spacing w:after="160" w:line="259" w:lineRule="auto"/>
        <w:rPr>
          <w:rFonts w:ascii="Public sans" w:hAnsi="Public sans" w:eastAsia="Public sans" w:cs="Public sans"/>
          <w:b w:val="0"/>
          <w:bCs w:val="0"/>
          <w:i w:val="0"/>
          <w:iCs w:val="0"/>
          <w:noProof w:val="0"/>
          <w:color w:val="000000" w:themeColor="text1" w:themeTint="FF" w:themeShade="FF"/>
          <w:sz w:val="22"/>
          <w:szCs w:val="22"/>
          <w:lang w:val="en-US"/>
        </w:rPr>
      </w:pPr>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IT Collect will produce metrics under the statistics endpoint to ensure that agency data is not stale or outdated. The statistics endpoint will be a GET-only endpoint that agencies and vendors can leverage at any time to validate their data is complete and current with OMB expectations. This functionality is currently under development, but two known checks related to UII data staleness are as follows:</w:t>
      </w:r>
    </w:p>
    <w:p w:rsidR="107EE693" w:rsidP="3722BE7F" w:rsidRDefault="107EE693" w14:paraId="34C1CC1A" w14:textId="7BA7317D">
      <w:pPr>
        <w:pStyle w:val="ListParagraph"/>
        <w:numPr>
          <w:ilvl w:val="0"/>
          <w:numId w:val="2"/>
        </w:numPr>
        <w:spacing w:after="160" w:line="259" w:lineRule="auto"/>
        <w:rPr>
          <w:rFonts w:ascii="Public sans" w:hAnsi="Public sans" w:eastAsia="Public sans" w:cs="Public sans"/>
          <w:b w:val="0"/>
          <w:bCs w:val="0"/>
          <w:i w:val="0"/>
          <w:iCs w:val="0"/>
          <w:noProof w:val="0"/>
          <w:color w:val="000000" w:themeColor="text1" w:themeTint="FF" w:themeShade="FF"/>
          <w:sz w:val="22"/>
          <w:szCs w:val="22"/>
          <w:lang w:val="en-US"/>
        </w:rPr>
      </w:pPr>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 xml:space="preserve">List of UIIs not updated (including all embedded documents) in the current </w:t>
      </w:r>
      <w:proofErr w:type="gramStart"/>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time period</w:t>
      </w:r>
      <w:proofErr w:type="gramEnd"/>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 xml:space="preserve"> (Pre-Decisional, President’s Budget etc.)</w:t>
      </w:r>
    </w:p>
    <w:p w:rsidR="107EE693" w:rsidP="3722BE7F" w:rsidRDefault="107EE693" w14:paraId="3585621C" w14:textId="375869FD">
      <w:pPr>
        <w:pStyle w:val="ListParagraph"/>
        <w:numPr>
          <w:ilvl w:val="0"/>
          <w:numId w:val="2"/>
        </w:numPr>
        <w:spacing w:after="160" w:line="259" w:lineRule="auto"/>
        <w:rPr>
          <w:rFonts w:ascii="Public sans" w:hAnsi="Public sans" w:eastAsia="Public sans" w:cs="Public sans"/>
          <w:b w:val="0"/>
          <w:bCs w:val="0"/>
          <w:i w:val="0"/>
          <w:iCs w:val="0"/>
          <w:noProof w:val="0"/>
          <w:color w:val="000000" w:themeColor="text1" w:themeTint="FF" w:themeShade="FF"/>
          <w:sz w:val="22"/>
          <w:szCs w:val="22"/>
          <w:lang w:val="en-US"/>
        </w:rPr>
      </w:pPr>
      <w:r w:rsidRPr="3722BE7F" w:rsidR="107EE693">
        <w:rPr>
          <w:rFonts w:ascii="Public sans" w:hAnsi="Public sans" w:eastAsia="Public sans" w:cs="Public sans"/>
          <w:b w:val="0"/>
          <w:bCs w:val="0"/>
          <w:i w:val="0"/>
          <w:iCs w:val="0"/>
          <w:noProof w:val="0"/>
          <w:color w:val="000000" w:themeColor="text1" w:themeTint="FF" w:themeShade="FF"/>
          <w:sz w:val="22"/>
          <w:szCs w:val="22"/>
          <w:lang w:val="en-GB"/>
        </w:rPr>
        <w:t>List of UIIs not updated (including all embedded documents) in the current budget year (BY 2023, BY 2024 etc.)</w:t>
      </w:r>
    </w:p>
    <w:p w:rsidR="4DBA3918" w:rsidP="4DBA3918" w:rsidRDefault="4DBA3918" w14:paraId="383C8EAF" w14:textId="71BE0263">
      <w:pPr>
        <w:spacing w:after="160" w:line="259" w:lineRule="auto"/>
        <w:rPr>
          <w:rFonts w:ascii="Segoe UI" w:hAnsi="Segoe UI" w:eastAsia="Segoe UI" w:cs="Segoe UI"/>
          <w:b w:val="0"/>
          <w:bCs w:val="0"/>
          <w:i w:val="0"/>
          <w:iCs w:val="0"/>
          <w:noProof w:val="0"/>
          <w:color w:val="000000" w:themeColor="text1" w:themeTint="FF" w:themeShade="FF"/>
          <w:sz w:val="22"/>
          <w:szCs w:val="22"/>
          <w:lang w:val="en-US"/>
        </w:rPr>
      </w:pPr>
    </w:p>
    <w:p w:rsidR="4DBA3918" w:rsidP="4DBA3918" w:rsidRDefault="4DBA3918" w14:paraId="66742BB9" w14:textId="0AE34852">
      <w:pPr>
        <w:spacing w:after="160" w:line="259" w:lineRule="auto"/>
        <w:rPr>
          <w:rFonts w:ascii="Segoe UI" w:hAnsi="Segoe UI" w:eastAsia="Segoe UI" w:cs="Segoe UI"/>
          <w:b w:val="0"/>
          <w:bCs w:val="0"/>
          <w:i w:val="0"/>
          <w:iCs w:val="0"/>
          <w:noProof w:val="0"/>
          <w:color w:val="000000" w:themeColor="text1" w:themeTint="FF" w:themeShade="FF"/>
          <w:sz w:val="22"/>
          <w:szCs w:val="22"/>
          <w:lang w:val="en-US"/>
        </w:rPr>
      </w:pPr>
    </w:p>
    <w:p w:rsidR="4DBA3918" w:rsidP="4DBA3918" w:rsidRDefault="4DBA3918" w14:paraId="7C8597AF" w14:textId="60850F2C">
      <w:pPr>
        <w:spacing w:after="160" w:line="259" w:lineRule="auto"/>
        <w:rPr>
          <w:rFonts w:ascii="Segoe UI" w:hAnsi="Segoe UI" w:eastAsia="Segoe UI" w:cs="Segoe UI"/>
          <w:b w:val="0"/>
          <w:bCs w:val="0"/>
          <w:i w:val="0"/>
          <w:iCs w:val="0"/>
          <w:noProof w:val="0"/>
          <w:color w:val="000000" w:themeColor="text1" w:themeTint="FF" w:themeShade="FF"/>
          <w:sz w:val="22"/>
          <w:szCs w:val="22"/>
          <w:lang w:val="en-US"/>
        </w:rPr>
      </w:pPr>
    </w:p>
    <w:p w:rsidR="4DBA3918" w:rsidP="4DBA3918" w:rsidRDefault="4DBA3918" w14:paraId="7BD17FF2" w14:textId="65EAF9F4">
      <w:pPr>
        <w:spacing w:after="160" w:line="259" w:lineRule="auto"/>
        <w:rPr>
          <w:rFonts w:ascii="Segoe UI" w:hAnsi="Segoe UI" w:eastAsia="Segoe UI" w:cs="Segoe UI"/>
          <w:b w:val="0"/>
          <w:bCs w:val="0"/>
          <w:i w:val="0"/>
          <w:iCs w:val="0"/>
          <w:noProof w:val="0"/>
          <w:color w:val="000000" w:themeColor="text1" w:themeTint="FF" w:themeShade="FF"/>
          <w:sz w:val="22"/>
          <w:szCs w:val="22"/>
          <w:lang w:val="en-US"/>
        </w:rPr>
      </w:pPr>
    </w:p>
    <w:p w:rsidR="4DBA3918" w:rsidP="4DBA3918" w:rsidRDefault="4DBA3918" w14:paraId="1D6D614A" w14:textId="2683F2C3">
      <w:pPr>
        <w:spacing w:after="160" w:line="259" w:lineRule="auto"/>
        <w:rPr>
          <w:rFonts w:ascii="Segoe UI" w:hAnsi="Segoe UI" w:eastAsia="Segoe UI" w:cs="Segoe UI"/>
          <w:b w:val="0"/>
          <w:bCs w:val="0"/>
          <w:i w:val="0"/>
          <w:iCs w:val="0"/>
          <w:noProof w:val="0"/>
          <w:color w:val="000000" w:themeColor="text1" w:themeTint="FF" w:themeShade="FF"/>
          <w:sz w:val="22"/>
          <w:szCs w:val="22"/>
          <w:lang w:val="en-US"/>
        </w:rPr>
      </w:pPr>
    </w:p>
    <w:p w:rsidR="4DBA3918" w:rsidP="4DBA3918" w:rsidRDefault="4DBA3918" w14:paraId="654442BE" w14:textId="5A857353">
      <w:pPr>
        <w:spacing w:after="160" w:line="259" w:lineRule="auto"/>
        <w:rPr>
          <w:rFonts w:ascii="Segoe UI" w:hAnsi="Segoe UI" w:eastAsia="Segoe UI" w:cs="Segoe UI"/>
          <w:b w:val="0"/>
          <w:bCs w:val="0"/>
          <w:i w:val="0"/>
          <w:iCs w:val="0"/>
          <w:noProof w:val="0"/>
          <w:color w:val="000000" w:themeColor="text1" w:themeTint="FF" w:themeShade="FF"/>
          <w:sz w:val="22"/>
          <w:szCs w:val="22"/>
          <w:lang w:val="en-US"/>
        </w:rPr>
      </w:pPr>
    </w:p>
    <w:p w:rsidR="4DBA3918" w:rsidP="4DBA3918" w:rsidRDefault="4DBA3918" w14:paraId="39895AD0" w14:textId="2D179CF5">
      <w:pPr>
        <w:pStyle w:val="Normal"/>
        <w:rPr>
          <w:rFonts w:ascii="Public sans" w:hAnsi="Public sans" w:eastAsia="Public sans" w:cs="Public sans"/>
        </w:rPr>
      </w:pPr>
    </w:p>
    <w:sectPr w:rsidR="0026165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ublic sans">
    <w:altName w:val="Cambri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0605B32"/>
    <w:multiLevelType w:val="hybridMultilevel"/>
    <w:tmpl w:val="9416BB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4118D8"/>
    <w:rsid w:val="00026014"/>
    <w:rsid w:val="00086510"/>
    <w:rsid w:val="000877D6"/>
    <w:rsid w:val="00093610"/>
    <w:rsid w:val="001148FC"/>
    <w:rsid w:val="00161789"/>
    <w:rsid w:val="001F7939"/>
    <w:rsid w:val="00213DC1"/>
    <w:rsid w:val="002329BC"/>
    <w:rsid w:val="002475CB"/>
    <w:rsid w:val="0026165E"/>
    <w:rsid w:val="0027372F"/>
    <w:rsid w:val="00377C29"/>
    <w:rsid w:val="00383AFD"/>
    <w:rsid w:val="003B30AD"/>
    <w:rsid w:val="003C6941"/>
    <w:rsid w:val="003D089B"/>
    <w:rsid w:val="00414537"/>
    <w:rsid w:val="00443D85"/>
    <w:rsid w:val="00456600"/>
    <w:rsid w:val="004A1309"/>
    <w:rsid w:val="004C4560"/>
    <w:rsid w:val="004EA6F9"/>
    <w:rsid w:val="00513463"/>
    <w:rsid w:val="00595372"/>
    <w:rsid w:val="005F7FBE"/>
    <w:rsid w:val="006C4373"/>
    <w:rsid w:val="006D45A0"/>
    <w:rsid w:val="006E2842"/>
    <w:rsid w:val="006F5955"/>
    <w:rsid w:val="00756060"/>
    <w:rsid w:val="0079059D"/>
    <w:rsid w:val="008107AF"/>
    <w:rsid w:val="00832EF9"/>
    <w:rsid w:val="008B1702"/>
    <w:rsid w:val="008F3CDE"/>
    <w:rsid w:val="009D1B7A"/>
    <w:rsid w:val="00A1736F"/>
    <w:rsid w:val="00A478A7"/>
    <w:rsid w:val="00A821FC"/>
    <w:rsid w:val="00AA7860"/>
    <w:rsid w:val="00B44A5C"/>
    <w:rsid w:val="00BE2F4C"/>
    <w:rsid w:val="00BE5198"/>
    <w:rsid w:val="00BE5E18"/>
    <w:rsid w:val="00C258A0"/>
    <w:rsid w:val="00C43C54"/>
    <w:rsid w:val="00C73DF8"/>
    <w:rsid w:val="00C74298"/>
    <w:rsid w:val="00C76021"/>
    <w:rsid w:val="00CD74AF"/>
    <w:rsid w:val="00D80318"/>
    <w:rsid w:val="00DC53AD"/>
    <w:rsid w:val="00E9742D"/>
    <w:rsid w:val="00EA3819"/>
    <w:rsid w:val="00EA6834"/>
    <w:rsid w:val="00EF267E"/>
    <w:rsid w:val="00F2299C"/>
    <w:rsid w:val="00F507F7"/>
    <w:rsid w:val="00F65486"/>
    <w:rsid w:val="00FD7D8F"/>
    <w:rsid w:val="00FF396A"/>
    <w:rsid w:val="01772D31"/>
    <w:rsid w:val="01B22FB6"/>
    <w:rsid w:val="0235D07C"/>
    <w:rsid w:val="03222C46"/>
    <w:rsid w:val="032F81AF"/>
    <w:rsid w:val="037735C2"/>
    <w:rsid w:val="03C4DA23"/>
    <w:rsid w:val="05EB9481"/>
    <w:rsid w:val="063EE71A"/>
    <w:rsid w:val="065628D2"/>
    <w:rsid w:val="067D9B6A"/>
    <w:rsid w:val="067E9789"/>
    <w:rsid w:val="072A7486"/>
    <w:rsid w:val="07C949E8"/>
    <w:rsid w:val="084AA6E5"/>
    <w:rsid w:val="08592166"/>
    <w:rsid w:val="0880F3E9"/>
    <w:rsid w:val="08E092D4"/>
    <w:rsid w:val="0998ECA1"/>
    <w:rsid w:val="0A056836"/>
    <w:rsid w:val="0A2EEB52"/>
    <w:rsid w:val="0A802F82"/>
    <w:rsid w:val="0AC94F9D"/>
    <w:rsid w:val="0ADC994F"/>
    <w:rsid w:val="0B278F23"/>
    <w:rsid w:val="0D39C0FA"/>
    <w:rsid w:val="0D4C7D67"/>
    <w:rsid w:val="0DCB39AC"/>
    <w:rsid w:val="0ECC754E"/>
    <w:rsid w:val="0EDC66B1"/>
    <w:rsid w:val="103C906D"/>
    <w:rsid w:val="107EE693"/>
    <w:rsid w:val="12B26743"/>
    <w:rsid w:val="133B3C5B"/>
    <w:rsid w:val="13A89081"/>
    <w:rsid w:val="13AADF7A"/>
    <w:rsid w:val="13EEFA3D"/>
    <w:rsid w:val="145AB131"/>
    <w:rsid w:val="156973D3"/>
    <w:rsid w:val="15DFCF0B"/>
    <w:rsid w:val="161922A7"/>
    <w:rsid w:val="166FEE16"/>
    <w:rsid w:val="170A5633"/>
    <w:rsid w:val="177C30EE"/>
    <w:rsid w:val="190702FD"/>
    <w:rsid w:val="196D3672"/>
    <w:rsid w:val="1A9EB03B"/>
    <w:rsid w:val="1B6B70D3"/>
    <w:rsid w:val="1C442DA9"/>
    <w:rsid w:val="1CBA15E7"/>
    <w:rsid w:val="1DD650FD"/>
    <w:rsid w:val="1E79CFD5"/>
    <w:rsid w:val="1E7AFFFB"/>
    <w:rsid w:val="1E82B65F"/>
    <w:rsid w:val="1FC2267B"/>
    <w:rsid w:val="1FFDA7FF"/>
    <w:rsid w:val="2043B138"/>
    <w:rsid w:val="21110058"/>
    <w:rsid w:val="220AD559"/>
    <w:rsid w:val="222DB17F"/>
    <w:rsid w:val="223F6409"/>
    <w:rsid w:val="22ECABC4"/>
    <w:rsid w:val="237E31E3"/>
    <w:rsid w:val="2530D567"/>
    <w:rsid w:val="2586478B"/>
    <w:rsid w:val="259B5518"/>
    <w:rsid w:val="266F73E3"/>
    <w:rsid w:val="26D525D5"/>
    <w:rsid w:val="295751A2"/>
    <w:rsid w:val="2AC75ACB"/>
    <w:rsid w:val="2BBC4554"/>
    <w:rsid w:val="2C9E234E"/>
    <w:rsid w:val="2CD3B050"/>
    <w:rsid w:val="2D349E07"/>
    <w:rsid w:val="2D6B32FB"/>
    <w:rsid w:val="2EF314B6"/>
    <w:rsid w:val="307F4008"/>
    <w:rsid w:val="3205B14A"/>
    <w:rsid w:val="32839990"/>
    <w:rsid w:val="33A31D67"/>
    <w:rsid w:val="368523A0"/>
    <w:rsid w:val="3692805B"/>
    <w:rsid w:val="3722BE7F"/>
    <w:rsid w:val="3781C84E"/>
    <w:rsid w:val="37C4EA3E"/>
    <w:rsid w:val="37FC98A0"/>
    <w:rsid w:val="37FF4566"/>
    <w:rsid w:val="38D58C2E"/>
    <w:rsid w:val="396A3AAF"/>
    <w:rsid w:val="39A71422"/>
    <w:rsid w:val="3A4118D8"/>
    <w:rsid w:val="3B5E6BF6"/>
    <w:rsid w:val="3C123732"/>
    <w:rsid w:val="3DE914E7"/>
    <w:rsid w:val="3F34A982"/>
    <w:rsid w:val="3F4EFAEE"/>
    <w:rsid w:val="3FE4A476"/>
    <w:rsid w:val="40005572"/>
    <w:rsid w:val="4031DD19"/>
    <w:rsid w:val="4048B22E"/>
    <w:rsid w:val="4060B264"/>
    <w:rsid w:val="4119D429"/>
    <w:rsid w:val="422B0AE4"/>
    <w:rsid w:val="4260F43C"/>
    <w:rsid w:val="42F33DE4"/>
    <w:rsid w:val="438A6D17"/>
    <w:rsid w:val="44638EB8"/>
    <w:rsid w:val="4466CA52"/>
    <w:rsid w:val="45D76A90"/>
    <w:rsid w:val="45F02F7B"/>
    <w:rsid w:val="4635A081"/>
    <w:rsid w:val="46D8A1C2"/>
    <w:rsid w:val="49CE5BAD"/>
    <w:rsid w:val="4A7F010F"/>
    <w:rsid w:val="4AF7E66E"/>
    <w:rsid w:val="4B778D7F"/>
    <w:rsid w:val="4BC9F1E7"/>
    <w:rsid w:val="4BDBDD5F"/>
    <w:rsid w:val="4C27647A"/>
    <w:rsid w:val="4C387253"/>
    <w:rsid w:val="4C49CD81"/>
    <w:rsid w:val="4DBA3918"/>
    <w:rsid w:val="4E17EC9D"/>
    <w:rsid w:val="4E696BF6"/>
    <w:rsid w:val="4EE1C832"/>
    <w:rsid w:val="4EFB4477"/>
    <w:rsid w:val="501AF0FA"/>
    <w:rsid w:val="50DE14C4"/>
    <w:rsid w:val="510AC769"/>
    <w:rsid w:val="521968F4"/>
    <w:rsid w:val="527CCF98"/>
    <w:rsid w:val="52E681A7"/>
    <w:rsid w:val="53C58BBD"/>
    <w:rsid w:val="5415B586"/>
    <w:rsid w:val="54BA238F"/>
    <w:rsid w:val="54E264DE"/>
    <w:rsid w:val="55F60C9C"/>
    <w:rsid w:val="582523BF"/>
    <w:rsid w:val="5841D7F1"/>
    <w:rsid w:val="5878EA14"/>
    <w:rsid w:val="592DB6C0"/>
    <w:rsid w:val="59A1F95E"/>
    <w:rsid w:val="5A7C451C"/>
    <w:rsid w:val="5AAAF88D"/>
    <w:rsid w:val="5B2FDDA0"/>
    <w:rsid w:val="5B5AF381"/>
    <w:rsid w:val="5BF032FB"/>
    <w:rsid w:val="5CB88538"/>
    <w:rsid w:val="5CE830A7"/>
    <w:rsid w:val="5D1F51E4"/>
    <w:rsid w:val="5D822F1B"/>
    <w:rsid w:val="5DE7F624"/>
    <w:rsid w:val="5E5C0C45"/>
    <w:rsid w:val="5EC5183C"/>
    <w:rsid w:val="5ED60CCB"/>
    <w:rsid w:val="5F56821A"/>
    <w:rsid w:val="5F85869E"/>
    <w:rsid w:val="60722CA3"/>
    <w:rsid w:val="60A6195B"/>
    <w:rsid w:val="610CA13A"/>
    <w:rsid w:val="6116CCA6"/>
    <w:rsid w:val="61899502"/>
    <w:rsid w:val="61E8BA37"/>
    <w:rsid w:val="63D39E8D"/>
    <w:rsid w:val="63E1E802"/>
    <w:rsid w:val="641736EF"/>
    <w:rsid w:val="643E7087"/>
    <w:rsid w:val="64AA6EC0"/>
    <w:rsid w:val="64C2ABE7"/>
    <w:rsid w:val="66071275"/>
    <w:rsid w:val="67933A1B"/>
    <w:rsid w:val="67B58B52"/>
    <w:rsid w:val="67D56C52"/>
    <w:rsid w:val="681A3787"/>
    <w:rsid w:val="681DCAB1"/>
    <w:rsid w:val="68FB38DB"/>
    <w:rsid w:val="6A42E011"/>
    <w:rsid w:val="6B9743C8"/>
    <w:rsid w:val="6BEBD97E"/>
    <w:rsid w:val="6D657B99"/>
    <w:rsid w:val="6D97EF94"/>
    <w:rsid w:val="6E00AA9F"/>
    <w:rsid w:val="6E429634"/>
    <w:rsid w:val="6EA4A43E"/>
    <w:rsid w:val="6F4AD69A"/>
    <w:rsid w:val="70237EE1"/>
    <w:rsid w:val="7121EEED"/>
    <w:rsid w:val="71384B61"/>
    <w:rsid w:val="71530FBC"/>
    <w:rsid w:val="733DA0CA"/>
    <w:rsid w:val="7341B4E9"/>
    <w:rsid w:val="7464E00A"/>
    <w:rsid w:val="7588931A"/>
    <w:rsid w:val="75CC92A4"/>
    <w:rsid w:val="783F3A05"/>
    <w:rsid w:val="78CA2B37"/>
    <w:rsid w:val="78EBD321"/>
    <w:rsid w:val="7AA3A575"/>
    <w:rsid w:val="7AF3FEEB"/>
    <w:rsid w:val="7DB65E94"/>
    <w:rsid w:val="7DDBC20B"/>
    <w:rsid w:val="7E2E6CCC"/>
    <w:rsid w:val="7EC7B7A5"/>
    <w:rsid w:val="7F418FF4"/>
    <w:rsid w:val="7F464CB8"/>
    <w:rsid w:val="7F6144D7"/>
    <w:rsid w:val="7F925C92"/>
    <w:rsid w:val="7FFA9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18D8"/>
  <w15:chartTrackingRefBased/>
  <w15:docId w15:val="{A6A16CA2-BE99-4F0A-A3C5-C4D85A33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Title">
    <w:name w:val="Title"/>
    <w:basedOn w:val="Normal"/>
    <w:next w:val="Normal"/>
    <w:link w:val="TitleChar"/>
    <w:uiPriority w:val="10"/>
    <w:qFormat/>
    <w:rsid w:val="005F7FBE"/>
    <w:pPr>
      <w:keepNext/>
      <w:keepLines/>
      <w:widowControl w:val="0"/>
      <w:spacing w:after="120" w:line="276" w:lineRule="auto"/>
    </w:pPr>
    <w:rPr>
      <w:rFonts w:ascii="Arial" w:hAnsi="Arial" w:eastAsia="Arial" w:cs="Arial"/>
      <w:b/>
      <w:color w:val="3B5789"/>
      <w:sz w:val="44"/>
      <w:szCs w:val="44"/>
    </w:rPr>
  </w:style>
  <w:style w:type="character" w:styleId="TitleChar" w:customStyle="1">
    <w:name w:val="Title Char"/>
    <w:basedOn w:val="DefaultParagraphFont"/>
    <w:link w:val="Title"/>
    <w:uiPriority w:val="10"/>
    <w:rsid w:val="005F7FBE"/>
    <w:rPr>
      <w:rFonts w:ascii="Arial" w:hAnsi="Arial" w:eastAsia="Arial" w:cs="Arial"/>
      <w:b/>
      <w:color w:val="3B5789"/>
      <w:sz w:val="44"/>
      <w:szCs w:val="44"/>
    </w:rPr>
  </w:style>
  <w:style w:type="paragraph" w:styleId="NormalWeb">
    <w:name w:val="Normal (Web)"/>
    <w:basedOn w:val="Normal"/>
    <w:uiPriority w:val="99"/>
    <w:semiHidden/>
    <w:unhideWhenUsed/>
    <w:rsid w:val="00213DC1"/>
    <w:pPr>
      <w:spacing w:before="100" w:beforeAutospacing="1" w:after="100" w:afterAutospacing="1" w:line="240" w:lineRule="auto"/>
    </w:pPr>
    <w:rPr>
      <w:rFonts w:ascii="Times New Roman" w:hAnsi="Times New Roman" w:eastAsia="Times New Roman" w:cs="Times New Roman"/>
      <w:sz w:val="24"/>
      <w:szCs w:val="24"/>
    </w:rPr>
  </w:style>
  <w:style w:type="character" w:styleId="SubtleReference">
    <w:name w:val="Subtle Reference"/>
    <w:basedOn w:val="DefaultParagraphFont"/>
    <w:uiPriority w:val="31"/>
    <w:qFormat/>
    <w:rsid w:val="00BE5198"/>
    <w:rPr>
      <w:smallCaps/>
      <w:color w:val="5A5A5A" w:themeColor="text1" w:themeTint="A5"/>
    </w:rPr>
  </w:style>
  <w:style w:type="table" w:styleId="TableGrid">
    <w:name w:val="Table Grid"/>
    <w:basedOn w:val="TableNormal"/>
    <w:uiPriority w:val="39"/>
    <w:rsid w:val="00F229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79059D"/>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IntenseReference">
    <w:name w:val="Intense Reference"/>
    <w:basedOn w:val="DefaultParagraphFont"/>
    <w:uiPriority w:val="32"/>
    <w:qFormat/>
    <w:rsid w:val="00EA3819"/>
    <w:rPr>
      <w:b/>
      <w:bCs/>
      <w:smallCaps/>
      <w:color w:val="4472C4" w:themeColor="accent1"/>
      <w:spacing w:val="5"/>
    </w:rPr>
  </w:style>
  <w:style w:type="paragraph" w:styleId="ListParagraph">
    <w:name w:val="List Paragraph"/>
    <w:basedOn w:val="Normal"/>
    <w:uiPriority w:val="34"/>
    <w:qFormat/>
    <w:rsid w:val="00832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488436">
      <w:bodyDiv w:val="1"/>
      <w:marLeft w:val="0"/>
      <w:marRight w:val="0"/>
      <w:marTop w:val="0"/>
      <w:marBottom w:val="0"/>
      <w:divBdr>
        <w:top w:val="none" w:sz="0" w:space="0" w:color="auto"/>
        <w:left w:val="none" w:sz="0" w:space="0" w:color="auto"/>
        <w:bottom w:val="none" w:sz="0" w:space="0" w:color="auto"/>
        <w:right w:val="none" w:sz="0" w:space="0" w:color="auto"/>
      </w:divBdr>
    </w:div>
    <w:div w:id="2021196078">
      <w:bodyDiv w:val="1"/>
      <w:marLeft w:val="0"/>
      <w:marRight w:val="0"/>
      <w:marTop w:val="0"/>
      <w:marBottom w:val="0"/>
      <w:divBdr>
        <w:top w:val="none" w:sz="0" w:space="0" w:color="auto"/>
        <w:left w:val="none" w:sz="0" w:space="0" w:color="auto"/>
        <w:bottom w:val="none" w:sz="0" w:space="0" w:color="auto"/>
        <w:right w:val="none" w:sz="0" w:space="0" w:color="auto"/>
      </w:divBdr>
    </w:div>
    <w:div w:id="205550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3.png" Id="R753b29fa637843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Schwenke, Luke [USA]</dc:creator>
  <keywords/>
  <dc:description/>
  <lastModifiedBy>Schwenke, Luke [USA]</lastModifiedBy>
  <revision>65</revision>
  <dcterms:created xsi:type="dcterms:W3CDTF">2021-03-26T21:21:00.0000000Z</dcterms:created>
  <dcterms:modified xsi:type="dcterms:W3CDTF">2021-04-22T13:58:27.1501111Z</dcterms:modified>
</coreProperties>
</file>