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8E0A" w14:textId="77777777" w:rsidR="003F4D0B" w:rsidRDefault="003F4D0B">
      <w:pPr>
        <w:jc w:val="center"/>
      </w:pPr>
    </w:p>
    <w:p w14:paraId="5FA0CBA8" w14:textId="77777777" w:rsidR="003F4D0B" w:rsidRDefault="00000000">
      <w:pPr>
        <w:pStyle w:val="Title"/>
        <w:rPr>
          <w:sz w:val="60"/>
          <w:szCs w:val="60"/>
        </w:rPr>
      </w:pPr>
      <w:bookmarkStart w:id="0" w:name="_2s3yngqee8ea" w:colFirst="0" w:colLast="0"/>
      <w:bookmarkEnd w:id="0"/>
      <w:r>
        <w:rPr>
          <w:sz w:val="60"/>
          <w:szCs w:val="60"/>
        </w:rPr>
        <w:t>FAR 52.204-24 Representation</w:t>
      </w:r>
    </w:p>
    <w:p w14:paraId="36B1C473" w14:textId="77777777" w:rsidR="003F4D0B" w:rsidRDefault="003F4D0B"/>
    <w:p w14:paraId="5CCA4724" w14:textId="77777777" w:rsidR="003F4D0B" w:rsidRDefault="00000000">
      <w:pPr>
        <w:rPr>
          <w:b/>
        </w:rPr>
      </w:pPr>
      <w:r>
        <w:rPr>
          <w:b/>
        </w:rPr>
        <w:t>52.204-24 Representation Regarding Certain Telecommunications and Video Surveillance Services or Equipment (Nov 2021)</w:t>
      </w:r>
    </w:p>
    <w:p w14:paraId="57182856" w14:textId="77777777" w:rsidR="003F4D0B" w:rsidRDefault="00000000">
      <w:pPr>
        <w:spacing w:before="240" w:after="280" w:line="240" w:lineRule="auto"/>
        <w:ind w:firstLine="240"/>
        <w:rPr>
          <w:color w:val="000000"/>
        </w:rPr>
      </w:pPr>
      <w:r>
        <w:rPr>
          <w:color w:val="000000"/>
        </w:rPr>
        <w:t>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w:t>
      </w:r>
      <w:hyperlink r:id="rId6" w:anchor="FAR_52_204_26">
        <w:r>
          <w:rPr>
            <w:color w:val="1062AE"/>
            <w:u w:val="single"/>
          </w:rPr>
          <w:t>52.204-26</w:t>
        </w:r>
      </w:hyperlink>
      <w:r>
        <w:rPr>
          <w:color w:val="000000"/>
        </w:rPr>
        <w:t>, Covered Telecommunications Equipment or Services—Representation, or in paragraph (v)(2)(</w:t>
      </w:r>
      <w:proofErr w:type="spellStart"/>
      <w:r>
        <w:rPr>
          <w:color w:val="000000"/>
        </w:rPr>
        <w:t>i</w:t>
      </w:r>
      <w:proofErr w:type="spellEnd"/>
      <w:r>
        <w:rPr>
          <w:color w:val="000000"/>
        </w:rPr>
        <w:t>) of the provision at </w:t>
      </w:r>
      <w:hyperlink r:id="rId7" w:anchor="FAR_52_212_3">
        <w:r>
          <w:rPr>
            <w:color w:val="1062AE"/>
            <w:u w:val="single"/>
          </w:rPr>
          <w:t>52.212-3</w:t>
        </w:r>
      </w:hyperlink>
      <w:r>
        <w:rPr>
          <w:color w:val="000000"/>
        </w:rPr>
        <w:t>, Offeror Representations and Certifications-Commercial Products or Commercial Services.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w:t>
      </w:r>
      <w:hyperlink r:id="rId8" w:anchor="FAR_52_204_26">
        <w:r>
          <w:rPr>
            <w:color w:val="1062AE"/>
            <w:u w:val="single"/>
          </w:rPr>
          <w:t>52.204-26</w:t>
        </w:r>
      </w:hyperlink>
      <w:r>
        <w:rPr>
          <w:color w:val="000000"/>
        </w:rPr>
        <w:t>, or in paragraph (v)(2)(ii) of the provision at </w:t>
      </w:r>
      <w:hyperlink r:id="rId9" w:anchor="FAR_52_212_3">
        <w:r>
          <w:rPr>
            <w:color w:val="1062AE"/>
            <w:u w:val="single"/>
          </w:rPr>
          <w:t>52.212-3</w:t>
        </w:r>
      </w:hyperlink>
      <w:r>
        <w:rPr>
          <w:color w:val="000000"/>
        </w:rPr>
        <w:t>.</w:t>
      </w:r>
    </w:p>
    <w:p w14:paraId="54D05989" w14:textId="77777777" w:rsidR="003F4D0B" w:rsidRDefault="00000000">
      <w:pPr>
        <w:spacing w:before="240" w:after="280" w:line="240" w:lineRule="auto"/>
        <w:ind w:firstLine="240"/>
        <w:rPr>
          <w:color w:val="000000"/>
        </w:rPr>
      </w:pPr>
      <w:r>
        <w:rPr>
          <w:color w:val="000000"/>
        </w:rPr>
        <w:t>      (a) </w:t>
      </w:r>
      <w:r>
        <w:rPr>
          <w:i/>
          <w:color w:val="000000"/>
        </w:rPr>
        <w:t>Definitions.</w:t>
      </w:r>
      <w:r>
        <w:rPr>
          <w:color w:val="000000"/>
        </w:rPr>
        <w:t> As used in this provision—</w:t>
      </w:r>
    </w:p>
    <w:p w14:paraId="5807C4FE" w14:textId="77777777" w:rsidR="003F4D0B" w:rsidRDefault="00000000">
      <w:pPr>
        <w:spacing w:before="240" w:after="280" w:line="240" w:lineRule="auto"/>
        <w:ind w:firstLine="240"/>
        <w:rPr>
          <w:color w:val="000000"/>
        </w:rPr>
      </w:pPr>
      <w:r>
        <w:rPr>
          <w:color w:val="000000"/>
        </w:rPr>
        <w:t>      </w:t>
      </w:r>
      <w:r>
        <w:rPr>
          <w:i/>
          <w:color w:val="000000"/>
        </w:rPr>
        <w:t>Backhaul, covered telecommunications equipment or services, critical technology, interconnection arrangements, reasonable inquiry, roaming, and substantial or essential component</w:t>
      </w:r>
      <w:r>
        <w:rPr>
          <w:color w:val="000000"/>
        </w:rPr>
        <w:t> have the meanings provided in the clause </w:t>
      </w:r>
      <w:hyperlink r:id="rId10" w:anchor="FAR_52_204_25">
        <w:r>
          <w:rPr>
            <w:color w:val="1062AE"/>
            <w:u w:val="single"/>
          </w:rPr>
          <w:t>52.204-25</w:t>
        </w:r>
      </w:hyperlink>
      <w:r>
        <w:rPr>
          <w:color w:val="000000"/>
        </w:rPr>
        <w:t>, Prohibition on Contracting for Certain Telecommunications and Video Surveillance Services or Equipment.</w:t>
      </w:r>
    </w:p>
    <w:p w14:paraId="3D1D3783" w14:textId="77777777" w:rsidR="003F4D0B" w:rsidRDefault="00000000">
      <w:pPr>
        <w:spacing w:before="280" w:after="280" w:line="240" w:lineRule="auto"/>
        <w:ind w:firstLine="240"/>
        <w:rPr>
          <w:color w:val="000000"/>
        </w:rPr>
      </w:pPr>
      <w:r>
        <w:rPr>
          <w:color w:val="000000"/>
        </w:rPr>
        <w:t>      (b) </w:t>
      </w:r>
      <w:r>
        <w:rPr>
          <w:i/>
          <w:color w:val="000000"/>
        </w:rPr>
        <w:t>Prohibition</w:t>
      </w:r>
      <w:r>
        <w:rPr>
          <w:color w:val="000000"/>
        </w:rPr>
        <w:t>.</w:t>
      </w:r>
    </w:p>
    <w:p w14:paraId="24E7845E" w14:textId="77777777" w:rsidR="003F4D0B" w:rsidRDefault="00000000">
      <w:pPr>
        <w:spacing w:before="280" w:after="280" w:line="240" w:lineRule="auto"/>
        <w:ind w:firstLine="240"/>
        <w:rPr>
          <w:color w:val="000000"/>
        </w:rPr>
      </w:pPr>
      <w:r>
        <w:rPr>
          <w:color w:val="000000"/>
        </w:rPr>
        <w:t>(1)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prohibition shall be construed to—</w:t>
      </w:r>
    </w:p>
    <w:p w14:paraId="60CDD394" w14:textId="77777777" w:rsidR="003F4D0B" w:rsidRDefault="00000000">
      <w:pPr>
        <w:spacing w:before="240" w:after="280" w:line="240" w:lineRule="auto"/>
        <w:ind w:firstLine="240"/>
        <w:rPr>
          <w:color w:val="000000"/>
        </w:rPr>
      </w:pPr>
      <w:r>
        <w:rPr>
          <w:color w:val="000000"/>
        </w:rPr>
        <w:t>                (</w:t>
      </w:r>
      <w:proofErr w:type="spellStart"/>
      <w:r>
        <w:rPr>
          <w:color w:val="000000"/>
        </w:rPr>
        <w:t>i</w:t>
      </w:r>
      <w:proofErr w:type="spellEnd"/>
      <w:r>
        <w:rPr>
          <w:color w:val="000000"/>
        </w:rPr>
        <w:t>) Prohibit the head of an executive agency from procuring with an entity to provide a service that connects to the facilities of a third-party, such as backhaul, roaming, or interconnection arrangements; or</w:t>
      </w:r>
    </w:p>
    <w:p w14:paraId="533AAEE7" w14:textId="77777777" w:rsidR="003F4D0B" w:rsidRDefault="00000000">
      <w:pPr>
        <w:spacing w:before="240" w:after="280" w:line="240" w:lineRule="auto"/>
        <w:ind w:firstLine="240"/>
        <w:rPr>
          <w:color w:val="000000"/>
        </w:rPr>
      </w:pPr>
      <w:r>
        <w:rPr>
          <w:color w:val="000000"/>
        </w:rPr>
        <w:lastRenderedPageBreak/>
        <w:t>                (ii) Cover telecommunications equipment that cannot route or redirect user data traffic or cannot permit visibility into any user data or packets that such equipment transmits or otherwise handles.</w:t>
      </w:r>
    </w:p>
    <w:p w14:paraId="0D54C177" w14:textId="77777777" w:rsidR="003F4D0B" w:rsidRDefault="00000000">
      <w:pPr>
        <w:spacing w:before="240" w:after="280" w:line="240" w:lineRule="auto"/>
        <w:ind w:firstLine="240"/>
        <w:rPr>
          <w:color w:val="000000"/>
        </w:rPr>
      </w:pPr>
      <w:r>
        <w:rPr>
          <w:color w:val="000000"/>
        </w:rPr>
        <w:t xml:space="preserve">           (2)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w:t>
      </w:r>
      <w:proofErr w:type="gramStart"/>
      <w:r>
        <w:rPr>
          <w:color w:val="000000"/>
        </w:rPr>
        <w:t>Federal</w:t>
      </w:r>
      <w:proofErr w:type="gramEnd"/>
      <w:r>
        <w:rPr>
          <w:color w:val="000000"/>
        </w:rPr>
        <w:t xml:space="preserve"> contract. Nothing in the prohibition shall be construed to—</w:t>
      </w:r>
    </w:p>
    <w:p w14:paraId="078EBB24" w14:textId="77777777" w:rsidR="003F4D0B" w:rsidRDefault="00000000">
      <w:pPr>
        <w:spacing w:before="240" w:after="280" w:line="240" w:lineRule="auto"/>
        <w:ind w:firstLine="240"/>
        <w:rPr>
          <w:color w:val="000000"/>
        </w:rPr>
      </w:pPr>
      <w:r>
        <w:rPr>
          <w:color w:val="000000"/>
        </w:rPr>
        <w:t>                (</w:t>
      </w:r>
      <w:proofErr w:type="spellStart"/>
      <w:r>
        <w:rPr>
          <w:color w:val="000000"/>
        </w:rPr>
        <w:t>i</w:t>
      </w:r>
      <w:proofErr w:type="spellEnd"/>
      <w:r>
        <w:rPr>
          <w:color w:val="000000"/>
        </w:rPr>
        <w:t>) Prohibit the head of an executive agency from procuring with an entity to provide a service that connects to the facilities of a third-party, such as backhaul, roaming, or interconnection arrangements; or</w:t>
      </w:r>
    </w:p>
    <w:p w14:paraId="09ADFD71" w14:textId="77777777" w:rsidR="003F4D0B" w:rsidRDefault="00000000">
      <w:pPr>
        <w:spacing w:before="240" w:after="280" w:line="240" w:lineRule="auto"/>
        <w:ind w:firstLine="240"/>
        <w:rPr>
          <w:color w:val="000000"/>
        </w:rPr>
      </w:pPr>
      <w:r>
        <w:rPr>
          <w:color w:val="000000"/>
        </w:rPr>
        <w:t>                (ii) Cover telecommunications equipment that cannot route or redirect user data traffic or cannot permit visibility into any user data or packets that such equipment transmits or otherwise handles.</w:t>
      </w:r>
    </w:p>
    <w:p w14:paraId="72E095B7" w14:textId="77777777" w:rsidR="003F4D0B" w:rsidRDefault="00000000">
      <w:pPr>
        <w:spacing w:before="240" w:after="280" w:line="240" w:lineRule="auto"/>
        <w:ind w:firstLine="240"/>
        <w:rPr>
          <w:color w:val="000000"/>
        </w:rPr>
      </w:pPr>
      <w:r>
        <w:rPr>
          <w:color w:val="000000"/>
        </w:rPr>
        <w:t>      (c) </w:t>
      </w:r>
      <w:r>
        <w:rPr>
          <w:i/>
          <w:color w:val="000000"/>
        </w:rPr>
        <w:t>Procedures.</w:t>
      </w:r>
      <w:r>
        <w:rPr>
          <w:color w:val="000000"/>
        </w:rPr>
        <w:t> The Offeror shall review the list of excluded parties in the System for Award Management (SAM) (</w:t>
      </w:r>
      <w:hyperlink r:id="rId11">
        <w:r>
          <w:rPr>
            <w:color w:val="1062AE"/>
            <w:u w:val="single"/>
          </w:rPr>
          <w:t>https://www.sam.gov</w:t>
        </w:r>
      </w:hyperlink>
      <w:r>
        <w:rPr>
          <w:color w:val="000000"/>
        </w:rPr>
        <w:t>) for entities excluded from receiving federal awards for "covered telecommunications equipment or services".</w:t>
      </w:r>
    </w:p>
    <w:p w14:paraId="2CDC7A21" w14:textId="77777777" w:rsidR="003F4D0B" w:rsidRDefault="00000000">
      <w:pPr>
        <w:spacing w:before="240" w:after="280" w:line="240" w:lineRule="auto"/>
        <w:ind w:firstLine="240"/>
        <w:rPr>
          <w:color w:val="000000"/>
        </w:rPr>
      </w:pPr>
      <w:r>
        <w:rPr>
          <w:color w:val="000000"/>
        </w:rPr>
        <w:t>      (d) </w:t>
      </w:r>
      <w:r>
        <w:rPr>
          <w:i/>
          <w:color w:val="000000"/>
        </w:rPr>
        <w:t>Representation.</w:t>
      </w:r>
      <w:r>
        <w:rPr>
          <w:color w:val="000000"/>
        </w:rPr>
        <w:t> The Offeror represents that—</w:t>
      </w:r>
    </w:p>
    <w:p w14:paraId="21460627" w14:textId="77777777" w:rsidR="003F4D0B" w:rsidRDefault="00000000">
      <w:pPr>
        <w:spacing w:before="240" w:after="280" w:line="240" w:lineRule="auto"/>
        <w:ind w:firstLine="240"/>
        <w:rPr>
          <w:color w:val="000000"/>
        </w:rPr>
      </w:pPr>
      <w:r>
        <w:rPr>
          <w:color w:val="000000"/>
        </w:rPr>
        <w:t>           (1) It </w:t>
      </w:r>
      <w:r>
        <w:rPr>
          <w:rFonts w:ascii="Arial Unicode MS" w:eastAsia="Arial Unicode MS" w:hAnsi="Arial Unicode MS" w:cs="Arial Unicode MS"/>
          <w:i/>
          <w:color w:val="000000"/>
          <w:highlight w:val="yellow"/>
        </w:rPr>
        <w:t>□</w:t>
      </w:r>
      <w:r>
        <w:rPr>
          <w:color w:val="000000"/>
        </w:rPr>
        <w:t> will, </w:t>
      </w:r>
      <w:r>
        <w:rPr>
          <w:rFonts w:ascii="Arial Unicode MS" w:eastAsia="Arial Unicode MS" w:hAnsi="Arial Unicode MS" w:cs="Arial Unicode MS"/>
          <w:i/>
          <w:color w:val="000000"/>
          <w:highlight w:val="yellow"/>
        </w:rPr>
        <w:t>□</w:t>
      </w:r>
      <w:r>
        <w:rPr>
          <w:color w:val="000000"/>
        </w:rPr>
        <w:t>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section if the Offeror responds "will" in paragraph (d)(1) of this section; and</w:t>
      </w:r>
    </w:p>
    <w:p w14:paraId="1666C88F" w14:textId="77777777" w:rsidR="003F4D0B" w:rsidRDefault="00000000">
      <w:pPr>
        <w:spacing w:before="240" w:after="280" w:line="240" w:lineRule="auto"/>
        <w:ind w:firstLine="240"/>
        <w:rPr>
          <w:color w:val="000000"/>
        </w:rPr>
      </w:pPr>
      <w:r>
        <w:rPr>
          <w:color w:val="000000"/>
        </w:rPr>
        <w:t>           (2) After conducting a reasonable inquiry, for purposes of this representation, the Offeror represents that—</w:t>
      </w:r>
    </w:p>
    <w:p w14:paraId="0028C6E2" w14:textId="77777777" w:rsidR="003F4D0B" w:rsidRDefault="00000000">
      <w:pPr>
        <w:spacing w:before="240" w:after="280" w:line="240" w:lineRule="auto"/>
        <w:ind w:firstLine="240"/>
        <w:rPr>
          <w:color w:val="000000"/>
        </w:rPr>
      </w:pPr>
      <w:r>
        <w:rPr>
          <w:color w:val="000000"/>
        </w:rPr>
        <w:t>          It </w:t>
      </w:r>
      <w:r>
        <w:rPr>
          <w:rFonts w:ascii="Arial Unicode MS" w:eastAsia="Arial Unicode MS" w:hAnsi="Arial Unicode MS" w:cs="Arial Unicode MS"/>
          <w:i/>
          <w:color w:val="000000"/>
          <w:highlight w:val="yellow"/>
        </w:rPr>
        <w:t>□</w:t>
      </w:r>
      <w:r>
        <w:rPr>
          <w:color w:val="000000"/>
        </w:rPr>
        <w:t> does, </w:t>
      </w:r>
      <w:r>
        <w:rPr>
          <w:rFonts w:ascii="Arial Unicode MS" w:eastAsia="Arial Unicode MS" w:hAnsi="Arial Unicode MS" w:cs="Arial Unicode MS"/>
          <w:i/>
          <w:color w:val="000000"/>
          <w:highlight w:val="yellow"/>
        </w:rPr>
        <w:t>□</w:t>
      </w:r>
      <w:r>
        <w:rPr>
          <w:color w:val="000000"/>
        </w:rPr>
        <w:t> does not use covered telecommunications equipment or services, or use any equipment, system, or service that uses covered telecommunications equipment or services. The Offeror shall provide the additional disclosure information required at paragraph (e)(2) of this section if the Offeror responds "does" in paragraph (d)(2) of this section.</w:t>
      </w:r>
    </w:p>
    <w:p w14:paraId="376270AB" w14:textId="77777777" w:rsidR="003F4D0B" w:rsidRDefault="00000000">
      <w:pPr>
        <w:spacing w:before="280" w:after="280" w:line="240" w:lineRule="auto"/>
        <w:ind w:firstLine="240"/>
        <w:rPr>
          <w:color w:val="000000"/>
        </w:rPr>
      </w:pPr>
      <w:r>
        <w:rPr>
          <w:color w:val="000000"/>
        </w:rPr>
        <w:t>      (e) </w:t>
      </w:r>
      <w:r>
        <w:rPr>
          <w:i/>
          <w:color w:val="000000"/>
        </w:rPr>
        <w:t>Disclosures.</w:t>
      </w:r>
      <w:r>
        <w:rPr>
          <w:color w:val="000000"/>
        </w:rPr>
        <w:t> </w:t>
      </w:r>
    </w:p>
    <w:p w14:paraId="56891C2C" w14:textId="77777777" w:rsidR="003F4D0B" w:rsidRDefault="00000000">
      <w:pPr>
        <w:spacing w:before="280" w:after="280" w:line="240" w:lineRule="auto"/>
        <w:ind w:firstLine="240"/>
        <w:rPr>
          <w:color w:val="000000"/>
        </w:rPr>
      </w:pPr>
      <w:r>
        <w:rPr>
          <w:color w:val="000000"/>
        </w:rPr>
        <w:lastRenderedPageBreak/>
        <w:t>(1) Disclosure for the representation in paragraph (d)(1) of this provision. If the Offeror has responded "will" in the representation in paragraph (d)(1) of this provision, the Offeror shall provide the following information as part of the offer:</w:t>
      </w:r>
    </w:p>
    <w:p w14:paraId="650ABA38" w14:textId="77777777" w:rsidR="003F4D0B" w:rsidRDefault="00000000">
      <w:pPr>
        <w:spacing w:before="240" w:after="280" w:line="240" w:lineRule="auto"/>
        <w:ind w:firstLine="240"/>
        <w:rPr>
          <w:color w:val="000000"/>
        </w:rPr>
      </w:pPr>
      <w:r>
        <w:rPr>
          <w:color w:val="000000"/>
        </w:rPr>
        <w:t>                (</w:t>
      </w:r>
      <w:proofErr w:type="spellStart"/>
      <w:r>
        <w:rPr>
          <w:color w:val="000000"/>
        </w:rPr>
        <w:t>i</w:t>
      </w:r>
      <w:proofErr w:type="spellEnd"/>
      <w:r>
        <w:rPr>
          <w:color w:val="000000"/>
        </w:rPr>
        <w:t>) For covered equipment—</w:t>
      </w:r>
    </w:p>
    <w:p w14:paraId="6796E84F" w14:textId="77777777" w:rsidR="003F4D0B" w:rsidRDefault="00000000">
      <w:pPr>
        <w:spacing w:before="240" w:after="280" w:line="240" w:lineRule="auto"/>
        <w:ind w:firstLine="240"/>
        <w:rPr>
          <w:color w:val="000000"/>
        </w:rPr>
      </w:pPr>
      <w:r>
        <w:rPr>
          <w:color w:val="000000"/>
        </w:rPr>
        <w:t>                     (A) The entity that produced the covered telecommunications equipment (include entity name, unique entity identifier, CAGE code, and whether the entity was the original equipment manufacturer (OEM) or a distributor, if known);</w:t>
      </w:r>
    </w:p>
    <w:p w14:paraId="235B031B" w14:textId="77777777" w:rsidR="003F4D0B" w:rsidRDefault="00000000">
      <w:pPr>
        <w:spacing w:before="240" w:after="280" w:line="240" w:lineRule="auto"/>
        <w:ind w:firstLine="240"/>
        <w:rPr>
          <w:color w:val="000000"/>
        </w:rPr>
      </w:pPr>
      <w:r>
        <w:rPr>
          <w:color w:val="000000"/>
        </w:rPr>
        <w:t>                     (B) A description of all covered telecommunications equipment offered (include brand; model number, such as OEM number, manufacturer part number, or wholesaler number; and item description, as applicable); and</w:t>
      </w:r>
    </w:p>
    <w:p w14:paraId="7592E591" w14:textId="77777777" w:rsidR="003F4D0B" w:rsidRDefault="00000000">
      <w:pPr>
        <w:spacing w:before="240" w:after="280" w:line="240" w:lineRule="auto"/>
        <w:ind w:firstLine="240"/>
        <w:rPr>
          <w:color w:val="000000"/>
        </w:rPr>
      </w:pPr>
      <w:r>
        <w:rPr>
          <w:color w:val="000000"/>
        </w:rPr>
        <w:t>                     (C) Explanation of the proposed use of covered telecommunications equipment and any factors relevant to determining if such use would be permissible under the prohibition in paragraph (b)(1) of this provision.</w:t>
      </w:r>
    </w:p>
    <w:p w14:paraId="1F7DE5D0" w14:textId="77777777" w:rsidR="003F4D0B" w:rsidRDefault="00000000">
      <w:pPr>
        <w:spacing w:before="240" w:after="280" w:line="240" w:lineRule="auto"/>
        <w:ind w:firstLine="240"/>
        <w:rPr>
          <w:color w:val="000000"/>
        </w:rPr>
      </w:pPr>
      <w:r>
        <w:rPr>
          <w:color w:val="000000"/>
        </w:rPr>
        <w:t>                (ii) For covered services—</w:t>
      </w:r>
    </w:p>
    <w:p w14:paraId="3BE61309" w14:textId="77777777" w:rsidR="003F4D0B" w:rsidRDefault="00000000">
      <w:pPr>
        <w:spacing w:before="240" w:after="280" w:line="240" w:lineRule="auto"/>
        <w:ind w:firstLine="240"/>
        <w:rPr>
          <w:color w:val="000000"/>
        </w:rPr>
      </w:pPr>
      <w:r>
        <w:rPr>
          <w:color w:val="000000"/>
        </w:rPr>
        <w:t>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04751C23" w14:textId="77777777" w:rsidR="003F4D0B" w:rsidRDefault="00000000">
      <w:pPr>
        <w:spacing w:before="240" w:after="280" w:line="240" w:lineRule="auto"/>
        <w:ind w:firstLine="240"/>
        <w:rPr>
          <w:color w:val="000000"/>
        </w:rPr>
      </w:pPr>
      <w:r>
        <w:rPr>
          <w:color w:val="000000"/>
        </w:rPr>
        <w:t>                     (B)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1BC5125B" w14:textId="77777777" w:rsidR="003F4D0B" w:rsidRDefault="00000000">
      <w:pPr>
        <w:spacing w:before="240" w:after="280" w:line="240" w:lineRule="auto"/>
        <w:ind w:firstLine="240"/>
        <w:rPr>
          <w:color w:val="000000"/>
        </w:rPr>
      </w:pPr>
      <w:r>
        <w:rPr>
          <w:color w:val="000000"/>
        </w:rPr>
        <w:t>           (2) Disclosure for the representation in paragraph (d)(2) of this provision. If the Offeror has responded "does" in the representation in paragraph (d)(2) of this provision, the Offeror shall provide the following information as part of the offer:</w:t>
      </w:r>
    </w:p>
    <w:p w14:paraId="725DE3E7" w14:textId="77777777" w:rsidR="003F4D0B" w:rsidRDefault="00000000">
      <w:pPr>
        <w:spacing w:before="240" w:after="280" w:line="240" w:lineRule="auto"/>
        <w:ind w:firstLine="240"/>
        <w:rPr>
          <w:color w:val="000000"/>
        </w:rPr>
      </w:pPr>
      <w:r>
        <w:rPr>
          <w:color w:val="000000"/>
        </w:rPr>
        <w:t>                (</w:t>
      </w:r>
      <w:proofErr w:type="spellStart"/>
      <w:r>
        <w:rPr>
          <w:color w:val="000000"/>
        </w:rPr>
        <w:t>i</w:t>
      </w:r>
      <w:proofErr w:type="spellEnd"/>
      <w:r>
        <w:rPr>
          <w:color w:val="000000"/>
        </w:rPr>
        <w:t>) For covered equipment—</w:t>
      </w:r>
    </w:p>
    <w:p w14:paraId="16FD13A0" w14:textId="77777777" w:rsidR="003F4D0B" w:rsidRDefault="00000000">
      <w:pPr>
        <w:spacing w:before="240" w:after="280" w:line="240" w:lineRule="auto"/>
        <w:ind w:firstLine="240"/>
        <w:rPr>
          <w:color w:val="000000"/>
        </w:rPr>
      </w:pPr>
      <w:r>
        <w:rPr>
          <w:color w:val="000000"/>
        </w:rPr>
        <w:t>                     (A) The entity that produced the covered telecommunications equipment (include entity name, unique entity identifier, CAGE code, and whether the entity was the OEM or a distributor, if known);</w:t>
      </w:r>
    </w:p>
    <w:p w14:paraId="05E69A99" w14:textId="77777777" w:rsidR="003F4D0B" w:rsidRDefault="00000000">
      <w:pPr>
        <w:spacing w:before="240" w:after="280" w:line="240" w:lineRule="auto"/>
        <w:ind w:firstLine="240"/>
        <w:rPr>
          <w:color w:val="000000"/>
        </w:rPr>
      </w:pPr>
      <w:r>
        <w:rPr>
          <w:color w:val="000000"/>
        </w:rPr>
        <w:t>                     (B) A description of all covered telecommunications equipment offered (include brand; model number, such as OEM number, manufacturer part number, or wholesaler number; and item description, as applicable); and</w:t>
      </w:r>
    </w:p>
    <w:p w14:paraId="7AC59F45" w14:textId="77777777" w:rsidR="003F4D0B" w:rsidRDefault="00000000">
      <w:pPr>
        <w:spacing w:before="240" w:after="280" w:line="240" w:lineRule="auto"/>
        <w:ind w:firstLine="240"/>
        <w:rPr>
          <w:color w:val="000000"/>
        </w:rPr>
      </w:pPr>
      <w:r>
        <w:rPr>
          <w:color w:val="000000"/>
        </w:rPr>
        <w:lastRenderedPageBreak/>
        <w:t>                     (C) Explanation of the proposed use of covered telecommunications equipment and any factors relevant to determining if such use would be permissible under the prohibition in paragraph (b)(2) of this provision.</w:t>
      </w:r>
    </w:p>
    <w:p w14:paraId="0A7C030B" w14:textId="77777777" w:rsidR="003F4D0B" w:rsidRDefault="00000000">
      <w:pPr>
        <w:spacing w:before="240" w:after="280" w:line="240" w:lineRule="auto"/>
        <w:ind w:firstLine="240"/>
        <w:rPr>
          <w:color w:val="000000"/>
        </w:rPr>
      </w:pPr>
      <w:r>
        <w:rPr>
          <w:color w:val="000000"/>
        </w:rPr>
        <w:t>                (ii) For covered services—</w:t>
      </w:r>
    </w:p>
    <w:p w14:paraId="528D82E7" w14:textId="77777777" w:rsidR="003F4D0B" w:rsidRDefault="00000000">
      <w:pPr>
        <w:spacing w:before="240" w:after="280" w:line="240" w:lineRule="auto"/>
        <w:ind w:firstLine="240"/>
        <w:rPr>
          <w:color w:val="000000"/>
        </w:rPr>
      </w:pPr>
      <w:r>
        <w:rPr>
          <w:color w:val="000000"/>
        </w:rPr>
        <w:t>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19E3C3D1" w14:textId="77777777" w:rsidR="003F4D0B" w:rsidRDefault="00000000">
      <w:pPr>
        <w:spacing w:before="240" w:after="280" w:line="240" w:lineRule="auto"/>
        <w:ind w:firstLine="240"/>
        <w:rPr>
          <w:color w:val="000000"/>
        </w:rPr>
      </w:pPr>
      <w:r>
        <w:rPr>
          <w:color w:val="000000"/>
        </w:rPr>
        <w:t>                     (B)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p>
    <w:p w14:paraId="51DBF1FB" w14:textId="77777777" w:rsidR="003F4D0B" w:rsidRDefault="00000000">
      <w:pPr>
        <w:spacing w:before="240" w:after="280" w:line="240" w:lineRule="auto"/>
        <w:ind w:firstLine="240"/>
        <w:jc w:val="center"/>
        <w:rPr>
          <w:color w:val="000000"/>
        </w:rPr>
      </w:pPr>
      <w:r>
        <w:rPr>
          <w:color w:val="000000"/>
        </w:rPr>
        <w:t>(End of provision)</w:t>
      </w:r>
    </w:p>
    <w:p w14:paraId="7DDF07D7" w14:textId="77777777" w:rsidR="003F4D0B" w:rsidRDefault="003F4D0B">
      <w:pPr>
        <w:shd w:val="clear" w:color="auto" w:fill="FFFFFF"/>
        <w:spacing w:before="240" w:after="280" w:line="240" w:lineRule="auto"/>
      </w:pPr>
    </w:p>
    <w:sectPr w:rsidR="003F4D0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4443D" w14:textId="77777777" w:rsidR="00AC2C9A" w:rsidRDefault="00AC2C9A">
      <w:pPr>
        <w:spacing w:line="240" w:lineRule="auto"/>
      </w:pPr>
      <w:r>
        <w:separator/>
      </w:r>
    </w:p>
  </w:endnote>
  <w:endnote w:type="continuationSeparator" w:id="0">
    <w:p w14:paraId="520196AF" w14:textId="77777777" w:rsidR="00AC2C9A" w:rsidRDefault="00AC2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6ED7" w14:textId="77777777" w:rsidR="0096389C" w:rsidRDefault="00963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5523" w14:textId="46CBA730" w:rsidR="003F4D0B" w:rsidRDefault="00000000">
    <w:r>
      <w:fldChar w:fldCharType="begin"/>
    </w:r>
    <w:r>
      <w:instrText>PAGE</w:instrText>
    </w:r>
    <w:r>
      <w:fldChar w:fldCharType="separate"/>
    </w:r>
    <w:r w:rsidR="0096389C">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C00C" w14:textId="77777777" w:rsidR="003F4D0B" w:rsidRDefault="00000000">
    <w:pPr>
      <w:jc w:val="right"/>
    </w:pPr>
    <w:r>
      <w:fldChar w:fldCharType="begin"/>
    </w:r>
    <w:r>
      <w:instrText>PAGE</w:instrText>
    </w:r>
    <w:r>
      <w:fldChar w:fldCharType="separate"/>
    </w:r>
    <w:r w:rsidR="009638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369A" w14:textId="77777777" w:rsidR="00AC2C9A" w:rsidRDefault="00AC2C9A">
      <w:pPr>
        <w:spacing w:line="240" w:lineRule="auto"/>
      </w:pPr>
      <w:r>
        <w:separator/>
      </w:r>
    </w:p>
  </w:footnote>
  <w:footnote w:type="continuationSeparator" w:id="0">
    <w:p w14:paraId="370817A3" w14:textId="77777777" w:rsidR="00AC2C9A" w:rsidRDefault="00AC2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D6E1" w14:textId="77777777" w:rsidR="0096389C" w:rsidRDefault="00963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7FF3" w14:textId="77777777" w:rsidR="0096389C" w:rsidRDefault="00963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6295" w14:textId="77777777" w:rsidR="003F4D0B" w:rsidRDefault="00000000">
    <w:pPr>
      <w:ind w:left="-450"/>
      <w:rPr>
        <w:sz w:val="18"/>
        <w:szCs w:val="18"/>
      </w:rPr>
    </w:pPr>
    <w:r>
      <w:rPr>
        <w:noProof/>
      </w:rPr>
      <w:drawing>
        <wp:inline distT="114300" distB="114300" distL="114300" distR="114300" wp14:anchorId="73C83C70" wp14:editId="3CB2334F">
          <wp:extent cx="2279154" cy="442913"/>
          <wp:effectExtent l="0" t="0" r="0" b="0"/>
          <wp:docPr id="1" name="image1.png" descr="CoE Logo&#10;"/>
          <wp:cNvGraphicFramePr/>
          <a:graphic xmlns:a="http://schemas.openxmlformats.org/drawingml/2006/main">
            <a:graphicData uri="http://schemas.openxmlformats.org/drawingml/2006/picture">
              <pic:pic xmlns:pic="http://schemas.openxmlformats.org/drawingml/2006/picture">
                <pic:nvPicPr>
                  <pic:cNvPr id="1" name="image1.png" descr="CoE Logo&#10;"/>
                  <pic:cNvPicPr preferRelativeResize="0"/>
                </pic:nvPicPr>
                <pic:blipFill>
                  <a:blip r:embed="rId1"/>
                  <a:srcRect/>
                  <a:stretch>
                    <a:fillRect/>
                  </a:stretch>
                </pic:blipFill>
                <pic:spPr>
                  <a:xfrm>
                    <a:off x="0" y="0"/>
                    <a:ext cx="2279154" cy="442913"/>
                  </a:xfrm>
                  <a:prstGeom prst="rect">
                    <a:avLst/>
                  </a:prstGeom>
                  <a:ln/>
                </pic:spPr>
              </pic:pic>
            </a:graphicData>
          </a:graphic>
        </wp:inline>
      </w:drawing>
    </w:r>
    <w:r>
      <w:t xml:space="preserve">                                             </w:t>
    </w:r>
    <w:r>
      <w:rPr>
        <w:sz w:val="18"/>
        <w:szCs w:val="18"/>
      </w:rPr>
      <w:t>Sample FAR 52.204-24 Representation</w:t>
    </w:r>
  </w:p>
  <w:p w14:paraId="6A1FA2A7" w14:textId="77777777" w:rsidR="003F4D0B" w:rsidRPr="0096389C" w:rsidRDefault="00000000">
    <w:pPr>
      <w:ind w:left="-450"/>
      <w:jc w:val="center"/>
      <w:rPr>
        <w:color w:val="C00000"/>
        <w:sz w:val="18"/>
        <w:szCs w:val="18"/>
      </w:rPr>
    </w:pPr>
    <w:r w:rsidRPr="0096389C">
      <w:rPr>
        <w:color w:val="C00000"/>
        <w:sz w:val="18"/>
        <w:szCs w:val="18"/>
      </w:rPr>
      <w:t>Include appropriate CUI Markings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D0B"/>
    <w:rsid w:val="002626B8"/>
    <w:rsid w:val="003F4D0B"/>
    <w:rsid w:val="0085176B"/>
    <w:rsid w:val="0096389C"/>
    <w:rsid w:val="00AC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9EF3C"/>
  <w15:docId w15:val="{8F07DDCB-E0BD-7F4B-A991-3305CD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46B99"/>
      <w:sz w:val="48"/>
      <w:szCs w:val="48"/>
    </w:rPr>
  </w:style>
  <w:style w:type="paragraph" w:styleId="Heading2">
    <w:name w:val="heading 2"/>
    <w:basedOn w:val="Normal"/>
    <w:next w:val="Normal"/>
    <w:uiPriority w:val="9"/>
    <w:semiHidden/>
    <w:unhideWhenUsed/>
    <w:qFormat/>
    <w:pPr>
      <w:keepNext/>
      <w:keepLines/>
      <w:outlineLvl w:val="1"/>
    </w:pPr>
    <w:rPr>
      <w:b/>
      <w:color w:val="000000"/>
      <w:sz w:val="36"/>
      <w:szCs w:val="36"/>
    </w:rPr>
  </w:style>
  <w:style w:type="paragraph" w:styleId="Heading3">
    <w:name w:val="heading 3"/>
    <w:basedOn w:val="Normal"/>
    <w:next w:val="Normal"/>
    <w:uiPriority w:val="9"/>
    <w:semiHidden/>
    <w:unhideWhenUsed/>
    <w:qFormat/>
    <w:pPr>
      <w:keepNext/>
      <w:keepLines/>
      <w:outlineLvl w:val="2"/>
    </w:pPr>
    <w:rPr>
      <w:color w:val="222222"/>
      <w:sz w:val="28"/>
      <w:szCs w:val="28"/>
      <w:u w:val="single"/>
    </w:rPr>
  </w:style>
  <w:style w:type="paragraph" w:styleId="Heading4">
    <w:name w:val="heading 4"/>
    <w:basedOn w:val="Normal"/>
    <w:next w:val="Normal"/>
    <w:uiPriority w:val="9"/>
    <w:semiHidden/>
    <w:unhideWhenUsed/>
    <w:qFormat/>
    <w:pPr>
      <w:keepNext/>
      <w:keepLines/>
      <w:outlineLvl w:val="3"/>
    </w:pPr>
    <w:rPr>
      <w:b/>
      <w:color w:val="444444"/>
    </w:rPr>
  </w:style>
  <w:style w:type="paragraph" w:styleId="Heading5">
    <w:name w:val="heading 5"/>
    <w:basedOn w:val="Normal"/>
    <w:next w:val="Normal"/>
    <w:uiPriority w:val="9"/>
    <w:semiHidden/>
    <w:unhideWhenUsed/>
    <w:qFormat/>
    <w:pPr>
      <w:keepNext/>
      <w:keepLines/>
      <w:ind w:left="15"/>
      <w:outlineLvl w:val="4"/>
    </w:pPr>
    <w:rPr>
      <w:b/>
      <w:color w:val="046B99"/>
    </w:rPr>
  </w:style>
  <w:style w:type="paragraph" w:styleId="Heading6">
    <w:name w:val="heading 6"/>
    <w:basedOn w:val="Normal"/>
    <w:next w:val="Normal"/>
    <w:uiPriority w:val="9"/>
    <w:semiHidden/>
    <w:unhideWhenUsed/>
    <w:qFormat/>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b/>
      <w:color w:val="1C304A"/>
      <w:sz w:val="72"/>
      <w:szCs w:val="72"/>
    </w:rPr>
  </w:style>
  <w:style w:type="paragraph" w:styleId="Subtitle">
    <w:name w:val="Subtitle"/>
    <w:basedOn w:val="Normal"/>
    <w:next w:val="Normal"/>
    <w:uiPriority w:val="11"/>
    <w:qFormat/>
    <w:pPr>
      <w:keepNext/>
      <w:keepLines/>
      <w:jc w:val="center"/>
    </w:pPr>
    <w:rPr>
      <w:b/>
      <w:sz w:val="28"/>
      <w:szCs w:val="28"/>
    </w:rPr>
  </w:style>
  <w:style w:type="paragraph" w:styleId="Header">
    <w:name w:val="header"/>
    <w:basedOn w:val="Normal"/>
    <w:link w:val="HeaderChar"/>
    <w:uiPriority w:val="99"/>
    <w:unhideWhenUsed/>
    <w:rsid w:val="0096389C"/>
    <w:pPr>
      <w:tabs>
        <w:tab w:val="center" w:pos="4680"/>
        <w:tab w:val="right" w:pos="9360"/>
      </w:tabs>
      <w:spacing w:line="240" w:lineRule="auto"/>
    </w:pPr>
  </w:style>
  <w:style w:type="character" w:customStyle="1" w:styleId="HeaderChar">
    <w:name w:val="Header Char"/>
    <w:basedOn w:val="DefaultParagraphFont"/>
    <w:link w:val="Header"/>
    <w:uiPriority w:val="99"/>
    <w:rsid w:val="0096389C"/>
  </w:style>
  <w:style w:type="paragraph" w:styleId="Footer">
    <w:name w:val="footer"/>
    <w:basedOn w:val="Normal"/>
    <w:link w:val="FooterChar"/>
    <w:uiPriority w:val="99"/>
    <w:unhideWhenUsed/>
    <w:rsid w:val="0096389C"/>
    <w:pPr>
      <w:tabs>
        <w:tab w:val="center" w:pos="4680"/>
        <w:tab w:val="right" w:pos="9360"/>
      </w:tabs>
      <w:spacing w:line="240" w:lineRule="auto"/>
    </w:pPr>
  </w:style>
  <w:style w:type="character" w:customStyle="1" w:styleId="FooterChar">
    <w:name w:val="Footer Char"/>
    <w:basedOn w:val="DefaultParagraphFont"/>
    <w:link w:val="Footer"/>
    <w:uiPriority w:val="99"/>
    <w:rsid w:val="00963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cquisition.gov/far/part-5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quisition.gov/far/part-5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acquisition.gov/far/part-52" TargetMode="External"/><Relationship Id="rId11" Type="http://schemas.openxmlformats.org/officeDocument/2006/relationships/hyperlink" Target="https://www.sam.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acquisition.gov/far/part-5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acquisition.gov/far/part-52"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2023-03-13T19:20:00Z</dcterms:created>
  <dcterms:modified xsi:type="dcterms:W3CDTF">2023-03-13T19:43:00Z</dcterms:modified>
</cp:coreProperties>
</file>