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91264" w14:textId="77777777" w:rsidR="00C05C1F" w:rsidRDefault="00C05C1F">
      <w:pPr>
        <w:rPr>
          <w:b/>
          <w:color w:val="FF0000"/>
          <w:sz w:val="22"/>
          <w:szCs w:val="22"/>
        </w:rPr>
      </w:pPr>
    </w:p>
    <w:p w14:paraId="42B342DF" w14:textId="77777777" w:rsidR="00C05C1F" w:rsidRPr="00B90694" w:rsidRDefault="00000000">
      <w:pPr>
        <w:rPr>
          <w:color w:val="C00000"/>
          <w:sz w:val="22"/>
          <w:szCs w:val="22"/>
        </w:rPr>
      </w:pPr>
      <w:r w:rsidRPr="00B90694">
        <w:rPr>
          <w:b/>
          <w:color w:val="C00000"/>
          <w:sz w:val="22"/>
          <w:szCs w:val="22"/>
        </w:rPr>
        <w:t>Disclaimer:</w:t>
      </w:r>
      <w:r w:rsidRPr="00B90694">
        <w:rPr>
          <w:color w:val="C00000"/>
          <w:sz w:val="22"/>
          <w:szCs w:val="22"/>
        </w:rPr>
        <w:t xml:space="preserve"> This is a sample document. Agencies are encouraged to tailor the contents to fit their individual needs.</w:t>
      </w:r>
    </w:p>
    <w:p w14:paraId="721935DC" w14:textId="77777777" w:rsidR="00C05C1F" w:rsidRPr="00B90694" w:rsidRDefault="00C05C1F">
      <w:pPr>
        <w:rPr>
          <w:color w:val="C00000"/>
          <w:sz w:val="22"/>
          <w:szCs w:val="22"/>
        </w:rPr>
      </w:pPr>
    </w:p>
    <w:p w14:paraId="4C3420C6" w14:textId="77777777" w:rsidR="00C05C1F" w:rsidRPr="00B90694" w:rsidRDefault="00000000">
      <w:pPr>
        <w:rPr>
          <w:color w:val="C00000"/>
          <w:sz w:val="22"/>
          <w:szCs w:val="22"/>
        </w:rPr>
      </w:pPr>
      <w:r w:rsidRPr="00B90694">
        <w:rPr>
          <w:b/>
          <w:color w:val="C00000"/>
          <w:sz w:val="22"/>
          <w:szCs w:val="22"/>
        </w:rPr>
        <w:t xml:space="preserve">Purpose: </w:t>
      </w:r>
      <w:r w:rsidRPr="00B90694">
        <w:rPr>
          <w:color w:val="C00000"/>
          <w:sz w:val="22"/>
          <w:szCs w:val="22"/>
        </w:rPr>
        <w:t>This document is meant to be an internal document to help the government understand the marketplace for these services. It may be part of the government’s Market Research Report and Acquisition Plan.</w:t>
      </w:r>
    </w:p>
    <w:p w14:paraId="06DA1C7B" w14:textId="77777777" w:rsidR="00C05C1F" w:rsidRDefault="00C05C1F">
      <w:pPr>
        <w:rPr>
          <w:color w:val="FF0000"/>
          <w:sz w:val="22"/>
          <w:szCs w:val="22"/>
        </w:rPr>
      </w:pPr>
    </w:p>
    <w:p w14:paraId="78835846" w14:textId="77777777" w:rsidR="00C05C1F" w:rsidRDefault="00000000">
      <w:pPr>
        <w:pStyle w:val="Title"/>
        <w:rPr>
          <w:b w:val="0"/>
          <w:color w:val="000000"/>
          <w:sz w:val="60"/>
          <w:szCs w:val="60"/>
        </w:rPr>
      </w:pPr>
      <w:bookmarkStart w:id="0" w:name="_4ym9mtrphxu" w:colFirst="0" w:colLast="0"/>
      <w:bookmarkEnd w:id="0"/>
      <w:r>
        <w:rPr>
          <w:sz w:val="60"/>
          <w:szCs w:val="60"/>
        </w:rPr>
        <w:t>Cloud Migration Services Characteristics of an Ideal Vendor</w:t>
      </w:r>
    </w:p>
    <w:p w14:paraId="61DE5B1B" w14:textId="77777777" w:rsidR="00C05C1F" w:rsidRDefault="00C05C1F">
      <w:pPr>
        <w:rPr>
          <w:b/>
          <w:color w:val="000000"/>
          <w:sz w:val="20"/>
          <w:szCs w:val="20"/>
        </w:rPr>
      </w:pPr>
    </w:p>
    <w:p w14:paraId="2A5A0762" w14:textId="77777777" w:rsidR="00C05C1F" w:rsidRDefault="00C05C1F">
      <w:pPr>
        <w:rPr>
          <w:color w:val="000000"/>
          <w:sz w:val="20"/>
          <w:szCs w:val="20"/>
        </w:rPr>
      </w:pPr>
    </w:p>
    <w:p w14:paraId="5AD9F5A5" w14:textId="77777777" w:rsidR="00C05C1F" w:rsidRDefault="00000000">
      <w:pPr>
        <w:numPr>
          <w:ilvl w:val="0"/>
          <w:numId w:val="1"/>
        </w:numPr>
        <w:spacing w:after="100"/>
        <w:rPr>
          <w:color w:val="000000"/>
        </w:rPr>
      </w:pPr>
      <w:r>
        <w:rPr>
          <w:color w:val="000000"/>
        </w:rPr>
        <w:t xml:space="preserve">Demonstrated prior experience (size/scope/risk evaluation) managing </w:t>
      </w:r>
      <w:r>
        <w:rPr>
          <w:color w:val="000000"/>
          <w:highlight w:val="white"/>
        </w:rPr>
        <w:t>cloud environments for Federal agencies</w:t>
      </w:r>
      <w:r>
        <w:rPr>
          <w:color w:val="000000"/>
        </w:rPr>
        <w:t>.</w:t>
      </w:r>
    </w:p>
    <w:p w14:paraId="76B199DF" w14:textId="77777777" w:rsidR="00C05C1F" w:rsidRDefault="00000000">
      <w:pPr>
        <w:numPr>
          <w:ilvl w:val="0"/>
          <w:numId w:val="1"/>
        </w:numPr>
        <w:spacing w:after="100"/>
        <w:rPr>
          <w:color w:val="000000"/>
        </w:rPr>
      </w:pPr>
      <w:r>
        <w:rPr>
          <w:color w:val="000000"/>
        </w:rPr>
        <w:t>Demonstrated experience provisioning enterprise level applications in Federal cloud environments.</w:t>
      </w:r>
    </w:p>
    <w:p w14:paraId="16690589" w14:textId="77777777" w:rsidR="00C05C1F" w:rsidRDefault="00000000">
      <w:pPr>
        <w:numPr>
          <w:ilvl w:val="0"/>
          <w:numId w:val="1"/>
        </w:numPr>
        <w:spacing w:after="100"/>
        <w:rPr>
          <w:color w:val="000000"/>
        </w:rPr>
      </w:pPr>
      <w:r>
        <w:rPr>
          <w:color w:val="000000"/>
        </w:rPr>
        <w:t>Demonstrated experience achieving and operationalizing Federal Authorization to Operate (ATO) with enterprise level applications in Federal cloud environments.</w:t>
      </w:r>
    </w:p>
    <w:p w14:paraId="5606269E" w14:textId="77777777" w:rsidR="00C05C1F" w:rsidRDefault="00000000">
      <w:pPr>
        <w:numPr>
          <w:ilvl w:val="0"/>
          <w:numId w:val="1"/>
        </w:numPr>
        <w:spacing w:after="100"/>
        <w:rPr>
          <w:color w:val="000000"/>
        </w:rPr>
      </w:pPr>
      <w:r>
        <w:rPr>
          <w:color w:val="000000"/>
        </w:rPr>
        <w:t xml:space="preserve">Demonstrated experience with </w:t>
      </w:r>
      <w:proofErr w:type="spellStart"/>
      <w:r>
        <w:rPr>
          <w:color w:val="000000"/>
        </w:rPr>
        <w:t>DevSecOps</w:t>
      </w:r>
      <w:proofErr w:type="spellEnd"/>
      <w:r>
        <w:rPr>
          <w:color w:val="000000"/>
        </w:rPr>
        <w:t xml:space="preserve"> automation pipelines for application development and cloud infrastructure.</w:t>
      </w:r>
    </w:p>
    <w:p w14:paraId="45047109" w14:textId="77777777" w:rsidR="00C05C1F" w:rsidRDefault="00000000">
      <w:pPr>
        <w:numPr>
          <w:ilvl w:val="0"/>
          <w:numId w:val="1"/>
        </w:numPr>
        <w:spacing w:after="100"/>
        <w:rPr>
          <w:color w:val="000000"/>
        </w:rPr>
      </w:pPr>
      <w:r>
        <w:rPr>
          <w:color w:val="000000"/>
        </w:rPr>
        <w:t xml:space="preserve">Demonstrated experience managing </w:t>
      </w:r>
      <w:proofErr w:type="spellStart"/>
      <w:r>
        <w:rPr>
          <w:color w:val="000000"/>
        </w:rPr>
        <w:t>DevSecOps</w:t>
      </w:r>
      <w:proofErr w:type="spellEnd"/>
      <w:r>
        <w:rPr>
          <w:color w:val="000000"/>
        </w:rPr>
        <w:t xml:space="preserve"> networking teams.</w:t>
      </w:r>
    </w:p>
    <w:p w14:paraId="567146DA" w14:textId="77777777" w:rsidR="00C05C1F" w:rsidRDefault="00000000">
      <w:pPr>
        <w:numPr>
          <w:ilvl w:val="0"/>
          <w:numId w:val="1"/>
        </w:numPr>
        <w:spacing w:after="100"/>
        <w:rPr>
          <w:color w:val="000000"/>
        </w:rPr>
      </w:pPr>
      <w:r>
        <w:rPr>
          <w:color w:val="000000"/>
        </w:rPr>
        <w:t xml:space="preserve">Demonstrated experience managing </w:t>
      </w:r>
      <w:proofErr w:type="spellStart"/>
      <w:r>
        <w:rPr>
          <w:color w:val="000000"/>
        </w:rPr>
        <w:t>DevSecOps</w:t>
      </w:r>
      <w:proofErr w:type="spellEnd"/>
      <w:r>
        <w:rPr>
          <w:color w:val="000000"/>
        </w:rPr>
        <w:t xml:space="preserve"> security teams.</w:t>
      </w:r>
    </w:p>
    <w:p w14:paraId="52B7F834" w14:textId="77777777" w:rsidR="00C05C1F" w:rsidRDefault="00000000">
      <w:pPr>
        <w:numPr>
          <w:ilvl w:val="0"/>
          <w:numId w:val="1"/>
        </w:numPr>
        <w:spacing w:after="100"/>
        <w:rPr>
          <w:color w:val="000000"/>
        </w:rPr>
      </w:pPr>
      <w:r>
        <w:rPr>
          <w:color w:val="000000"/>
        </w:rPr>
        <w:t>Demonstrated experience in collaborating with other teams such as the project/program management teams and change management teams.</w:t>
      </w:r>
    </w:p>
    <w:p w14:paraId="76B9C904" w14:textId="77777777" w:rsidR="00C05C1F" w:rsidRDefault="00000000">
      <w:pPr>
        <w:numPr>
          <w:ilvl w:val="0"/>
          <w:numId w:val="1"/>
        </w:numPr>
        <w:spacing w:after="100"/>
        <w:rPr>
          <w:color w:val="000000"/>
        </w:rPr>
      </w:pPr>
      <w:r>
        <w:rPr>
          <w:color w:val="000000"/>
        </w:rPr>
        <w:t>Demonstrated experience with six phases of the authorization roadmap - Diagnostic Assessment, Boundary and Architecture Review, Documentation, Technical Remediation, Testing Preparation &amp; Residual Risk, and Final Authorization to Operate.</w:t>
      </w:r>
    </w:p>
    <w:p w14:paraId="50618E65" w14:textId="77777777" w:rsidR="00C05C1F" w:rsidRDefault="00000000">
      <w:pPr>
        <w:numPr>
          <w:ilvl w:val="0"/>
          <w:numId w:val="1"/>
        </w:numPr>
        <w:spacing w:after="100" w:line="240" w:lineRule="auto"/>
        <w:rPr>
          <w:color w:val="000000"/>
        </w:rPr>
      </w:pPr>
      <w:r>
        <w:rPr>
          <w:color w:val="000000"/>
        </w:rPr>
        <w:t>Demonstrated experience managing multi-cloud, single-cloud, hybrid, and on-</w:t>
      </w:r>
    </w:p>
    <w:p w14:paraId="49A0A0EB" w14:textId="77777777" w:rsidR="00C05C1F" w:rsidRDefault="00000000">
      <w:pPr>
        <w:spacing w:after="100" w:line="240" w:lineRule="auto"/>
        <w:ind w:left="720"/>
        <w:rPr>
          <w:color w:val="000000"/>
        </w:rPr>
      </w:pPr>
      <w:r>
        <w:rPr>
          <w:color w:val="000000"/>
        </w:rPr>
        <w:t>premises environments.</w:t>
      </w:r>
    </w:p>
    <w:p w14:paraId="324A2440" w14:textId="77777777" w:rsidR="00C05C1F" w:rsidRDefault="00000000">
      <w:pPr>
        <w:numPr>
          <w:ilvl w:val="0"/>
          <w:numId w:val="1"/>
        </w:numPr>
        <w:spacing w:after="100" w:line="240" w:lineRule="auto"/>
        <w:rPr>
          <w:color w:val="000000"/>
        </w:rPr>
      </w:pPr>
      <w:r>
        <w:rPr>
          <w:color w:val="000000"/>
        </w:rPr>
        <w:lastRenderedPageBreak/>
        <w:t>Demonstrated experience establishing or contributing to a Cloud Center of Excellence</w:t>
      </w:r>
      <w:r>
        <w:rPr>
          <w:color w:val="000000"/>
          <w:vertAlign w:val="superscript"/>
        </w:rPr>
        <w:footnoteReference w:id="1"/>
      </w:r>
      <w:r>
        <w:rPr>
          <w:color w:val="000000"/>
          <w:vertAlign w:val="superscript"/>
        </w:rPr>
        <w:footnoteReference w:id="2"/>
      </w:r>
      <w:r>
        <w:rPr>
          <w:color w:val="000000"/>
        </w:rPr>
        <w:t xml:space="preserve"> for core roles, including governance.</w:t>
      </w:r>
    </w:p>
    <w:p w14:paraId="615D6CA9" w14:textId="77777777" w:rsidR="00C05C1F" w:rsidRDefault="00000000">
      <w:pPr>
        <w:numPr>
          <w:ilvl w:val="0"/>
          <w:numId w:val="1"/>
        </w:numPr>
        <w:spacing w:after="100" w:line="240" w:lineRule="auto"/>
        <w:rPr>
          <w:color w:val="000000"/>
        </w:rPr>
      </w:pPr>
      <w:r>
        <w:rPr>
          <w:color w:val="000000"/>
        </w:rPr>
        <w:t>Demonstrated experience developing or contributing to guidance and collateral</w:t>
      </w:r>
    </w:p>
    <w:p w14:paraId="581E7F30" w14:textId="77777777" w:rsidR="00C05C1F" w:rsidRDefault="00000000">
      <w:pPr>
        <w:spacing w:after="100" w:line="240" w:lineRule="auto"/>
        <w:ind w:left="720"/>
        <w:rPr>
          <w:color w:val="000000"/>
        </w:rPr>
      </w:pPr>
      <w:r>
        <w:rPr>
          <w:color w:val="000000"/>
        </w:rPr>
        <w:t>for user enablement, training, roll-out comms, and other elements of a change</w:t>
      </w:r>
    </w:p>
    <w:p w14:paraId="25022E94" w14:textId="77777777" w:rsidR="00C05C1F" w:rsidRDefault="00000000">
      <w:pPr>
        <w:spacing w:after="100" w:line="240" w:lineRule="auto"/>
        <w:ind w:left="720"/>
        <w:rPr>
          <w:color w:val="000000"/>
        </w:rPr>
      </w:pPr>
      <w:r>
        <w:rPr>
          <w:color w:val="000000"/>
        </w:rPr>
        <w:t>management effort.</w:t>
      </w:r>
    </w:p>
    <w:p w14:paraId="5FC1AAF2" w14:textId="77777777" w:rsidR="00C05C1F" w:rsidRDefault="00C05C1F">
      <w:pPr>
        <w:spacing w:after="100"/>
        <w:ind w:left="720"/>
        <w:rPr>
          <w:color w:val="000000"/>
        </w:rPr>
      </w:pPr>
    </w:p>
    <w:p w14:paraId="23C7F52F" w14:textId="77777777" w:rsidR="00C05C1F" w:rsidRDefault="00C05C1F">
      <w:pPr>
        <w:rPr>
          <w:color w:val="000000"/>
          <w:sz w:val="22"/>
          <w:szCs w:val="22"/>
        </w:rPr>
      </w:pPr>
    </w:p>
    <w:p w14:paraId="4915DBCC" w14:textId="77777777" w:rsidR="00C05C1F" w:rsidRDefault="00C05C1F">
      <w:pPr>
        <w:rPr>
          <w:color w:val="000000"/>
          <w:sz w:val="22"/>
          <w:szCs w:val="22"/>
        </w:rPr>
      </w:pPr>
    </w:p>
    <w:p w14:paraId="669E0523" w14:textId="77777777" w:rsidR="00C05C1F" w:rsidRDefault="00C05C1F"/>
    <w:sectPr w:rsidR="00C05C1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C79FB" w14:textId="77777777" w:rsidR="000D3A62" w:rsidRDefault="000D3A62">
      <w:pPr>
        <w:spacing w:line="240" w:lineRule="auto"/>
      </w:pPr>
      <w:r>
        <w:separator/>
      </w:r>
    </w:p>
  </w:endnote>
  <w:endnote w:type="continuationSeparator" w:id="0">
    <w:p w14:paraId="18B982CD" w14:textId="77777777" w:rsidR="000D3A62" w:rsidRDefault="000D3A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D4B9F" w14:textId="77777777" w:rsidR="00B90694" w:rsidRDefault="00B906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5B982" w14:textId="77777777" w:rsidR="00C05C1F" w:rsidRDefault="00C05C1F">
    <w:pPr>
      <w:jc w:val="right"/>
      <w:rPr>
        <w:sz w:val="20"/>
        <w:szCs w:val="20"/>
      </w:rPr>
    </w:pPr>
  </w:p>
  <w:p w14:paraId="35EA9096" w14:textId="77777777" w:rsidR="00C05C1F" w:rsidRDefault="00C05C1F">
    <w:pPr>
      <w:rPr>
        <w:sz w:val="20"/>
        <w:szCs w:val="20"/>
      </w:rPr>
    </w:pPr>
  </w:p>
  <w:p w14:paraId="02B9949A" w14:textId="77777777" w:rsidR="00C05C1F" w:rsidRDefault="00000000">
    <w:pPr>
      <w:jc w:val="right"/>
      <w:rPr>
        <w:sz w:val="20"/>
        <w:szCs w:val="20"/>
      </w:rPr>
    </w:pPr>
    <w:r>
      <w:rPr>
        <w:sz w:val="20"/>
        <w:szCs w:val="20"/>
      </w:rPr>
      <w:fldChar w:fldCharType="begin"/>
    </w:r>
    <w:r>
      <w:rPr>
        <w:sz w:val="20"/>
        <w:szCs w:val="20"/>
      </w:rPr>
      <w:instrText>PAGE</w:instrText>
    </w:r>
    <w:r>
      <w:rPr>
        <w:sz w:val="20"/>
        <w:szCs w:val="20"/>
      </w:rPr>
      <w:fldChar w:fldCharType="separate"/>
    </w:r>
    <w:r w:rsidR="00B90694">
      <w:rPr>
        <w:noProof/>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NUMPAGES</w:instrText>
    </w:r>
    <w:r>
      <w:rPr>
        <w:sz w:val="20"/>
        <w:szCs w:val="20"/>
      </w:rPr>
      <w:fldChar w:fldCharType="separate"/>
    </w:r>
    <w:r w:rsidR="00B90694">
      <w:rPr>
        <w:noProof/>
        <w:sz w:val="20"/>
        <w:szCs w:val="20"/>
      </w:rPr>
      <w:t>2</w:t>
    </w:r>
    <w:r>
      <w:rPr>
        <w:sz w:val="20"/>
        <w:szCs w:val="20"/>
      </w:rPr>
      <w:fldChar w:fldCharType="end"/>
    </w:r>
  </w:p>
  <w:p w14:paraId="24867DB6" w14:textId="77777777" w:rsidR="00C05C1F" w:rsidRDefault="00C05C1F">
    <w:pPr>
      <w:jc w:val="center"/>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B9DC7" w14:textId="77777777" w:rsidR="00C05C1F" w:rsidRDefault="00C05C1F">
    <w:pPr>
      <w:jc w:val="right"/>
      <w:rPr>
        <w:sz w:val="20"/>
        <w:szCs w:val="20"/>
      </w:rPr>
    </w:pPr>
  </w:p>
  <w:p w14:paraId="5F20B25C" w14:textId="77777777" w:rsidR="00C05C1F" w:rsidRDefault="00C05C1F">
    <w:pPr>
      <w:rPr>
        <w:sz w:val="20"/>
        <w:szCs w:val="20"/>
      </w:rPr>
    </w:pPr>
  </w:p>
  <w:p w14:paraId="04674FD0" w14:textId="77777777" w:rsidR="00C05C1F" w:rsidRDefault="00000000">
    <w:pPr>
      <w:jc w:val="right"/>
      <w:rPr>
        <w:sz w:val="20"/>
        <w:szCs w:val="20"/>
      </w:rPr>
    </w:pPr>
    <w:r>
      <w:rPr>
        <w:sz w:val="20"/>
        <w:szCs w:val="20"/>
      </w:rPr>
      <w:fldChar w:fldCharType="begin"/>
    </w:r>
    <w:r>
      <w:rPr>
        <w:sz w:val="20"/>
        <w:szCs w:val="20"/>
      </w:rPr>
      <w:instrText>PAGE</w:instrText>
    </w:r>
    <w:r>
      <w:rPr>
        <w:sz w:val="20"/>
        <w:szCs w:val="20"/>
      </w:rPr>
      <w:fldChar w:fldCharType="separate"/>
    </w:r>
    <w:r>
      <w:rPr>
        <w:sz w:val="20"/>
        <w:szCs w:val="20"/>
      </w:rPr>
      <w:fldChar w:fldCharType="end"/>
    </w:r>
    <w:r>
      <w:rPr>
        <w:sz w:val="20"/>
        <w:szCs w:val="20"/>
      </w:rPr>
      <w:t xml:space="preserve"> of </w:t>
    </w:r>
    <w:r>
      <w:rPr>
        <w:sz w:val="20"/>
        <w:szCs w:val="20"/>
      </w:rPr>
      <w:fldChar w:fldCharType="begin"/>
    </w:r>
    <w:r>
      <w:rPr>
        <w:sz w:val="20"/>
        <w:szCs w:val="20"/>
      </w:rPr>
      <w:instrText>NUMPAGES</w:instrText>
    </w:r>
    <w:r>
      <w:rPr>
        <w:sz w:val="20"/>
        <w:szCs w:val="20"/>
      </w:rPr>
      <w:fldChar w:fldCharType="separate"/>
    </w:r>
    <w:r>
      <w:rPr>
        <w:sz w:val="20"/>
        <w:szCs w:val="20"/>
      </w:rPr>
      <w:fldChar w:fldCharType="end"/>
    </w:r>
  </w:p>
  <w:p w14:paraId="0A6D909E" w14:textId="77777777" w:rsidR="00C05C1F" w:rsidRDefault="00000000">
    <w:pPr>
      <w:jc w:val="center"/>
      <w:rPr>
        <w:sz w:val="20"/>
        <w:szCs w:val="20"/>
      </w:rPr>
    </w:pPr>
    <w:r>
      <w:rPr>
        <w:sz w:val="20"/>
        <w:szCs w:val="20"/>
      </w:rPr>
      <w:t>Government Accountability Office / General Services Administration</w:t>
    </w:r>
  </w:p>
  <w:p w14:paraId="2851BDC3" w14:textId="77777777" w:rsidR="00C05C1F" w:rsidRDefault="00000000">
    <w:pPr>
      <w:jc w:val="center"/>
    </w:pPr>
    <w:r>
      <w:rPr>
        <w:sz w:val="20"/>
        <w:szCs w:val="20"/>
      </w:rPr>
      <w:t>Technology Transformation Services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FE98F" w14:textId="77777777" w:rsidR="000D3A62" w:rsidRDefault="000D3A62">
      <w:pPr>
        <w:spacing w:line="240" w:lineRule="auto"/>
      </w:pPr>
      <w:r>
        <w:separator/>
      </w:r>
    </w:p>
  </w:footnote>
  <w:footnote w:type="continuationSeparator" w:id="0">
    <w:p w14:paraId="5E7F05B1" w14:textId="77777777" w:rsidR="000D3A62" w:rsidRDefault="000D3A62">
      <w:pPr>
        <w:spacing w:line="240" w:lineRule="auto"/>
      </w:pPr>
      <w:r>
        <w:continuationSeparator/>
      </w:r>
    </w:p>
  </w:footnote>
  <w:footnote w:id="1">
    <w:p w14:paraId="6BD6285C" w14:textId="77777777" w:rsidR="00C05C1F" w:rsidRDefault="00000000">
      <w:pPr>
        <w:spacing w:line="240" w:lineRule="auto"/>
        <w:rPr>
          <w:sz w:val="20"/>
          <w:szCs w:val="20"/>
        </w:rPr>
      </w:pPr>
      <w:r>
        <w:rPr>
          <w:vertAlign w:val="superscript"/>
        </w:rPr>
        <w:footnoteRef/>
      </w:r>
      <w:r>
        <w:rPr>
          <w:sz w:val="20"/>
          <w:szCs w:val="20"/>
        </w:rPr>
        <w:t xml:space="preserve"> The Cloud Center of Excellence (CCoE) is the amalgamation of several sub-teams or roles.  The CCoE is responsible for setting the direction and policies for the cloud environment. It is responsible for the decision making processes, criteria, and policies involved in the planning, architecture, acquisition, deployment, operation, and management of an organization's cloud environment.</w:t>
      </w:r>
    </w:p>
  </w:footnote>
  <w:footnote w:id="2">
    <w:p w14:paraId="11D74890" w14:textId="77777777" w:rsidR="00C05C1F" w:rsidRDefault="00000000">
      <w:pPr>
        <w:spacing w:line="240" w:lineRule="auto"/>
        <w:rPr>
          <w:sz w:val="20"/>
          <w:szCs w:val="20"/>
        </w:rPr>
      </w:pPr>
      <w:r>
        <w:rPr>
          <w:vertAlign w:val="superscript"/>
        </w:rPr>
        <w:footnoteRef/>
      </w:r>
      <w:r>
        <w:rPr>
          <w:sz w:val="20"/>
          <w:szCs w:val="20"/>
        </w:rPr>
        <w:t xml:space="preserve"> </w:t>
      </w:r>
      <w:hyperlink r:id="rId1" w:anchor="page=219">
        <w:r>
          <w:rPr>
            <w:color w:val="1155CC"/>
            <w:sz w:val="20"/>
            <w:szCs w:val="20"/>
            <w:u w:val="single"/>
          </w:rPr>
          <w:t>Washington State’s Cloud Readiness Assessment</w:t>
        </w:r>
      </w:hyperlink>
      <w:r>
        <w:rPr>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D30D7" w14:textId="77777777" w:rsidR="00B90694" w:rsidRDefault="00B906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7C5FC" w14:textId="77777777" w:rsidR="00C05C1F" w:rsidRDefault="00000000">
    <w:pPr>
      <w:rPr>
        <w:sz w:val="16"/>
        <w:szCs w:val="16"/>
      </w:rPr>
    </w:pPr>
    <w:r>
      <w:rPr>
        <w:noProof/>
        <w:sz w:val="20"/>
        <w:szCs w:val="20"/>
      </w:rPr>
      <w:drawing>
        <wp:inline distT="114300" distB="114300" distL="114300" distR="114300" wp14:anchorId="71DA92D9" wp14:editId="1C298F7E">
          <wp:extent cx="1918811" cy="376238"/>
          <wp:effectExtent l="0" t="0" r="0" b="0"/>
          <wp:docPr id="1" name="image1.png" descr="CoE Logo"/>
          <wp:cNvGraphicFramePr/>
          <a:graphic xmlns:a="http://schemas.openxmlformats.org/drawingml/2006/main">
            <a:graphicData uri="http://schemas.openxmlformats.org/drawingml/2006/picture">
              <pic:pic xmlns:pic="http://schemas.openxmlformats.org/drawingml/2006/picture">
                <pic:nvPicPr>
                  <pic:cNvPr id="1" name="image1.png" descr="CoE Logo"/>
                  <pic:cNvPicPr preferRelativeResize="0"/>
                </pic:nvPicPr>
                <pic:blipFill>
                  <a:blip r:embed="rId1"/>
                  <a:srcRect/>
                  <a:stretch>
                    <a:fillRect/>
                  </a:stretch>
                </pic:blipFill>
                <pic:spPr>
                  <a:xfrm>
                    <a:off x="0" y="0"/>
                    <a:ext cx="1918811" cy="376238"/>
                  </a:xfrm>
                  <a:prstGeom prst="rect">
                    <a:avLst/>
                  </a:prstGeom>
                  <a:ln/>
                </pic:spPr>
              </pic:pic>
            </a:graphicData>
          </a:graphic>
        </wp:inline>
      </w:drawing>
    </w:r>
    <w:r>
      <w:rPr>
        <w:sz w:val="20"/>
        <w:szCs w:val="20"/>
      </w:rPr>
      <w:t xml:space="preserve">                       </w:t>
    </w:r>
    <w:r>
      <w:rPr>
        <w:sz w:val="16"/>
        <w:szCs w:val="16"/>
      </w:rPr>
      <w:t>Sample Characteristics of an Ideal Vendor: Cloud Migration Services</w:t>
    </w:r>
  </w:p>
  <w:p w14:paraId="71332A56" w14:textId="77777777" w:rsidR="00C05C1F" w:rsidRPr="00B90694" w:rsidRDefault="00000000">
    <w:pPr>
      <w:jc w:val="center"/>
      <w:rPr>
        <w:color w:val="C00000"/>
        <w:sz w:val="18"/>
        <w:szCs w:val="18"/>
      </w:rPr>
    </w:pPr>
    <w:r w:rsidRPr="00B90694">
      <w:rPr>
        <w:color w:val="C00000"/>
        <w:sz w:val="18"/>
        <w:szCs w:val="18"/>
        <w:highlight w:val="white"/>
      </w:rPr>
      <w:t>Include appropriate CUI Markings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525AF" w14:textId="77777777" w:rsidR="00C05C1F" w:rsidRDefault="00C05C1F">
    <w:pP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601"/>
    <w:multiLevelType w:val="multilevel"/>
    <w:tmpl w:val="23EC7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39862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C1F"/>
    <w:rsid w:val="000D3A62"/>
    <w:rsid w:val="000E30AA"/>
    <w:rsid w:val="00B90694"/>
    <w:rsid w:val="00C05C1F"/>
    <w:rsid w:val="00D61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81BEF8"/>
  <w15:docId w15:val="{8F07DDCB-E0BD-7F4B-A991-3305CD012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color w:val="333333"/>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046B99"/>
      <w:sz w:val="48"/>
      <w:szCs w:val="48"/>
    </w:rPr>
  </w:style>
  <w:style w:type="paragraph" w:styleId="Heading2">
    <w:name w:val="heading 2"/>
    <w:basedOn w:val="Normal"/>
    <w:next w:val="Normal"/>
    <w:uiPriority w:val="9"/>
    <w:semiHidden/>
    <w:unhideWhenUsed/>
    <w:qFormat/>
    <w:pPr>
      <w:keepNext/>
      <w:keepLines/>
      <w:outlineLvl w:val="1"/>
    </w:pPr>
    <w:rPr>
      <w:b/>
      <w:color w:val="000000"/>
      <w:sz w:val="36"/>
      <w:szCs w:val="36"/>
    </w:rPr>
  </w:style>
  <w:style w:type="paragraph" w:styleId="Heading3">
    <w:name w:val="heading 3"/>
    <w:basedOn w:val="Normal"/>
    <w:next w:val="Normal"/>
    <w:uiPriority w:val="9"/>
    <w:semiHidden/>
    <w:unhideWhenUsed/>
    <w:qFormat/>
    <w:pPr>
      <w:keepNext/>
      <w:keepLines/>
      <w:outlineLvl w:val="2"/>
    </w:pPr>
    <w:rPr>
      <w:color w:val="222222"/>
      <w:sz w:val="28"/>
      <w:szCs w:val="28"/>
      <w:u w:val="single"/>
    </w:rPr>
  </w:style>
  <w:style w:type="paragraph" w:styleId="Heading4">
    <w:name w:val="heading 4"/>
    <w:basedOn w:val="Normal"/>
    <w:next w:val="Normal"/>
    <w:uiPriority w:val="9"/>
    <w:semiHidden/>
    <w:unhideWhenUsed/>
    <w:qFormat/>
    <w:pPr>
      <w:keepNext/>
      <w:keepLines/>
      <w:outlineLvl w:val="3"/>
    </w:pPr>
    <w:rPr>
      <w:b/>
      <w:color w:val="444444"/>
    </w:rPr>
  </w:style>
  <w:style w:type="paragraph" w:styleId="Heading5">
    <w:name w:val="heading 5"/>
    <w:basedOn w:val="Normal"/>
    <w:next w:val="Normal"/>
    <w:uiPriority w:val="9"/>
    <w:semiHidden/>
    <w:unhideWhenUsed/>
    <w:qFormat/>
    <w:pPr>
      <w:keepNext/>
      <w:keepLines/>
      <w:ind w:left="15"/>
      <w:outlineLvl w:val="4"/>
    </w:pPr>
    <w:rPr>
      <w:b/>
      <w:color w:val="046B99"/>
    </w:rPr>
  </w:style>
  <w:style w:type="paragraph" w:styleId="Heading6">
    <w:name w:val="heading 6"/>
    <w:basedOn w:val="Normal"/>
    <w:next w:val="Normal"/>
    <w:uiPriority w:val="9"/>
    <w:semiHidden/>
    <w:unhideWhenUsed/>
    <w:qFormat/>
    <w:pPr>
      <w:keepNext/>
      <w:keepLines/>
      <w:outlineLvl w:val="5"/>
    </w:pPr>
    <w:rPr>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jc w:val="center"/>
    </w:pPr>
    <w:rPr>
      <w:b/>
      <w:color w:val="1C304A"/>
      <w:sz w:val="72"/>
      <w:szCs w:val="72"/>
    </w:rPr>
  </w:style>
  <w:style w:type="paragraph" w:styleId="Subtitle">
    <w:name w:val="Subtitle"/>
    <w:basedOn w:val="Normal"/>
    <w:next w:val="Normal"/>
    <w:uiPriority w:val="11"/>
    <w:qFormat/>
    <w:pPr>
      <w:keepNext/>
      <w:keepLines/>
      <w:jc w:val="center"/>
    </w:pPr>
    <w:rPr>
      <w:b/>
      <w:sz w:val="28"/>
      <w:szCs w:val="28"/>
    </w:rPr>
  </w:style>
  <w:style w:type="paragraph" w:styleId="Header">
    <w:name w:val="header"/>
    <w:basedOn w:val="Normal"/>
    <w:link w:val="HeaderChar"/>
    <w:uiPriority w:val="99"/>
    <w:unhideWhenUsed/>
    <w:rsid w:val="00B90694"/>
    <w:pPr>
      <w:tabs>
        <w:tab w:val="center" w:pos="4680"/>
        <w:tab w:val="right" w:pos="9360"/>
      </w:tabs>
      <w:spacing w:line="240" w:lineRule="auto"/>
    </w:pPr>
  </w:style>
  <w:style w:type="character" w:customStyle="1" w:styleId="HeaderChar">
    <w:name w:val="Header Char"/>
    <w:basedOn w:val="DefaultParagraphFont"/>
    <w:link w:val="Header"/>
    <w:uiPriority w:val="99"/>
    <w:rsid w:val="00B90694"/>
  </w:style>
  <w:style w:type="paragraph" w:styleId="Footer">
    <w:name w:val="footer"/>
    <w:basedOn w:val="Normal"/>
    <w:link w:val="FooterChar"/>
    <w:uiPriority w:val="99"/>
    <w:unhideWhenUsed/>
    <w:rsid w:val="00B90694"/>
    <w:pPr>
      <w:tabs>
        <w:tab w:val="center" w:pos="4680"/>
        <w:tab w:val="right" w:pos="9360"/>
      </w:tabs>
      <w:spacing w:line="240" w:lineRule="auto"/>
    </w:pPr>
  </w:style>
  <w:style w:type="character" w:customStyle="1" w:styleId="FooterChar">
    <w:name w:val="Footer Char"/>
    <w:basedOn w:val="DefaultParagraphFont"/>
    <w:link w:val="Footer"/>
    <w:uiPriority w:val="99"/>
    <w:rsid w:val="00B90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ocio.wa.gov/sites/default/files/public/Reports/Unisys%20Deliverable%203%20Statewide%20Cloud%20Computing%20Readiness%20Assessment-FINAL-103020.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2023-03-13T19:23:00Z</dcterms:created>
  <dcterms:modified xsi:type="dcterms:W3CDTF">2023-03-13T19:44:00Z</dcterms:modified>
</cp:coreProperties>
</file>