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5610225" cy="8353425"/>
                <wp:effectExtent b="0" l="0" r="0" t="0"/>
                <wp:wrapSquare wrapText="bothSides" distB="0" distT="0" distL="114300" distR="114300"/>
                <wp:docPr id="2" name=""/>
                <a:graphic>
                  <a:graphicData uri="http://schemas.microsoft.com/office/word/2010/wordprocessingShape">
                    <wps:wsp>
                      <wps:cNvSpPr/>
                      <wps:cNvPr id="3" name="Shape 3"/>
                      <wps:spPr>
                        <a:xfrm>
                          <a:off x="2545650" y="0"/>
                          <a:ext cx="5600700" cy="7560000"/>
                        </a:xfrm>
                        <a:custGeom>
                          <a:rect b="b" l="l" r="r" t="t"/>
                          <a:pathLst>
                            <a:path extrusionOk="0" h="8343900" w="5600700">
                              <a:moveTo>
                                <a:pt x="0" y="0"/>
                              </a:moveTo>
                              <a:lnTo>
                                <a:pt x="0" y="8343900"/>
                              </a:lnTo>
                              <a:lnTo>
                                <a:pt x="5600700" y="8343900"/>
                              </a:lnTo>
                              <a:lnTo>
                                <a:pt x="5600700" y="0"/>
                              </a:lnTo>
                              <a:close/>
                            </a:path>
                          </a:pathLst>
                        </a:custGeom>
                        <a:noFill/>
                        <a:ln>
                          <a:noFill/>
                        </a:ln>
                      </wps:spPr>
                      <wps:txbx>
                        <w:txbxContent>
                          <w:p w:rsidR="00000000" w:rsidDel="00000000" w:rsidP="00000000" w:rsidRDefault="00000000" w:rsidRPr="00000000">
                            <w:pPr>
                              <w:spacing w:after="200" w:before="0" w:line="240"/>
                              <w:ind w:left="-5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Bhawanjit Brar of JAAN Biotherapeutics L.LC.</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Company Name: Jaan Biotherapeutics L.L.C.</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Product Name: JBT-miR1</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Company Address: 4445 Eastgate Mall, Suite 200, San Diego, CA 92121</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Place of Incorporation:  1267 Willis Street, STE 200, Redding, CA, 96001</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Telephone: 8588693564</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Email. </w:t>
                            </w: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Bhawanjit.Brar@gmail.com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or </w:t>
                            </w:r>
                            <w:r w:rsidDel="00000000" w:rsidR="00000000" w:rsidRPr="00000000">
                              <w:rPr>
                                <w:rFonts w:ascii="Times New Roman" w:cs="Times New Roman" w:eastAsia="Times New Roman" w:hAnsi="Times New Roman"/>
                                <w:b w:val="0"/>
                                <w:i w:val="0"/>
                                <w:smallCaps w:val="0"/>
                                <w:strike w:val="0"/>
                                <w:color w:val="0000ff"/>
                                <w:sz w:val="24"/>
                                <w:u w:val="single"/>
                                <w:vertAlign w:val="baseline"/>
                              </w:rPr>
                              <w:t xml:space="preserve">info@JaanBio.com</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Book Antiqua" w:cs="Book Antiqua" w:eastAsia="Book Antiqua" w:hAnsi="Book Antiqua"/>
                                <w:b w:val="1"/>
                                <w:i w:val="1"/>
                                <w:smallCaps w:val="0"/>
                                <w:strike w:val="0"/>
                                <w:color w:val="000000"/>
                                <w:sz w:val="22"/>
                                <w:vertAlign w:val="baseline"/>
                              </w:rPr>
                              <w:t xml:space="preserve">JAAN </w:t>
                            </w:r>
                            <w:r w:rsidDel="00000000" w:rsidR="00000000" w:rsidRPr="00000000">
                              <w:rPr>
                                <w:rFonts w:ascii="Book Antiqua" w:cs="Book Antiqua" w:eastAsia="Book Antiqua" w:hAnsi="Book Antiqua"/>
                                <w:b w:val="0"/>
                                <w:i w:val="0"/>
                                <w:smallCaps w:val="0"/>
                                <w:strike w:val="0"/>
                                <w:color w:val="000000"/>
                                <w:sz w:val="22"/>
                                <w:vertAlign w:val="baseline"/>
                              </w:rPr>
                              <w:t xml:space="preserve">was established on February 10, 2015 in San Diego, California. It is a woman owned and founded biotechnology small business.  JBT’s strength is a team who have a combined 215 years of experience in the development and commercialization of “first in class” therapies. As a preclinical stage company, its mission is to develop novel therapies, with unique mechanisms of action that have the potential to regenerate damaged heart muscle and treat Ischemic heart disease (IHD), the largest single cause of death in the world and an unmet medical need. It is a disease that affects both sexes and is the No. 1 cause of death for U.S. women.  JBT has exclusively licensed technology from the Salk Institute which involves inhibition of four small pieces of ribonucleic acids (RNAs) or microRNAs (miR) that activate an endogenous cardiac muscle regeneration process that was shut down in the adult human heart during evolution. Proof of concept preclinical data from the Salk Institute has shown that adeno-associated virus (AAV) delivery of the four miR inhibitors to damaged cardiac muscle can result in an increase in heart function and reduce scarring for up to three months post permanent injury to the heart. Although JBT’s current focus is for the treatment of IHD after a heart attack, it is believed that the therapy could be applied to other cardiac diseases where cardiac muscle regeneration is required. With our academic and other strategic alliances in place, JBT expects to develop two therapies ready for clinical trials in three years and expand its pipeline further by patent licensing and in-house development of JBTs proprietary technology.  </w:t>
                            </w:r>
                            <w:r w:rsidDel="00000000" w:rsidR="00000000" w:rsidRPr="00000000">
                              <w:rPr>
                                <w:rFonts w:ascii="Book Antiqua" w:cs="Book Antiqua" w:eastAsia="Book Antiqua" w:hAnsi="Book Antiqua"/>
                                <w:b w:val="0"/>
                                <w:i w:val="0"/>
                                <w:smallCaps w:val="0"/>
                                <w:strike w:val="0"/>
                                <w:color w:val="0000ff"/>
                                <w:sz w:val="22"/>
                                <w:u w:val="single"/>
                                <w:vertAlign w:val="baseline"/>
                              </w:rPr>
                              <w:t xml:space="preserve">www.jaanbio.com</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Book Antiqua" w:cs="Book Antiqua" w:eastAsia="Book Antiqua" w:hAnsi="Book Antiqua"/>
                                <w:b w:val="0"/>
                                <w:i w:val="0"/>
                                <w:smallCaps w:val="0"/>
                                <w:strike w:val="0"/>
                                <w:color w:val="000000"/>
                                <w:sz w:val="22"/>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	InSoCal CONNECT</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26442 Beckman Court</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Murrieta, CA 92562</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Mark Maines- Chief Operating Officer</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(805) 252-7964</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mmaines@insocalconnect.org</w:t>
                            </w:r>
                          </w:p>
                          <w:p w:rsidR="00000000" w:rsidDel="00000000" w:rsidP="00000000" w:rsidRDefault="00000000" w:rsidRPr="00000000">
                            <w:pPr>
                              <w:spacing w:after="20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ff"/>
                                <w:sz w:val="24"/>
                                <w:u w:val="single"/>
                                <w:vertAlign w:val="baseline"/>
                              </w:rPr>
                              <w:t xml:space="preserve">www.insocalconnect.org</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  JAAN Biotherapeutics </w:t>
                            </w:r>
                            <w:r w:rsidDel="00000000" w:rsidR="00000000" w:rsidRPr="00000000">
                              <w:rPr>
                                <w:rFonts w:ascii="Book Antiqua" w:cs="Book Antiqua" w:eastAsia="Book Antiqua" w:hAnsi="Book Antiqua"/>
                                <w:b w:val="0"/>
                                <w:i w:val="0"/>
                                <w:smallCaps w:val="0"/>
                                <w:strike w:val="0"/>
                                <w:color w:val="000000"/>
                                <w:sz w:val="22"/>
                                <w:vertAlign w:val="baseline"/>
                              </w:rPr>
                              <w:t xml:space="preserve">mission is to develop novel therapies, with unique mechanisms of action that have the potential to regenerate damaged heart muscle and treat Ischemic heart disease (IHD), the largest single cause of death in the world and an unmet medical need.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5610225" cy="83534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10225" cy="8353425"/>
                        </a:xfrm>
                        <a:prstGeom prst="rect"/>
                        <a:ln/>
                      </pic:spPr>
                    </pic:pic>
                  </a:graphicData>
                </a:graphic>
              </wp:anchor>
            </w:drawing>
          </mc:Fallback>
        </mc:AlternateContent>
      </w:r>
    </w:p>
    <w:p w:rsidR="00000000" w:rsidDel="00000000" w:rsidP="00000000" w:rsidRDefault="00000000" w:rsidRPr="00000000" w14:paraId="00000003">
      <w:pPr>
        <w:spacing w:after="0" w:lineRule="auto"/>
        <w:rPr/>
      </w:pPr>
      <w:bookmarkStart w:colFirst="0" w:colLast="0" w:name="_gjdgxs" w:id="0"/>
      <w:bookmarkEnd w:id="0"/>
      <w:r w:rsidDel="00000000" w:rsidR="00000000" w:rsidRPr="00000000">
        <w:rPr>
          <w:rtl w:val="0"/>
        </w:rPr>
        <w:tab/>
      </w:r>
    </w:p>
    <w:sectPr>
      <w:headerReference r:id="rId7" w:type="default"/>
      <w:footerReference r:id="rId8" w:type="default"/>
      <w:pgSz w:h="15840" w:w="12240"/>
      <w:pgMar w:bottom="720" w:top="1008" w:left="864" w:right="57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InSoCal CONNECT  |  26442 Beckman Court  |  Murrieta CA 92562  |  800-760-7735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-285749</wp:posOffset>
          </wp:positionV>
          <wp:extent cx="3346813" cy="819150"/>
          <wp:effectExtent b="0" l="0" r="0" t="0"/>
          <wp:wrapSquare wrapText="bothSides" distB="0" distT="0" distL="0" distR="0"/>
          <wp:docPr descr="letterhead2.gif" id="3" name="image1.gif"/>
          <a:graphic>
            <a:graphicData uri="http://schemas.openxmlformats.org/drawingml/2006/picture">
              <pic:pic>
                <pic:nvPicPr>
                  <pic:cNvPr descr="letterhead2.gif" id="0" name="image1.gif"/>
                  <pic:cNvPicPr preferRelativeResize="0"/>
                </pic:nvPicPr>
                <pic:blipFill>
                  <a:blip r:embed="rId1"/>
                  <a:srcRect b="0" l="0" r="0" t="0"/>
                  <a:stretch>
                    <a:fillRect/>
                  </a:stretch>
                </pic:blipFill>
                <pic:spPr>
                  <a:xfrm>
                    <a:off x="0" y="0"/>
                    <a:ext cx="3346813" cy="8191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6673785" y="4608675"/>
                        <a:ext cx="0" cy="7972425"/>
                      </a:xfrm>
                      <a:prstGeom prst="straightConnector1">
                        <a:avLst/>
                      </a:prstGeom>
                      <a:solidFill>
                        <a:srgbClr val="FFFFFF"/>
                      </a:solidFill>
                      <a:ln cap="flat" cmpd="sng" w="12700">
                        <a:solidFill>
                          <a:srgbClr val="F68C3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