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5" w:line="240" w:lineRule="auto"/>
        <w:rPr>
          <w:rFonts w:ascii="Arial" w:cs="Arial" w:eastAsia="Arial" w:hAnsi="Arial"/>
          <w:color w:val="3f3f3f"/>
          <w:sz w:val="24"/>
          <w:szCs w:val="24"/>
        </w:rPr>
      </w:pPr>
      <w:r w:rsidDel="00000000" w:rsidR="00000000" w:rsidRPr="00000000">
        <w:rPr>
          <w:rFonts w:ascii="Arial" w:cs="Arial" w:eastAsia="Arial" w:hAnsi="Arial"/>
          <w:b w:val="1"/>
          <w:color w:val="3f3f3f"/>
          <w:sz w:val="24"/>
          <w:szCs w:val="24"/>
          <w:rtl w:val="0"/>
        </w:rPr>
        <w:t xml:space="preserve">(i) Cincinnati, OH Winner</w:t>
      </w:r>
      <w:r w:rsidDel="00000000" w:rsidR="00000000" w:rsidRPr="00000000">
        <w:rPr>
          <w:rFonts w:ascii="Arial" w:cs="Arial" w:eastAsia="Arial" w:hAnsi="Arial"/>
          <w:color w:val="3f3f3f"/>
          <w:sz w:val="24"/>
          <w:szCs w:val="24"/>
          <w:rtl w:val="0"/>
        </w:rPr>
        <w:t xml:space="preserve">:</w:t>
      </w:r>
    </w:p>
    <w:p w:rsidR="00000000" w:rsidDel="00000000" w:rsidP="00000000" w:rsidRDefault="00000000" w:rsidRPr="00000000" w14:paraId="00000002">
      <w:pPr>
        <w:spacing w:after="45" w:line="240" w:lineRule="auto"/>
        <w:rPr>
          <w:rFonts w:ascii="Arial" w:cs="Arial" w:eastAsia="Arial" w:hAnsi="Arial"/>
          <w:b w:val="1"/>
          <w:color w:val="3f3f3f"/>
          <w:sz w:val="24"/>
          <w:szCs w:val="24"/>
        </w:rPr>
      </w:pPr>
      <w:r w:rsidDel="00000000" w:rsidR="00000000" w:rsidRPr="00000000">
        <w:rPr>
          <w:rtl w:val="0"/>
        </w:rPr>
      </w:r>
    </w:p>
    <w:p w:rsidR="00000000" w:rsidDel="00000000" w:rsidP="00000000" w:rsidRDefault="00000000" w:rsidRPr="00000000" w14:paraId="00000003">
      <w:pPr>
        <w:spacing w:after="45" w:line="240" w:lineRule="auto"/>
        <w:rPr>
          <w:rFonts w:ascii="Arial" w:cs="Arial" w:eastAsia="Arial" w:hAnsi="Arial"/>
          <w:color w:val="3f3f3f"/>
          <w:sz w:val="24"/>
          <w:szCs w:val="24"/>
        </w:rPr>
      </w:pPr>
      <w:r w:rsidDel="00000000" w:rsidR="00000000" w:rsidRPr="00000000">
        <w:rPr>
          <w:rFonts w:ascii="Arial" w:cs="Arial" w:eastAsia="Arial" w:hAnsi="Arial"/>
          <w:b w:val="1"/>
          <w:color w:val="3f3f3f"/>
          <w:sz w:val="24"/>
          <w:szCs w:val="24"/>
          <w:rtl w:val="0"/>
        </w:rPr>
        <w:t xml:space="preserve">Medacheck, LLC</w:t>
      </w:r>
      <w:r w:rsidDel="00000000" w:rsidR="00000000" w:rsidRPr="00000000">
        <w:rPr>
          <w:rFonts w:ascii="Arial" w:cs="Arial" w:eastAsia="Arial" w:hAnsi="Arial"/>
          <w:color w:val="3f3f3f"/>
          <w:sz w:val="24"/>
          <w:szCs w:val="24"/>
          <w:rtl w:val="0"/>
        </w:rPr>
        <w:t xml:space="preserve">.</w:t>
      </w:r>
    </w:p>
    <w:p w:rsidR="00000000" w:rsidDel="00000000" w:rsidP="00000000" w:rsidRDefault="00000000" w:rsidRPr="00000000" w14:paraId="00000004">
      <w:pPr>
        <w:spacing w:after="45" w:line="240" w:lineRule="auto"/>
        <w:rPr>
          <w:rFonts w:ascii="Arial" w:cs="Arial" w:eastAsia="Arial" w:hAnsi="Arial"/>
          <w:color w:val="3f3f3f"/>
          <w:sz w:val="24"/>
          <w:szCs w:val="24"/>
        </w:rPr>
      </w:pPr>
      <w:r w:rsidDel="00000000" w:rsidR="00000000" w:rsidRPr="00000000">
        <w:rPr>
          <w:rFonts w:ascii="Arial" w:cs="Arial" w:eastAsia="Arial" w:hAnsi="Arial"/>
          <w:color w:val="3f3f3f"/>
          <w:sz w:val="24"/>
          <w:szCs w:val="24"/>
          <w:rtl w:val="0"/>
        </w:rPr>
        <w:t xml:space="preserve">Owner: Jeffrey Shepard E-mail: </w:t>
      </w:r>
      <w:hyperlink r:id="rId6">
        <w:r w:rsidDel="00000000" w:rsidR="00000000" w:rsidRPr="00000000">
          <w:rPr>
            <w:rFonts w:ascii="Arial" w:cs="Arial" w:eastAsia="Arial" w:hAnsi="Arial"/>
            <w:color w:val="0000ff"/>
            <w:sz w:val="24"/>
            <w:szCs w:val="24"/>
            <w:u w:val="single"/>
            <w:rtl w:val="0"/>
          </w:rPr>
          <w:t xml:space="preserve">jeffrey@medacheck.com</w:t>
        </w:r>
      </w:hyperlink>
      <w:r w:rsidDel="00000000" w:rsidR="00000000" w:rsidRPr="00000000">
        <w:rPr>
          <w:rtl w:val="0"/>
        </w:rPr>
      </w:r>
    </w:p>
    <w:p w:rsidR="00000000" w:rsidDel="00000000" w:rsidP="00000000" w:rsidRDefault="00000000" w:rsidRPr="00000000" w14:paraId="00000005">
      <w:pPr>
        <w:spacing w:after="45" w:line="240" w:lineRule="auto"/>
        <w:rPr>
          <w:rFonts w:ascii="Arial" w:cs="Arial" w:eastAsia="Arial" w:hAnsi="Arial"/>
          <w:color w:val="3f3f3f"/>
          <w:sz w:val="24"/>
          <w:szCs w:val="24"/>
        </w:rPr>
      </w:pPr>
      <w:r w:rsidDel="00000000" w:rsidR="00000000" w:rsidRPr="00000000">
        <w:rPr>
          <w:rFonts w:ascii="Arial" w:cs="Arial" w:eastAsia="Arial" w:hAnsi="Arial"/>
          <w:color w:val="3f3f3f"/>
          <w:sz w:val="24"/>
          <w:szCs w:val="24"/>
          <w:rtl w:val="0"/>
        </w:rPr>
        <w:t xml:space="preserve">Address (home or business)</w:t>
      </w:r>
    </w:p>
    <w:p w:rsidR="00000000" w:rsidDel="00000000" w:rsidP="00000000" w:rsidRDefault="00000000" w:rsidRPr="00000000" w14:paraId="00000006">
      <w:pPr>
        <w:spacing w:after="45" w:line="240" w:lineRule="auto"/>
        <w:rPr>
          <w:rFonts w:ascii="Arial" w:cs="Arial" w:eastAsia="Arial" w:hAnsi="Arial"/>
          <w:color w:val="3f3f3f"/>
          <w:sz w:val="24"/>
          <w:szCs w:val="24"/>
        </w:rPr>
      </w:pPr>
      <w:r w:rsidDel="00000000" w:rsidR="00000000" w:rsidRPr="00000000">
        <w:rPr>
          <w:rFonts w:ascii="Arial" w:cs="Arial" w:eastAsia="Arial" w:hAnsi="Arial"/>
          <w:color w:val="3f3f3f"/>
          <w:sz w:val="24"/>
          <w:szCs w:val="24"/>
          <w:rtl w:val="0"/>
        </w:rPr>
        <w:t xml:space="preserve">602 Main Street </w:t>
        <w:br w:type="textWrapping"/>
        <w:t xml:space="preserve">Fourth Floor Suite 401</w:t>
        <w:br w:type="textWrapping"/>
        <w:t xml:space="preserve">Cincinnati, OH. 45202</w:t>
      </w:r>
    </w:p>
    <w:p w:rsidR="00000000" w:rsidDel="00000000" w:rsidP="00000000" w:rsidRDefault="00000000" w:rsidRPr="00000000" w14:paraId="00000007">
      <w:pPr>
        <w:spacing w:after="45" w:line="240" w:lineRule="auto"/>
        <w:rPr>
          <w:rFonts w:ascii="Arial" w:cs="Arial" w:eastAsia="Arial" w:hAnsi="Arial"/>
          <w:color w:val="3f3f3f"/>
          <w:sz w:val="24"/>
          <w:szCs w:val="24"/>
        </w:rPr>
      </w:pPr>
      <w:r w:rsidDel="00000000" w:rsidR="00000000" w:rsidRPr="00000000">
        <w:rPr>
          <w:rFonts w:ascii="Arial" w:cs="Arial" w:eastAsia="Arial" w:hAnsi="Arial"/>
          <w:color w:val="3f3f3f"/>
          <w:sz w:val="24"/>
          <w:szCs w:val="24"/>
          <w:rtl w:val="0"/>
        </w:rPr>
        <w:t xml:space="preserve">Phone Number: (513) 488-1111</w:t>
      </w:r>
    </w:p>
    <w:p w:rsidR="00000000" w:rsidDel="00000000" w:rsidP="00000000" w:rsidRDefault="00000000" w:rsidRPr="00000000" w14:paraId="00000008">
      <w:pPr>
        <w:spacing w:after="45" w:line="240" w:lineRule="auto"/>
        <w:rPr>
          <w:rFonts w:ascii="Arial" w:cs="Arial" w:eastAsia="Arial" w:hAnsi="Arial"/>
          <w:color w:val="3f3f3f"/>
          <w:sz w:val="24"/>
          <w:szCs w:val="24"/>
        </w:rPr>
      </w:pPr>
      <w:r w:rsidDel="00000000" w:rsidR="00000000" w:rsidRPr="00000000">
        <w:rPr>
          <w:rFonts w:ascii="Arial" w:cs="Arial" w:eastAsia="Arial" w:hAnsi="Arial"/>
          <w:color w:val="3f3f3f"/>
          <w:sz w:val="24"/>
          <w:szCs w:val="24"/>
          <w:rtl w:val="0"/>
        </w:rPr>
        <w:t xml:space="preserve">Business Plan</w:t>
      </w:r>
    </w:p>
    <w:p w:rsidR="00000000" w:rsidDel="00000000" w:rsidP="00000000" w:rsidRDefault="00000000" w:rsidRPr="00000000" w14:paraId="00000009">
      <w:pPr>
        <w:spacing w:after="45" w:line="240" w:lineRule="auto"/>
        <w:rPr>
          <w:rFonts w:ascii="Arial" w:cs="Arial" w:eastAsia="Arial" w:hAnsi="Arial"/>
          <w:color w:val="3f3f3f"/>
          <w:sz w:val="24"/>
          <w:szCs w:val="24"/>
        </w:rPr>
      </w:pPr>
      <w:hyperlink r:id="rId7">
        <w:r w:rsidDel="00000000" w:rsidR="00000000" w:rsidRPr="00000000">
          <w:rPr>
            <w:rFonts w:ascii="Arial" w:cs="Arial" w:eastAsia="Arial" w:hAnsi="Arial"/>
            <w:color w:val="0000ff"/>
            <w:sz w:val="24"/>
            <w:szCs w:val="24"/>
            <w:u w:val="single"/>
            <w:rtl w:val="0"/>
          </w:rPr>
          <w:t xml:space="preserve">MedaCheck Executive Summary 4.pdf</w:t>
        </w:r>
      </w:hyperlink>
      <w:r w:rsidDel="00000000" w:rsidR="00000000" w:rsidRPr="00000000">
        <w:rPr>
          <w:rtl w:val="0"/>
        </w:rPr>
      </w:r>
    </w:p>
    <w:p w:rsidR="00000000" w:rsidDel="00000000" w:rsidP="00000000" w:rsidRDefault="00000000" w:rsidRPr="00000000" w14:paraId="0000000A">
      <w:pPr>
        <w:spacing w:after="45" w:line="240" w:lineRule="auto"/>
        <w:rPr>
          <w:rFonts w:ascii="Arial" w:cs="Arial" w:eastAsia="Arial" w:hAnsi="Arial"/>
          <w:color w:val="3f3f3f"/>
          <w:sz w:val="24"/>
          <w:szCs w:val="24"/>
        </w:rPr>
      </w:pPr>
      <w:r w:rsidDel="00000000" w:rsidR="00000000" w:rsidRPr="00000000">
        <w:rPr>
          <w:rFonts w:ascii="Arial" w:cs="Arial" w:eastAsia="Arial" w:hAnsi="Arial"/>
          <w:color w:val="3f3f3f"/>
          <w:sz w:val="24"/>
          <w:szCs w:val="24"/>
          <w:rtl w:val="0"/>
        </w:rPr>
        <w:t xml:space="preserve">Website URL (if applicable) </w:t>
      </w:r>
      <w:hyperlink r:id="rId8">
        <w:r w:rsidDel="00000000" w:rsidR="00000000" w:rsidRPr="00000000">
          <w:rPr>
            <w:rFonts w:ascii="Arial" w:cs="Arial" w:eastAsia="Arial" w:hAnsi="Arial"/>
            <w:color w:val="0000ff"/>
            <w:sz w:val="24"/>
            <w:szCs w:val="24"/>
            <w:u w:val="single"/>
            <w:rtl w:val="0"/>
          </w:rPr>
          <w:t xml:space="preserve">www.medacheck.com</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Arial" w:cs="Arial" w:eastAsia="Arial" w:hAnsi="Arial"/>
          <w:sz w:val="24"/>
          <w:szCs w:val="24"/>
        </w:rPr>
      </w:pPr>
      <w:r w:rsidDel="00000000" w:rsidR="00000000" w:rsidRPr="00000000">
        <w:rPr>
          <w:rtl w:val="0"/>
        </w:rPr>
        <w:t xml:space="preserve">(ii) </w:t>
      </w:r>
      <w:r w:rsidDel="00000000" w:rsidR="00000000" w:rsidRPr="00000000">
        <w:rPr>
          <w:rFonts w:ascii="Arial" w:cs="Arial" w:eastAsia="Arial" w:hAnsi="Arial"/>
          <w:b w:val="1"/>
          <w:sz w:val="24"/>
          <w:szCs w:val="24"/>
          <w:rtl w:val="0"/>
        </w:rPr>
        <w:t xml:space="preserve">HOST Organization</w:t>
      </w: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Fonts w:ascii="Arial" w:cs="Arial" w:eastAsia="Arial" w:hAnsi="Arial"/>
          <w:rtl w:val="0"/>
        </w:rPr>
        <w:t xml:space="preserve">HCDC, Inc. 1776 Mentor Ave, Suite 100, Cincinnati. OH, 45212.</w:t>
      </w:r>
    </w:p>
    <w:p w:rsidR="00000000" w:rsidDel="00000000" w:rsidP="00000000" w:rsidRDefault="00000000" w:rsidRPr="00000000" w14:paraId="0000000E">
      <w:pPr>
        <w:numPr>
          <w:ilvl w:val="0"/>
          <w:numId w:val="1"/>
        </w:numPr>
        <w:ind w:left="720" w:hanging="360"/>
        <w:rPr/>
      </w:pPr>
      <w:hyperlink r:id="rId9">
        <w:r w:rsidDel="00000000" w:rsidR="00000000" w:rsidRPr="00000000">
          <w:rPr>
            <w:rFonts w:ascii="Arial" w:cs="Arial" w:eastAsia="Arial" w:hAnsi="Arial"/>
            <w:color w:val="0000ff"/>
            <w:u w:val="single"/>
            <w:rtl w:val="0"/>
          </w:rPr>
          <w:t xml:space="preserve">www.hcdc.com</w:t>
        </w:r>
      </w:hyperlink>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Fonts w:ascii="Arial" w:cs="Arial" w:eastAsia="Arial" w:hAnsi="Arial"/>
          <w:rtl w:val="0"/>
        </w:rPr>
        <w:t xml:space="preserve">POC Karla Boldery, </w:t>
      </w:r>
      <w:hyperlink r:id="rId10">
        <w:r w:rsidDel="00000000" w:rsidR="00000000" w:rsidRPr="00000000">
          <w:rPr>
            <w:rFonts w:ascii="Arial" w:cs="Arial" w:eastAsia="Arial" w:hAnsi="Arial"/>
            <w:color w:val="0000ff"/>
            <w:u w:val="single"/>
            <w:rtl w:val="0"/>
          </w:rPr>
          <w:t xml:space="preserve">kboldery@hcdc.com</w:t>
        </w:r>
      </w:hyperlink>
      <w:r w:rsidDel="00000000" w:rsidR="00000000" w:rsidRPr="00000000">
        <w:rPr>
          <w:rFonts w:ascii="Arial" w:cs="Arial" w:eastAsia="Arial" w:hAnsi="Arial"/>
          <w:rtl w:val="0"/>
        </w:rPr>
        <w:t xml:space="preserve">, </w:t>
      </w:r>
      <w:hyperlink r:id="rId11">
        <w:r w:rsidDel="00000000" w:rsidR="00000000" w:rsidRPr="00000000">
          <w:rPr>
            <w:rFonts w:ascii="Arial" w:cs="Arial" w:eastAsia="Arial" w:hAnsi="Arial"/>
            <w:color w:val="0000ff"/>
            <w:u w:val="single"/>
            <w:rtl w:val="0"/>
          </w:rPr>
          <w:t xml:space="preserve">513-631-8292</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(iii) </w:t>
      </w:r>
      <w:r w:rsidDel="00000000" w:rsidR="00000000" w:rsidRPr="00000000">
        <w:rPr>
          <w:rFonts w:ascii="Arial" w:cs="Arial" w:eastAsia="Arial" w:hAnsi="Arial"/>
          <w:b w:val="1"/>
          <w:sz w:val="24"/>
          <w:szCs w:val="24"/>
          <w:rtl w:val="0"/>
        </w:rPr>
        <w:t xml:space="preserve">Description of product</w:t>
      </w:r>
      <w:r w:rsidDel="00000000" w:rsidR="00000000" w:rsidRPr="00000000">
        <w:rPr>
          <w:rtl w:val="0"/>
        </w:rPr>
      </w:r>
    </w:p>
    <w:p w:rsidR="00000000" w:rsidDel="00000000" w:rsidP="00000000" w:rsidRDefault="00000000" w:rsidRPr="00000000" w14:paraId="00000011">
      <w:pPr>
        <w:spacing w:after="45" w:before="280" w:lineRule="auto"/>
        <w:rPr>
          <w:rFonts w:ascii="Arial" w:cs="Arial" w:eastAsia="Arial" w:hAnsi="Arial"/>
          <w:color w:val="3f3f3f"/>
          <w:sz w:val="24"/>
          <w:szCs w:val="24"/>
        </w:rPr>
      </w:pPr>
      <w:r w:rsidDel="00000000" w:rsidR="00000000" w:rsidRPr="00000000">
        <w:rPr>
          <w:rFonts w:ascii="Arial" w:cs="Arial" w:eastAsia="Arial" w:hAnsi="Arial"/>
          <w:color w:val="3f3f3f"/>
          <w:sz w:val="24"/>
          <w:szCs w:val="24"/>
          <w:rtl w:val="0"/>
        </w:rPr>
        <w:t xml:space="preserve">MedaCheck is an easy-to-use, medication management system for seniors. MedaCheck is the only solution that combines technology with behavior support, helping seniors preserve their health and independence. MedaCheck provides a reminder and management system for seniors so that they take the right dose, at the right time, every time. MedaCheck’s customized and timely medication alerts also ensure seniors safely manage all their ongoing medicine and drugs. Today, the value of the informal care that women provide ranges from $148 billion to $188 billion annually (1). Women provide the majority of informal care to spouses, parents, parents-in-law, friends and neighbors, and they play many roles while caregiving (2). An estimated 66 percent of caregivers are female (3). Although me also do provide assistance, female caregivers spend as much as 50 percent more time providing care than their male caregiver counterparts (4). Through the progressive reminder system, MedaCheck supports female caregivers, giving them peace of mind about the loved ones they care for (ongoing status of their loved ones' medication), and MedaCheck notifies them when their loved ones do not take a medication as instructed. </w:t>
      </w:r>
    </w:p>
    <w:p w:rsidR="00000000" w:rsidDel="00000000" w:rsidP="00000000" w:rsidRDefault="00000000" w:rsidRPr="00000000" w14:paraId="00000012">
      <w:pPr>
        <w:spacing w:after="45" w:before="280" w:lineRule="auto"/>
        <w:rPr>
          <w:rFonts w:ascii="Arial" w:cs="Arial" w:eastAsia="Arial" w:hAnsi="Arial"/>
          <w:color w:val="3f3f3f"/>
          <w:sz w:val="24"/>
          <w:szCs w:val="24"/>
        </w:rPr>
      </w:pPr>
      <w:r w:rsidDel="00000000" w:rsidR="00000000" w:rsidRPr="00000000">
        <w:rPr>
          <w:rFonts w:ascii="Arial" w:cs="Arial" w:eastAsia="Arial" w:hAnsi="Arial"/>
          <w:color w:val="3f3f3f"/>
          <w:sz w:val="24"/>
          <w:szCs w:val="24"/>
          <w:rtl w:val="0"/>
        </w:rPr>
        <w:t xml:space="preserve">Sources- 1. Calculation based on estimates of women caregivers as a percentage of all caregivers ranging from 59% to 75% and findings from: Arno, P. S. (2002, February). The economic value of informal caregiving, U.S., 2000. Paper presented at the annual meeting of the American Association for Geriatric Psychiatry, Florida. 2. Navaie-Waliser, M., Feldman, P. H., Gould, D. A., Levine, C. L., Kuerbis A. N., &amp; Donelan, K. (2002). When the caregiver needs care: The plight of vulnerable caregivers. American Journal of Public Health, 92(3), 409–413. 3. The National Alliance for Caregiving and AARP. (2009). Caregiving in the U.S. National Alliance for Caregiving. Washington, D.C. 4. Family Caregiver Alliance. (2001). Selected Caregiver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(iv) HCDC and Uptech created a collaborative challenge within the tristate area. We received a total of 17 submissions 4 for the State of KY and 13 for Southwestern Ohio. Out of the 17 submissions only 10 were selected to pitch, 3 from KY and 7 from Ohio.</w:t>
      </w:r>
    </w:p>
    <w:p w:rsidR="00000000" w:rsidDel="00000000" w:rsidP="00000000" w:rsidRDefault="00000000" w:rsidRPr="00000000" w14:paraId="00000015">
      <w:pPr>
        <w:rPr>
          <w:rFonts w:ascii="Arial" w:cs="Arial" w:eastAsia="Arial" w:hAnsi="Arial"/>
          <w:sz w:val="24"/>
          <w:szCs w:val="24"/>
        </w:rPr>
      </w:pPr>
      <w:bookmarkStart w:colFirst="0" w:colLast="0" w:name="_gjdgxs" w:id="0"/>
      <w:bookmarkEnd w:id="0"/>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15125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15125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about:blank" TargetMode="External"/><Relationship Id="rId10" Type="http://schemas.openxmlformats.org/officeDocument/2006/relationships/hyperlink" Target="mailto:kboldery@hcdc.com" TargetMode="External"/><Relationship Id="rId12" Type="http://schemas.openxmlformats.org/officeDocument/2006/relationships/header" Target="header1.xml"/><Relationship Id="rId9" Type="http://schemas.openxmlformats.org/officeDocument/2006/relationships/hyperlink" Target="http://www.hcdc.com/" TargetMode="External"/><Relationship Id="rId5" Type="http://schemas.openxmlformats.org/officeDocument/2006/relationships/styles" Target="styles.xml"/><Relationship Id="rId6" Type="http://schemas.openxmlformats.org/officeDocument/2006/relationships/hyperlink" Target="http://jeffrey@medacheck.com" TargetMode="External"/><Relationship Id="rId7" Type="http://schemas.openxmlformats.org/officeDocument/2006/relationships/hyperlink" Target="http://www.jotform.com/uploads/abbyober/52733383252151/322148645922832719/MedaCheck%20Executive%20Summary%204.pdf" TargetMode="External"/><Relationship Id="rId8" Type="http://schemas.openxmlformats.org/officeDocument/2006/relationships/hyperlink" Target="http://www.medachec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