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October 28, 2015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InnovateHER Selection Committee,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 me take this opportunity to introduce myself.  I am Carol Penterman, Owner and CEO of Penterman Professional Care (PPC).  It gives me great pleasure to introduce you to Penterman Professional Care and its family of companies; Interim HealthCare of Middle Tennessee, Family Care Connection, and Penterman Concierge Care.  Penterman Professional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PPC, we know how hard people work trying to balance family, friends and work schedules. But achieving that balance can be a full time job all by itself.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today’s fast-paced workplace most of us are urged to do more, faster, and with fewer resources.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then, when we least expect it, life takes over - whether it’s coping with an aging parent’s dementia, a child who is coming home alone after school, or a car that just needs an oil change.  PPC understands that if a few tasks could be handled by someone else, an instant weight could be lifted off of an individual’s shoulders.  Having the knowledge and comfort that a loved one is being cared for by a trusted professional, can suddenly give them peace of mind and newfound time.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gjdgxs" w:id="0"/>
      <w:bookmarkEnd w:id="0"/>
      <w:r w:rsidDel="00000000" w:rsidR="00000000" w:rsidRPr="00000000">
        <w:rPr>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Penterman Professional Care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Please do not hesitate to contact us for any additional information you may need.  Penterman Professional Care looks forward to hearing from the committee.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Sincerely,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Carol Penterman</w:t>
      </w:r>
    </w:p>
    <w:p w:rsidR="00000000" w:rsidDel="00000000" w:rsidP="00000000" w:rsidRDefault="00000000" w:rsidRPr="00000000" w14:paraId="0000001E">
      <w:pPr>
        <w:rPr/>
      </w:pPr>
      <w:r w:rsidDel="00000000" w:rsidR="00000000" w:rsidRPr="00000000">
        <w:rPr>
          <w:rtl w:val="0"/>
        </w:rPr>
        <w:t xml:space="preserve">Owner &amp; CEO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tabs>
          <w:tab w:val="left" w:pos="4050"/>
        </w:tabs>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headerReference r:id="rId7" w:type="even"/>
      <w:footerReference r:id="rId8" w:type="default"/>
      <w:footerReference r:id="rId9" w:type="even"/>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5550 Franklin Pike, Suite 220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Nashville, TN  37220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615-915-2868          Fax:  615-915-2806</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www.pentermancare.com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166.0" w:type="dxa"/>
      <w:jc w:val="left"/>
      <w:tblInd w:w="0.0" w:type="dxa"/>
      <w:tblLayout w:type="fixed"/>
      <w:tblLook w:val="0400"/>
    </w:tblPr>
    <w:tblGrid>
      <w:gridCol w:w="295"/>
      <w:gridCol w:w="9871"/>
      <w:tblGridChange w:id="0">
        <w:tblGrid>
          <w:gridCol w:w="295"/>
          <w:gridCol w:w="9871"/>
        </w:tblGrid>
      </w:tblGridChange>
    </w:tblGrid>
    <w:tr>
      <w:tc>
        <w:tcPr>
          <w:tcBorders>
            <w:bottom w:color="943734" w:space="0" w:sz="4" w:val="single"/>
          </w:tcBorders>
          <w:shd w:fill="943734"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19890" cy="695967"/>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19890" cy="6959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166.0" w:type="dxa"/>
      <w:jc w:val="left"/>
      <w:tblInd w:w="0.0" w:type="dxa"/>
      <w:tblLayout w:type="fixed"/>
      <w:tblLook w:val="0400"/>
    </w:tblPr>
    <w:tblGrid>
      <w:gridCol w:w="295"/>
      <w:gridCol w:w="9871"/>
      <w:tblGridChange w:id="0">
        <w:tblGrid>
          <w:gridCol w:w="295"/>
          <w:gridCol w:w="9871"/>
        </w:tblGrid>
      </w:tblGridChange>
    </w:tblGrid>
    <w:tr>
      <w:tc>
        <w:tcPr>
          <w:tcBorders>
            <w:bottom w:color="943734" w:space="0" w:sz="4" w:val="single"/>
          </w:tcBorders>
          <w:shd w:fill="943734"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-406399</wp:posOffset>
                    </wp:positionV>
                    <wp:extent cx="3209925" cy="695325"/>
                    <wp:effectExtent b="0" l="0" r="0" t="0"/>
                    <wp:wrapNone/>
                    <wp:docPr id="2" name=""/>
                    <a:graphic>
                      <a:graphicData uri="http://schemas.microsoft.com/office/word/2010/wordprocessingShape">
                        <wps:wsp>
                          <wps:cNvSpPr/>
                          <wps:cNvPr id="3" name="Shape 3"/>
                          <wps:spPr>
                            <a:xfrm>
                              <a:off x="3745800" y="3437100"/>
                              <a:ext cx="3200400" cy="685800"/>
                            </a:xfrm>
                            <a:prstGeom prst="rect">
                              <a:avLst/>
                            </a:prstGeom>
                            <a:noFill/>
                            <a:ln>
                              <a:noFill/>
                            </a:ln>
                          </wps:spPr>
                          <wps:txbx>
                            <w:txbxContent>
                              <w:p w:rsidR="00000000" w:rsidDel="00000000" w:rsidP="00000000" w:rsidRDefault="00000000" w:rsidRPr="00000000">
                                <w:pPr>
                                  <w:spacing w:after="0" w:before="480" w:line="240"/>
                                  <w:ind w:left="0" w:right="0" w:firstLine="0"/>
                                  <w:jc w:val="left"/>
                                  <w:textDirection w:val="btLr"/>
                                </w:pPr>
                                <w:r w:rsidDel="00000000" w:rsidR="00000000" w:rsidRPr="00000000">
                                  <w:rPr>
                                    <w:rFonts w:ascii="Calibri" w:cs="Calibri" w:eastAsia="Calibri" w:hAnsi="Calibri"/>
                                    <w:b w:val="1"/>
                                    <w:i w:val="0"/>
                                    <w:smallCaps w:val="0"/>
                                    <w:strike w:val="0"/>
                                    <w:color w:val="335b8a"/>
                                    <w:sz w:val="40"/>
                                    <w:vertAlign w:val="baseline"/>
                                  </w:rPr>
                                  <w:t xml:space="preserve">Quick Reference Sales Guide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335b8a"/>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-406399</wp:posOffset>
                    </wp:positionV>
                    <wp:extent cx="3209925" cy="69532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099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266700</wp:posOffset>
                    </wp:positionV>
                    <wp:extent cx="3667125" cy="466725"/>
                    <wp:effectExtent b="0" l="0" r="0" t="0"/>
                    <wp:wrapNone/>
                    <wp:docPr id="1" name=""/>
                    <a:graphic>
                      <a:graphicData uri="http://schemas.microsoft.com/office/word/2010/wordprocessingShape">
                        <wps:wsp>
                          <wps:cNvSpPr/>
                          <wps:cNvPr id="2" name="Shape 2"/>
                          <wps:spPr>
                            <a:xfrm>
                              <a:off x="3517200" y="3551400"/>
                              <a:ext cx="3657600" cy="457200"/>
                            </a:xfrm>
                            <a:prstGeom prst="rect">
                              <a:avLst/>
                            </a:prstGeom>
                            <a:noFill/>
                            <a:ln>
                              <a:noFill/>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Human Resource Director / Department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266700</wp:posOffset>
                    </wp:positionV>
                    <wp:extent cx="3667125" cy="4667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667125" cy="466725"/>
                            </a:xfrm>
                            <a:prstGeom prst="rect"/>
                            <a:ln/>
                          </pic:spPr>
                        </pic:pic>
                      </a:graphicData>
                    </a:graphic>
                  </wp:anchor>
                </w:drawing>
              </mc:Fallback>
            </mc:AlternateContent>
          </w:r>
        </w:p>
      </w:tc>
      <w:tc>
        <w:tcPr>
          <w:tcBorders>
            <w:bottom w:color="000000"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19890" cy="695967"/>
                <wp:effectExtent b="0" l="0" r="0" t="0"/>
                <wp:docPr id="4"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2319890" cy="6959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