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Smartest Person in the Room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1856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042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Write a color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List a piece of furniture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1642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 a genius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Color = red, blue, green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Furniture = couch chair table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Genius = Einstein (others; Galileo, Da Vinci, Bobby Fisher, Pascal, Wolfgang Goethe)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Under pressure, people DO NOT do their best. They will think quickly, but rely on long-taught standards or group-think.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When you really need creative problem solving, do the following: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down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or write things out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Move! Walk or toss a ball (movement is great for brain activity and helping focus on the problem at hand)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 above all – differentiate between when you need an immediate answer and when you need a great answer. Time and environment is key to stimulating brilliance.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