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560" w:hRule="atLeast"/>
        </w:trPr>
        <w:tc>
          <w:tcPr>
            <w:gridSpan w:val="2"/>
            <w:shd w:fill="2e75b5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National Water Quality Priority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Total Nitrogen &amp; Total Phosphorus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Mario Tamburri (Alliance for Coastal Technologies)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E. coli</w:t>
            </w:r>
            <w:r w:rsidDel="00000000" w:rsidR="00000000" w:rsidRPr="00000000">
              <w:rPr>
                <w:rtl w:val="0"/>
              </w:rPr>
              <w:t xml:space="preserve"> &amp; Enterococcus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Alan Lindquist (USEPA)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Cyanotoxins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Beth Stauffer (University of Louisiana at Lafayette) &amp; Andrea Jaegge (USEPA)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Arsenic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Joel Creswell (AAAS Fellow USEPA) &amp; Esteban Herrera (USEPA)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5"/>
        <w:gridCol w:w="2970"/>
        <w:tblGridChange w:id="0">
          <w:tblGrid>
            <w:gridCol w:w="6655"/>
            <w:gridCol w:w="2970"/>
          </w:tblGrid>
        </w:tblGridChange>
      </w:tblGrid>
      <w:t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0E">
            <w:pPr>
              <w:spacing w:after="60" w:before="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National Water Quality Sensor Priorities Schedule</w:t>
            </w:r>
          </w:p>
          <w:p w:rsidR="00000000" w:rsidDel="00000000" w:rsidP="00000000" w:rsidRDefault="00000000" w:rsidRPr="00000000" w14:paraId="0000000F">
            <w:pPr>
              <w:spacing w:after="60" w:before="40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2015-2016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11">
            <w:pPr>
              <w:spacing w:after="6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 Performance Requirements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Develop performance requirements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October 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Questions finalized &amp; loaded into SurveyMonkey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Week of November 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Online forms shared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Week of November 23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Input deadline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January 11, 2016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Summarize input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End of January</w:t>
            </w:r>
          </w:p>
        </w:tc>
      </w:tr>
      <w:t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1D">
            <w:pPr>
              <w:spacing w:after="6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Webinars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Draft/revise content for webinars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January 2016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Finalize webinar content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February 2016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spacing w:after="60" w:before="40" w:lineRule="auto"/>
              <w:ind w:left="517"/>
              <w:rPr/>
            </w:pPr>
            <w:r w:rsidDel="00000000" w:rsidR="00000000" w:rsidRPr="00000000">
              <w:rPr>
                <w:rtl w:val="0"/>
              </w:rPr>
              <w:t xml:space="preserve">Outreach (via ACWA, WEF, NWQMC, USGS, EPA, others)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February 2016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Conduct webinars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March – April 2016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Summarize input from webinars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Mid-April 2016</w:t>
            </w:r>
          </w:p>
        </w:tc>
      </w:tr>
      <w:t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29">
            <w:pPr>
              <w:spacing w:after="6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requirements for workshop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after="60" w:before="40" w:lineRule="auto"/>
              <w:ind w:firstLine="517"/>
              <w:rPr/>
            </w:pPr>
            <w:r w:rsidDel="00000000" w:rsidR="00000000" w:rsidRPr="00000000">
              <w:rPr>
                <w:rtl w:val="0"/>
              </w:rPr>
              <w:t xml:space="preserve">NWQMC workshop sessions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after="60" w:before="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May 2-5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