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Kill cancer by shooting the specific target of the cancer first, and destroy it completely by a cytotoxic agent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6"/>
        <w:shd w:fill="ffffff" w:val="clear"/>
        <w:rPr>
          <w:rFonts w:ascii="Calibri" w:cs="Calibri" w:eastAsia="Calibri" w:hAnsi="Calibri"/>
          <w:b w:val="0"/>
          <w:sz w:val="22"/>
          <w:szCs w:val="22"/>
        </w:rPr>
      </w:pPr>
      <w:r w:rsidDel="00000000" w:rsidR="00000000" w:rsidRPr="00000000">
        <w:rPr>
          <w:rFonts w:ascii="Calibri" w:cs="Calibri" w:eastAsia="Calibri" w:hAnsi="Calibri"/>
          <w:b w:val="0"/>
          <w:sz w:val="22"/>
          <w:szCs w:val="22"/>
          <w:highlight w:val="white"/>
          <w:rtl w:val="0"/>
        </w:rPr>
        <w:t xml:space="preserve">The malignant glioma that resulted in the death of the several Americans including the remarkable Senator Edward Kennedy. This particular cancer can be targeted easily through specifically targeting the brain receptor transferrin and another receptor glutathione at the same time and destroying the cancer using the cytotoxic agent Docetaxel. CuriRx has recently been awarded two patents on liposomal nanoparticle technology, “</w:t>
      </w:r>
      <w:r w:rsidDel="00000000" w:rsidR="00000000" w:rsidRPr="00000000">
        <w:rPr>
          <w:rFonts w:ascii="Calibri" w:cs="Calibri" w:eastAsia="Calibri" w:hAnsi="Calibri"/>
          <w:b w:val="0"/>
          <w:sz w:val="22"/>
          <w:szCs w:val="22"/>
          <w:rtl w:val="0"/>
        </w:rPr>
        <w:t xml:space="preserve"> </w:t>
      </w:r>
      <w:hyperlink r:id="rId6">
        <w:r w:rsidDel="00000000" w:rsidR="00000000" w:rsidRPr="00000000">
          <w:rPr>
            <w:rFonts w:ascii="Calibri" w:cs="Calibri" w:eastAsia="Calibri" w:hAnsi="Calibri"/>
            <w:b w:val="0"/>
            <w:sz w:val="22"/>
            <w:szCs w:val="22"/>
            <w:rtl w:val="0"/>
          </w:rPr>
          <w:t xml:space="preserve">Methods for the preparation of liposomes</w:t>
        </w:r>
      </w:hyperlink>
      <w:r w:rsidDel="00000000" w:rsidR="00000000" w:rsidRPr="00000000">
        <w:rPr>
          <w:rFonts w:ascii="Calibri" w:cs="Calibri" w:eastAsia="Calibri" w:hAnsi="Calibri"/>
          <w:b w:val="0"/>
          <w:sz w:val="22"/>
          <w:szCs w:val="22"/>
          <w:rtl w:val="0"/>
        </w:rPr>
        <w:t xml:space="preserve">”, Patent number: 9402812 and “</w:t>
      </w:r>
      <w:hyperlink r:id="rId7">
        <w:r w:rsidDel="00000000" w:rsidR="00000000" w:rsidRPr="00000000">
          <w:rPr>
            <w:rFonts w:ascii="Calibri" w:cs="Calibri" w:eastAsia="Calibri" w:hAnsi="Calibri"/>
            <w:b w:val="0"/>
            <w:sz w:val="22"/>
            <w:szCs w:val="22"/>
            <w:rtl w:val="0"/>
          </w:rPr>
          <w:t xml:space="preserve">Methods for the preparation of liposomes comprising docetaxel</w:t>
        </w:r>
      </w:hyperlink>
      <w:r w:rsidDel="00000000" w:rsidR="00000000" w:rsidRPr="00000000">
        <w:rPr>
          <w:rFonts w:ascii="Calibri" w:cs="Calibri" w:eastAsia="Calibri" w:hAnsi="Calibri"/>
          <w:b w:val="0"/>
          <w:sz w:val="22"/>
          <w:szCs w:val="22"/>
          <w:rtl w:val="0"/>
        </w:rPr>
        <w:t xml:space="preserve">”. Patent number: 8591942. The scientist from CuriRx also found that the amino acid like tryptophan can easily enter the blood brain barrier to produce serotonin to sleep (similar after eating turkey).</w:t>
      </w:r>
    </w:p>
    <w:p w:rsidR="00000000" w:rsidDel="00000000" w:rsidP="00000000" w:rsidRDefault="00000000" w:rsidRPr="00000000" w14:paraId="00000004">
      <w:pPr>
        <w:pStyle w:val="Heading6"/>
        <w:shd w:fill="ffffff" w:val="clea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scientist from CuriRx has recently manufactured nanoparticles of liposome with a particle size less than 50 nm decorated with DSPE-PEG 2000 maleimide conjugated with Transferrin, and glutathione. They have also loaded tryptophan in the liposome. These three missile could easily target the blood brain barrier and these scientists loaded 5 mg/mL of cytotoxic agent into the liposome with 100% encapsulation efficacy to kill the malignant glioma.</w:t>
      </w:r>
    </w:p>
    <w:p w:rsidR="00000000" w:rsidDel="00000000" w:rsidP="00000000" w:rsidRDefault="00000000" w:rsidRPr="00000000" w14:paraId="00000005">
      <w:pPr>
        <w:pStyle w:val="Heading6"/>
        <w:shd w:fill="ffffff" w:val="clear"/>
        <w:rPr>
          <w:rFonts w:ascii="Calibri" w:cs="Calibri" w:eastAsia="Calibri" w:hAnsi="Calibri"/>
          <w:b w:val="0"/>
          <w:sz w:val="22"/>
          <w:szCs w:val="22"/>
        </w:rPr>
      </w:pPr>
      <w:bookmarkStart w:colFirst="0" w:colLast="0" w:name="_gjdgxs" w:id="0"/>
      <w:bookmarkEnd w:id="0"/>
      <w:r w:rsidDel="00000000" w:rsidR="00000000" w:rsidRPr="00000000">
        <w:rPr>
          <w:rFonts w:ascii="Calibri" w:cs="Calibri" w:eastAsia="Calibri" w:hAnsi="Calibri"/>
          <w:b w:val="0"/>
          <w:sz w:val="22"/>
          <w:szCs w:val="22"/>
          <w:rtl w:val="0"/>
        </w:rPr>
        <w:t xml:space="preserve">These scientists already noticed that this cytotoxic nanoparticle kills glioma cells in picomolar level. Currently they are checking the potency against human glioma tumor transplanted in nude mice. This is the gateway to kill, destroy and eliminate cancer cells like tough glioma. This may be the way to improve the human health in a simple and sensitive way, with the less cost, as the process of manufacturing the product is simple using the less costed excipients. The technology does not require any organic solvent at any step of the manufacturing and easily scalable. The success will not only improve American heath but also the world in general.</w:t>
      </w:r>
    </w:p>
    <w:p w:rsidR="00000000" w:rsidDel="00000000" w:rsidP="00000000" w:rsidRDefault="00000000" w:rsidRPr="00000000" w14:paraId="00000006">
      <w:pPr>
        <w:pStyle w:val="Heading6"/>
        <w:shd w:fill="ffffff" w:val="clear"/>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atents.justia.com/patent/9402812" TargetMode="External"/><Relationship Id="rId7" Type="http://schemas.openxmlformats.org/officeDocument/2006/relationships/hyperlink" Target="http://patents.justia.com/patent/85919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