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MRC of Eastern Washington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MRC Serves! Challenge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 love the organization.  I love what we do in the community. So it's not that far-fetched for a 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veterinarian to be involved in the Medical Reserve Corps.  We organized our neighborhood and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developed a call tree.  When the fires hit last year, luckily we had just done this two weeks 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before the rail canyon fire came up on the ridge right behind me.  We were ready to go to even 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dig fire lines if we had to around our own community. I think the attitude is great in MRC.  It's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that little pool of talent that really makes it worthwhile.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My name is Cindy Bickley, and I live in Deer Park, Washington.  I serve overseas as a medical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volunteer and I really wanted to do something locally.  Well, I wanted to give back to my 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community because I was raised here.  I would encourage anybody to volunteer because everybody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has something to give with their life experience.  That's why I volunteer.  Is to be able to see 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those "Rest of the Stories" with Medical Reserve Corps.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 was looking for a way to practically be involved in the community.  But I wanted to be there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and make a difference, and just doing the helping piece.  Making it possible for the doctors and 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nurses to do their work.  Many times what people needed more than anything else was someone to 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have the time to sit and listen, and that's where I think we find that the MRC of Eastern 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Washington is particularly helpful.  We get to go out and practically be there with people.  We 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make a difference one person at a time.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Music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