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Eye-on-a-chip</w:t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Cover page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Team lead: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Magdalene J. Seiler, Ph.D.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Assistant Professor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Dept. of Physical Medicine &amp; Rehabilitation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University of California School of Medicine, Irvine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Irvine CA 92697-1705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Team members: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Biju B. Thomas, Ph.D.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Assistant Professor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USC Roski Eye Institute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Department of Ophthalmology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University of Southern California,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Los Angeles CA 90033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Abraham Philip Lee, Ph.D.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Professor &amp; Chair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Department Biomedical Engineering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University of California, Irvine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Irvine CA 92697-2715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Submission will be applicable </w:t>
      </w:r>
      <w:r w:rsidDel="00000000" w:rsidR="00000000" w:rsidRPr="00000000">
        <w:rPr>
          <w:u w:val="single"/>
          <w:rtl w:val="0"/>
        </w:rPr>
        <w:t xml:space="preserve">both to disease modeling and drug testing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sectPr>
      <w:footerReference r:id="rId6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center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pBdr>
        <w:top w:color="000000" w:space="1" w:sz="4" w:val="single"/>
      </w:pBdr>
      <w:spacing w:before="240" w:lineRule="auto"/>
      <w:jc w:val="center"/>
    </w:pPr>
    <w:rPr>
      <w:b w:val="1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