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bookmarkStart w:colFirst="0" w:colLast="0" w:name="_gjdgxs" w:id="0"/>
      <w:bookmarkEnd w:id="0"/>
      <w:r w:rsidDel="00000000" w:rsidR="00000000" w:rsidRPr="00000000">
        <w:rPr>
          <w:rFonts w:ascii="Calibri" w:cs="Calibri" w:eastAsia="Calibri" w:hAnsi="Calibri"/>
          <w:b w:val="1"/>
          <w:sz w:val="28"/>
          <w:szCs w:val="28"/>
          <w:rtl w:val="0"/>
        </w:rPr>
        <w:t xml:space="preserve">Shayna Sara Skolnik</w:t>
      </w:r>
    </w:p>
    <w:p w:rsidR="00000000" w:rsidDel="00000000" w:rsidP="00000000" w:rsidRDefault="00000000" w:rsidRPr="00000000" w14:paraId="000000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tabs>
          <w:tab w:val="left" w:pos="720"/>
          <w:tab w:val="left" w:pos="1440"/>
        </w:tabs>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Qualifications Summary: </w:t>
      </w:r>
      <w:r w:rsidDel="00000000" w:rsidR="00000000" w:rsidRPr="00000000">
        <w:rPr>
          <w:rFonts w:ascii="Calibri" w:cs="Calibri" w:eastAsia="Calibri" w:hAnsi="Calibri"/>
          <w:sz w:val="22"/>
          <w:szCs w:val="22"/>
          <w:rtl w:val="0"/>
        </w:rPr>
        <w:t xml:space="preserve">Ms. Skolnik has over eighteen years of experience in business, project management, and information technology. She has been instrumental in adapting the focus of Navteca to virtual reality technology and </w:t>
      </w:r>
      <w:r w:rsidDel="00000000" w:rsidR="00000000" w:rsidRPr="00000000">
        <w:rPr>
          <w:rFonts w:ascii="Calibri" w:cs="Calibri" w:eastAsia="Calibri" w:hAnsi="Calibri"/>
          <w:color w:val="000000"/>
          <w:sz w:val="22"/>
          <w:szCs w:val="22"/>
          <w:rtl w:val="0"/>
        </w:rPr>
        <w:t xml:space="preserve">has researched techniques for using virtual reality for data visualization and has been involved in several proofs of concepts of data visualization for NASA, FDA and NOAA</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She was the Project Lead and managed the Virtual Reality Visualization Project that Navteca executed with NASA ESTO and NCCS and jointly presented at the AGU conference in December, 2015 and 2016. She has presented VR at the American Geophysical Union, Supercomputing, Earth Science Information Partners, Emerging Technology Puerto Rico, the UK Meteorological Office,  NASA, NOAA, and the Naval Research Lab. She leads the VR/AR for Science Cluster at Earth Science Information Partners (ESIP) and is an invited author to present Data Visualization in Virtual Reality at the AGU Fall Meeting in December 2017. She was selected for the prestigious Oculus Launch Pad program in June 2017.</w:t>
      </w:r>
    </w:p>
    <w:p w:rsidR="00000000" w:rsidDel="00000000" w:rsidP="00000000" w:rsidRDefault="00000000" w:rsidRPr="00000000" w14:paraId="00000004">
      <w:pPr>
        <w:rPr>
          <w:rFonts w:ascii="Calibri" w:cs="Calibri" w:eastAsia="Calibri" w:hAnsi="Calibri"/>
          <w:b w:val="1"/>
          <w:sz w:val="22"/>
          <w:szCs w:val="22"/>
        </w:rPr>
      </w:pPr>
      <w:r w:rsidDel="00000000" w:rsidR="00000000" w:rsidRPr="00000000">
        <w:rPr>
          <w:rtl w:val="0"/>
        </w:rPr>
      </w:r>
    </w:p>
    <w:tbl>
      <w:tblPr>
        <w:tblStyle w:val="Table1"/>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2"/>
        <w:gridCol w:w="4932"/>
        <w:tblGridChange w:id="0">
          <w:tblGrid>
            <w:gridCol w:w="4932"/>
            <w:gridCol w:w="493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Present position:  </w:t>
            </w:r>
            <w:r w:rsidDel="00000000" w:rsidR="00000000" w:rsidRPr="00000000">
              <w:rPr>
                <w:rFonts w:ascii="Calibri" w:cs="Calibri" w:eastAsia="Calibri" w:hAnsi="Calibri"/>
                <w:sz w:val="22"/>
                <w:szCs w:val="22"/>
                <w:rtl w:val="0"/>
              </w:rPr>
              <w:t xml:space="preserve">Co-founder, CEO, Navteca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(November 2010-present)</w:t>
            </w:r>
          </w:p>
          <w:p w:rsidR="00000000" w:rsidDel="00000000" w:rsidP="00000000" w:rsidRDefault="00000000" w:rsidRPr="00000000" w14:paraId="00000007">
            <w:pPr>
              <w:jc w:val="righ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bl>
    <w:p w:rsidR="00000000" w:rsidDel="00000000" w:rsidP="00000000" w:rsidRDefault="00000000" w:rsidRPr="00000000" w14:paraId="000000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Duties/Responsibilities: </w:t>
      </w:r>
    </w:p>
    <w:p w:rsidR="00000000" w:rsidDel="00000000" w:rsidP="00000000" w:rsidRDefault="00000000" w:rsidRPr="00000000" w14:paraId="0000000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Ms. Skolnik develops, executes, and manages unique technical solutions for clients, oversees the NASA GSFC interns and externs through code 160, and does all business development and management for Navteca. </w:t>
      </w:r>
      <w:r w:rsidDel="00000000" w:rsidR="00000000" w:rsidRPr="00000000">
        <w:rPr>
          <w:rFonts w:ascii="Calibri" w:cs="Calibri" w:eastAsia="Calibri" w:hAnsi="Calibri"/>
          <w:sz w:val="22"/>
          <w:szCs w:val="22"/>
          <w:rtl w:val="0"/>
        </w:rPr>
        <w:t xml:space="preserve">She m</w:t>
      </w:r>
      <w:r w:rsidDel="00000000" w:rsidR="00000000" w:rsidRPr="00000000">
        <w:rPr>
          <w:rFonts w:ascii="Calibri" w:cs="Calibri" w:eastAsia="Calibri" w:hAnsi="Calibri"/>
          <w:sz w:val="22"/>
          <w:szCs w:val="22"/>
          <w:highlight w:val="white"/>
          <w:rtl w:val="0"/>
        </w:rPr>
        <w:t xml:space="preserve">anages multiple ongoing projects, client communication, and all financial and logistical aspects of a small firm. She oversees proposals, teaming, business development, contracts,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white"/>
          <w:rtl w:val="0"/>
        </w:rPr>
        <w:t xml:space="preserve">relationships with prime contractors (CSC, Raytheon, etc.) and with government clients (NASA, NOAA). She maintains effective communication strategies to ensure timely project completion and submits monthly subcontractor reports. She is an expert in </w:t>
      </w:r>
      <w:r w:rsidDel="00000000" w:rsidR="00000000" w:rsidRPr="00000000">
        <w:rPr>
          <w:rFonts w:ascii="Calibri" w:cs="Calibri" w:eastAsia="Calibri" w:hAnsi="Calibri"/>
          <w:sz w:val="22"/>
          <w:szCs w:val="22"/>
          <w:rtl w:val="0"/>
        </w:rPr>
        <w:t xml:space="preserve">communication:  bilingual English/Spanish, excellent oral and written communication, client management.  She works with international projects, consultants, and clients, makes presentations (including the IS&amp;T Colloquium at NASA GSFC April 2016). She conducts trainings, develops and writes website and blog content and integrates social media.</w:t>
      </w:r>
    </w:p>
    <w:p w:rsidR="00000000" w:rsidDel="00000000" w:rsidP="00000000" w:rsidRDefault="00000000" w:rsidRPr="00000000" w14:paraId="0000000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an </w:t>
      </w:r>
      <w:r w:rsidDel="00000000" w:rsidR="00000000" w:rsidRPr="00000000">
        <w:rPr>
          <w:rFonts w:ascii="Calibri" w:cs="Calibri" w:eastAsia="Calibri" w:hAnsi="Calibri"/>
          <w:b w:val="1"/>
          <w:color w:val="000000"/>
          <w:sz w:val="22"/>
          <w:szCs w:val="22"/>
          <w:rtl w:val="0"/>
        </w:rPr>
        <w:t xml:space="preserve">Independent Web and Multimedia Design Contractor</w:t>
      </w:r>
      <w:r w:rsidDel="00000000" w:rsidR="00000000" w:rsidRPr="00000000">
        <w:rPr>
          <w:rFonts w:ascii="Calibri" w:cs="Calibri" w:eastAsia="Calibri" w:hAnsi="Calibri"/>
          <w:b w:val="1"/>
          <w:sz w:val="22"/>
          <w:szCs w:val="22"/>
          <w:rtl w:val="0"/>
        </w:rPr>
        <w:t xml:space="preserve">, (July 1999 – November 2010)</w:t>
      </w:r>
      <w:r w:rsidDel="00000000" w:rsidR="00000000" w:rsidRPr="00000000">
        <w:rPr>
          <w:rFonts w:ascii="Calibri" w:cs="Calibri" w:eastAsia="Calibri" w:hAnsi="Calibri"/>
          <w:sz w:val="22"/>
          <w:szCs w:val="22"/>
          <w:rtl w:val="0"/>
        </w:rPr>
        <w:t xml:space="preserve">, Ms. Skolnik worked as an expert in communication, visualization, graphics, and design. She d</w:t>
      </w:r>
      <w:r w:rsidDel="00000000" w:rsidR="00000000" w:rsidRPr="00000000">
        <w:rPr>
          <w:rFonts w:ascii="Calibri" w:cs="Calibri" w:eastAsia="Calibri" w:hAnsi="Calibri"/>
          <w:sz w:val="22"/>
          <w:szCs w:val="22"/>
          <w:highlight w:val="white"/>
          <w:rtl w:val="0"/>
        </w:rPr>
        <w:t xml:space="preserve">esigned </w:t>
      </w:r>
      <w:r w:rsidDel="00000000" w:rsidR="00000000" w:rsidRPr="00000000">
        <w:rPr>
          <w:rFonts w:ascii="Calibri" w:cs="Calibri" w:eastAsia="Calibri" w:hAnsi="Calibri"/>
          <w:sz w:val="22"/>
          <w:szCs w:val="22"/>
          <w:highlight w:val="white"/>
          <w:u w:val="single"/>
          <w:rtl w:val="0"/>
        </w:rPr>
        <w:t xml:space="preserve">l</w:t>
      </w:r>
      <w:r w:rsidDel="00000000" w:rsidR="00000000" w:rsidRPr="00000000">
        <w:rPr>
          <w:rFonts w:ascii="Calibri" w:cs="Calibri" w:eastAsia="Calibri" w:hAnsi="Calibri"/>
          <w:sz w:val="22"/>
          <w:szCs w:val="22"/>
          <w:highlight w:val="white"/>
          <w:rtl w:val="0"/>
        </w:rPr>
        <w:t xml:space="preserve">ogos and marketing materials for public and private sector clients, multilingual web site design, web site CMS integration (Drupal, Concrete5, etc.), business card layout and design, brochures, print ads, corporate image (logo/web/marketing design integration). She worked with Adobe CS, Photoshop, Contribute, Dreamweaver, CorelDraw.</w:t>
      </w:r>
      <w:r w:rsidDel="00000000" w:rsidR="00000000" w:rsidRPr="00000000">
        <w:rPr>
          <w:rFonts w:ascii="Calibri" w:cs="Calibri" w:eastAsia="Calibri" w:hAnsi="Calibri"/>
          <w:sz w:val="22"/>
          <w:szCs w:val="22"/>
          <w:rtl w:val="0"/>
        </w:rPr>
        <w:t xml:space="preserve"> She also created graphics for web and print use, illustrations for bilingual educational materials, digital image management, edited photos for web and print use, and produced custom drawings for book illustration. Additionally, she has experience with teaching (community college), workforce training, and international education.</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tabs>
          <w:tab w:val="left" w:pos="720"/>
          <w:tab w:val="left" w:pos="1440"/>
        </w:tabs>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EDUCATION:</w:t>
      </w:r>
      <w:r w:rsidDel="00000000" w:rsidR="00000000" w:rsidRPr="00000000">
        <w:rPr>
          <w:rtl w:val="0"/>
        </w:rPr>
      </w:r>
    </w:p>
    <w:p w:rsidR="00000000" w:rsidDel="00000000" w:rsidP="00000000" w:rsidRDefault="00000000" w:rsidRPr="00000000" w14:paraId="0000000E">
      <w:pPr>
        <w:tabs>
          <w:tab w:val="left" w:pos="720"/>
          <w:tab w:val="left" w:pos="144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 English and Spanish, Towson University, 1998, </w:t>
      </w:r>
      <w:r w:rsidDel="00000000" w:rsidR="00000000" w:rsidRPr="00000000">
        <w:rPr>
          <w:rFonts w:ascii="Calibri" w:cs="Calibri" w:eastAsia="Calibri" w:hAnsi="Calibri"/>
          <w:i w:val="1"/>
          <w:sz w:val="22"/>
          <w:szCs w:val="22"/>
          <w:rtl w:val="0"/>
        </w:rPr>
        <w:t xml:space="preserve">Summa cum laude, Presidential Scholar</w:t>
      </w:r>
      <w:r w:rsidDel="00000000" w:rsidR="00000000" w:rsidRPr="00000000">
        <w:rPr>
          <w:rtl w:val="0"/>
        </w:rPr>
      </w:r>
    </w:p>
    <w:p w:rsidR="00000000" w:rsidDel="00000000" w:rsidP="00000000" w:rsidRDefault="00000000" w:rsidRPr="00000000" w14:paraId="0000000F">
      <w:pPr>
        <w:tabs>
          <w:tab w:val="left" w:pos="720"/>
          <w:tab w:val="left" w:pos="144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0">
      <w:pPr>
        <w:tabs>
          <w:tab w:val="left" w:pos="720"/>
          <w:tab w:val="left" w:pos="144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AWARDS: </w:t>
      </w:r>
      <w:r w:rsidDel="00000000" w:rsidR="00000000" w:rsidRPr="00000000">
        <w:rPr>
          <w:rFonts w:ascii="Calibri" w:cs="Calibri" w:eastAsia="Calibri" w:hAnsi="Calibri"/>
          <w:sz w:val="22"/>
          <w:szCs w:val="22"/>
          <w:rtl w:val="0"/>
        </w:rPr>
        <w:t xml:space="preserve">SBA Emerging Leader 2015, Top 100 MBE’s 2016</w:t>
      </w:r>
      <w:r w:rsidDel="00000000" w:rsidR="00000000" w:rsidRPr="00000000">
        <w:rPr>
          <w:rtl w:val="0"/>
        </w:rPr>
      </w:r>
    </w:p>
    <w:p w:rsidR="00000000" w:rsidDel="00000000" w:rsidP="00000000" w:rsidRDefault="00000000" w:rsidRPr="00000000" w14:paraId="00000011">
      <w:pPr>
        <w:tabs>
          <w:tab w:val="left" w:pos="720"/>
          <w:tab w:val="left" w:pos="144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2">
      <w:pPr>
        <w:tabs>
          <w:tab w:val="left" w:pos="720"/>
          <w:tab w:val="left" w:pos="1440"/>
        </w:tabs>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CITIZENSHIP:</w:t>
      </w:r>
      <w:r w:rsidDel="00000000" w:rsidR="00000000" w:rsidRPr="00000000">
        <w:rPr>
          <w:rtl w:val="0"/>
        </w:rPr>
      </w:r>
    </w:p>
    <w:p w:rsidR="00000000" w:rsidDel="00000000" w:rsidP="00000000" w:rsidRDefault="00000000" w:rsidRPr="00000000" w14:paraId="00000013">
      <w:pPr>
        <w:tabs>
          <w:tab w:val="left" w:pos="720"/>
          <w:tab w:val="left" w:pos="144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 Citizen</w:t>
      </w:r>
    </w:p>
    <w:p w:rsidR="00000000" w:rsidDel="00000000" w:rsidP="00000000" w:rsidRDefault="00000000" w:rsidRPr="00000000" w14:paraId="00000014">
      <w:pPr>
        <w:tabs>
          <w:tab w:val="left" w:pos="720"/>
          <w:tab w:val="left" w:pos="1440"/>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tabs>
          <w:tab w:val="left" w:pos="720"/>
          <w:tab w:val="left" w:pos="1440"/>
        </w:tabs>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 CLEARANCE:</w:t>
      </w:r>
      <w:r w:rsidDel="00000000" w:rsidR="00000000" w:rsidRPr="00000000">
        <w:rPr>
          <w:rtl w:val="0"/>
        </w:rPr>
      </w:r>
    </w:p>
    <w:p w:rsidR="00000000" w:rsidDel="00000000" w:rsidP="00000000" w:rsidRDefault="00000000" w:rsidRPr="00000000" w14:paraId="00000016">
      <w:pPr>
        <w:tabs>
          <w:tab w:val="left" w:pos="720"/>
          <w:tab w:val="left" w:pos="1440"/>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Public Trust</w:t>
      </w:r>
    </w:p>
    <w:sectPr>
      <w:headerReference r:id="rId6" w:type="default"/>
      <w:pgSz w:h="15840" w:w="12240"/>
      <w:pgMar w:bottom="864" w:top="1440" w:left="1440" w:right="1152"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54.0" w:type="dxa"/>
      <w:jc w:val="left"/>
      <w:tblInd w:w="0.0" w:type="dxa"/>
      <w:tblLayout w:type="fixed"/>
      <w:tblLook w:val="0000"/>
    </w:tblPr>
    <w:tblGrid>
      <w:gridCol w:w="4927"/>
      <w:gridCol w:w="4927"/>
      <w:tblGridChange w:id="0">
        <w:tblGrid>
          <w:gridCol w:w="4927"/>
          <w:gridCol w:w="4927"/>
        </w:tblGrid>
      </w:tblGridChange>
    </w:tblGrid>
    <w:tr>
      <w:tc>
        <w:tcPr/>
        <w:p w:rsidR="00000000" w:rsidDel="00000000" w:rsidP="00000000" w:rsidRDefault="00000000" w:rsidRPr="00000000" w14:paraId="00000018">
          <w:pPr>
            <w:pStyle w:val="Heading1"/>
            <w:rPr>
              <w:sz w:val="22"/>
              <w:szCs w:val="22"/>
            </w:rPr>
          </w:pPr>
          <w:r w:rsidDel="00000000" w:rsidR="00000000" w:rsidRPr="00000000">
            <w:rPr>
              <w:rtl w:val="0"/>
            </w:rPr>
          </w:r>
        </w:p>
      </w:tc>
      <w:tc>
        <w:tcPr/>
        <w:p w:rsidR="00000000" w:rsidDel="00000000" w:rsidP="00000000" w:rsidRDefault="00000000" w:rsidRPr="00000000" w14:paraId="00000019">
          <w:pPr>
            <w:jc w:val="right"/>
            <w:rPr>
              <w:sz w:val="22"/>
              <w:szCs w:val="22"/>
            </w:rPr>
          </w:pP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6648" cy="560832"/>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6648" cy="5608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