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EEBD0AE" w14:textId="77777777" w:rsidR="00080BDC" w:rsidRDefault="00D7526C">
      <w:pPr>
        <w:spacing w:line="360" w:lineRule="auto"/>
        <w:rPr>
          <w:rFonts w:ascii="Public Sans" w:eastAsia="Public Sans" w:hAnsi="Public Sans" w:cs="Public Sans"/>
        </w:rPr>
      </w:pPr>
      <w:bookmarkStart w:id="0" w:name="_gjdgxs" w:colFirst="0" w:colLast="0"/>
      <w:bookmarkEnd w:id="0"/>
      <w:r>
        <w:rPr>
          <w:rFonts w:ascii="Public Sans" w:eastAsia="Public Sans" w:hAnsi="Public Sans" w:cs="Public Sans"/>
          <w:noProof/>
          <w:sz w:val="20"/>
          <w:szCs w:val="20"/>
        </w:rPr>
        <w:drawing>
          <wp:inline distT="0" distB="0" distL="0" distR="0" wp14:anchorId="648B9DF4" wp14:editId="5B377EDE">
            <wp:extent cx="1028700" cy="900113"/>
            <wp:effectExtent l="0" t="0" r="0" b="0"/>
            <wp:docPr id="10" name="image2.png" descr="GSA Star Mark logo - blue background with the letters &quot;GSA&quot; in white text"/>
            <wp:cNvGraphicFramePr/>
            <a:graphic xmlns:a="http://schemas.openxmlformats.org/drawingml/2006/main">
              <a:graphicData uri="http://schemas.openxmlformats.org/drawingml/2006/picture">
                <pic:pic xmlns:pic="http://schemas.openxmlformats.org/drawingml/2006/picture">
                  <pic:nvPicPr>
                    <pic:cNvPr id="0" name="image2.png" descr="GSA Star Mark logo - blue background with the letters &quot;GSA&quot; in white text"/>
                    <pic:cNvPicPr preferRelativeResize="0"/>
                  </pic:nvPicPr>
                  <pic:blipFill>
                    <a:blip r:embed="rId7"/>
                    <a:srcRect/>
                    <a:stretch>
                      <a:fillRect/>
                    </a:stretch>
                  </pic:blipFill>
                  <pic:spPr>
                    <a:xfrm>
                      <a:off x="0" y="0"/>
                      <a:ext cx="1028700" cy="900113"/>
                    </a:xfrm>
                    <a:prstGeom prst="rect">
                      <a:avLst/>
                    </a:prstGeom>
                    <a:ln/>
                  </pic:spPr>
                </pic:pic>
              </a:graphicData>
            </a:graphic>
          </wp:inline>
        </w:drawing>
      </w:r>
    </w:p>
    <w:p w14:paraId="27B17EED" w14:textId="77777777" w:rsidR="00080BDC" w:rsidRDefault="00080BDC">
      <w:pPr>
        <w:spacing w:after="240" w:line="360" w:lineRule="auto"/>
        <w:rPr>
          <w:rFonts w:ascii="Public Sans" w:eastAsia="Public Sans" w:hAnsi="Public Sans" w:cs="Public Sans"/>
          <w:smallCaps/>
          <w:color w:val="5B9BD5"/>
          <w:sz w:val="72"/>
          <w:szCs w:val="72"/>
        </w:rPr>
      </w:pPr>
    </w:p>
    <w:p w14:paraId="5F5F0A29" w14:textId="77777777" w:rsidR="00080BDC" w:rsidRDefault="00D7526C">
      <w:pPr>
        <w:pStyle w:val="Title"/>
        <w:spacing w:after="240" w:line="360" w:lineRule="auto"/>
        <w:jc w:val="center"/>
        <w:rPr>
          <w:rFonts w:ascii="Public Sans" w:eastAsia="Public Sans" w:hAnsi="Public Sans" w:cs="Public Sans"/>
          <w:color w:val="0579BD"/>
          <w:sz w:val="32"/>
          <w:szCs w:val="32"/>
        </w:rPr>
      </w:pPr>
      <w:bookmarkStart w:id="1" w:name="_6b54stnxscys" w:colFirst="0" w:colLast="0"/>
      <w:bookmarkEnd w:id="1"/>
      <w:r>
        <w:rPr>
          <w:rFonts w:ascii="Public Sans" w:eastAsia="Public Sans" w:hAnsi="Public Sans" w:cs="Public Sans"/>
          <w:sz w:val="60"/>
          <w:szCs w:val="60"/>
        </w:rPr>
        <w:t>Cloud Identity Playbook</w:t>
      </w:r>
    </w:p>
    <w:p w14:paraId="5C15AC59" w14:textId="77777777" w:rsidR="00080BDC" w:rsidRDefault="00080BDC">
      <w:pPr>
        <w:spacing w:line="360" w:lineRule="auto"/>
        <w:jc w:val="center"/>
        <w:rPr>
          <w:rFonts w:ascii="Public Sans" w:eastAsia="Public Sans" w:hAnsi="Public Sans" w:cs="Public Sans"/>
          <w:color w:val="5B9BD5"/>
          <w:sz w:val="28"/>
          <w:szCs w:val="28"/>
        </w:rPr>
      </w:pPr>
    </w:p>
    <w:p w14:paraId="4681A9EC" w14:textId="77777777" w:rsidR="00080BDC" w:rsidRDefault="00080BDC">
      <w:pPr>
        <w:pBdr>
          <w:top w:val="nil"/>
          <w:left w:val="nil"/>
          <w:bottom w:val="nil"/>
          <w:right w:val="nil"/>
          <w:between w:val="nil"/>
        </w:pBdr>
        <w:spacing w:line="360" w:lineRule="auto"/>
        <w:rPr>
          <w:rFonts w:ascii="Public Sans" w:eastAsia="Public Sans" w:hAnsi="Public Sans" w:cs="Public Sans"/>
          <w:color w:val="5B9BD5"/>
          <w:sz w:val="28"/>
          <w:szCs w:val="28"/>
        </w:rPr>
      </w:pPr>
    </w:p>
    <w:p w14:paraId="7760A988" w14:textId="77777777" w:rsidR="00080BDC" w:rsidRDefault="00080BDC">
      <w:pPr>
        <w:pBdr>
          <w:top w:val="nil"/>
          <w:left w:val="nil"/>
          <w:bottom w:val="nil"/>
          <w:right w:val="nil"/>
          <w:between w:val="nil"/>
        </w:pBdr>
        <w:spacing w:line="360" w:lineRule="auto"/>
        <w:rPr>
          <w:rFonts w:ascii="Public Sans" w:eastAsia="Public Sans" w:hAnsi="Public Sans" w:cs="Public Sans"/>
          <w:color w:val="5B9BD5"/>
          <w:sz w:val="28"/>
          <w:szCs w:val="28"/>
        </w:rPr>
      </w:pPr>
    </w:p>
    <w:p w14:paraId="5254CEB3" w14:textId="77777777" w:rsidR="00080BDC" w:rsidRDefault="00080BDC">
      <w:pPr>
        <w:spacing w:line="360" w:lineRule="auto"/>
        <w:jc w:val="center"/>
        <w:rPr>
          <w:rFonts w:ascii="Public Sans" w:eastAsia="Public Sans" w:hAnsi="Public Sans" w:cs="Public Sans"/>
          <w:color w:val="5B9BD5"/>
          <w:sz w:val="28"/>
          <w:szCs w:val="28"/>
        </w:rPr>
      </w:pPr>
    </w:p>
    <w:p w14:paraId="1A8A9274" w14:textId="77777777" w:rsidR="00080BDC" w:rsidRDefault="00D7526C">
      <w:pPr>
        <w:spacing w:line="360" w:lineRule="auto"/>
        <w:jc w:val="center"/>
        <w:rPr>
          <w:rFonts w:ascii="Public Sans" w:eastAsia="Public Sans" w:hAnsi="Public Sans" w:cs="Public Sans"/>
          <w:b/>
          <w:color w:val="3B5789"/>
          <w:sz w:val="32"/>
          <w:szCs w:val="32"/>
        </w:rPr>
      </w:pPr>
      <w:r>
        <w:rPr>
          <w:rFonts w:ascii="Public Sans" w:eastAsia="Public Sans" w:hAnsi="Public Sans" w:cs="Public Sans"/>
          <w:b/>
          <w:color w:val="3B5789"/>
          <w:sz w:val="32"/>
          <w:szCs w:val="32"/>
        </w:rPr>
        <w:t>September 2021</w:t>
      </w:r>
    </w:p>
    <w:p w14:paraId="5121356B" w14:textId="77777777" w:rsidR="00080BDC" w:rsidRDefault="00D7526C">
      <w:pPr>
        <w:spacing w:line="360" w:lineRule="auto"/>
        <w:jc w:val="center"/>
        <w:rPr>
          <w:rFonts w:ascii="Public Sans" w:eastAsia="Public Sans" w:hAnsi="Public Sans" w:cs="Public Sans"/>
          <w:b/>
          <w:color w:val="3B5789"/>
          <w:sz w:val="32"/>
          <w:szCs w:val="32"/>
        </w:rPr>
      </w:pPr>
      <w:r>
        <w:rPr>
          <w:rFonts w:ascii="Public Sans" w:eastAsia="Public Sans" w:hAnsi="Public Sans" w:cs="Public Sans"/>
          <w:b/>
          <w:color w:val="3B5789"/>
          <w:sz w:val="32"/>
          <w:szCs w:val="32"/>
        </w:rPr>
        <w:t>Version 1.0</w:t>
      </w:r>
    </w:p>
    <w:p w14:paraId="020B3C71" w14:textId="77777777" w:rsidR="00080BDC" w:rsidRDefault="00D7526C">
      <w:pPr>
        <w:spacing w:line="360" w:lineRule="auto"/>
        <w:jc w:val="center"/>
        <w:rPr>
          <w:rFonts w:ascii="Public Sans" w:eastAsia="Public Sans" w:hAnsi="Public Sans" w:cs="Public Sans"/>
          <w:sz w:val="28"/>
          <w:szCs w:val="28"/>
        </w:rPr>
      </w:pPr>
      <w:r>
        <w:rPr>
          <w:rFonts w:ascii="Public Sans" w:eastAsia="Public Sans" w:hAnsi="Public Sans" w:cs="Public Sans"/>
          <w:b/>
          <w:color w:val="FF0000"/>
          <w:sz w:val="28"/>
          <w:szCs w:val="28"/>
        </w:rPr>
        <w:t>DRAFT / PRE-DECISIONAL</w:t>
      </w:r>
      <w:r>
        <w:rPr>
          <w:rFonts w:ascii="Public Sans" w:eastAsia="Public Sans" w:hAnsi="Public Sans" w:cs="Public Sans"/>
          <w:color w:val="FF0000"/>
          <w:sz w:val="28"/>
          <w:szCs w:val="28"/>
        </w:rPr>
        <w:br/>
      </w:r>
    </w:p>
    <w:p w14:paraId="041A641E" w14:textId="77777777" w:rsidR="00080BDC" w:rsidRDefault="00080BDC">
      <w:pPr>
        <w:pBdr>
          <w:top w:val="nil"/>
          <w:left w:val="nil"/>
          <w:bottom w:val="nil"/>
          <w:right w:val="nil"/>
          <w:between w:val="nil"/>
        </w:pBdr>
        <w:spacing w:line="360" w:lineRule="auto"/>
        <w:rPr>
          <w:rFonts w:ascii="Public Sans" w:eastAsia="Public Sans" w:hAnsi="Public Sans" w:cs="Public Sans"/>
          <w:sz w:val="28"/>
          <w:szCs w:val="28"/>
        </w:rPr>
      </w:pPr>
    </w:p>
    <w:p w14:paraId="037F74B3" w14:textId="77777777" w:rsidR="00080BDC" w:rsidRDefault="00080BDC">
      <w:pPr>
        <w:pBdr>
          <w:top w:val="nil"/>
          <w:left w:val="nil"/>
          <w:bottom w:val="nil"/>
          <w:right w:val="nil"/>
          <w:between w:val="nil"/>
        </w:pBdr>
        <w:spacing w:line="360" w:lineRule="auto"/>
        <w:rPr>
          <w:rFonts w:ascii="Public Sans" w:eastAsia="Public Sans" w:hAnsi="Public Sans" w:cs="Public Sans"/>
          <w:sz w:val="28"/>
          <w:szCs w:val="28"/>
        </w:rPr>
      </w:pPr>
    </w:p>
    <w:p w14:paraId="4BAC9810" w14:textId="77777777" w:rsidR="00080BDC" w:rsidRDefault="00080BDC">
      <w:pPr>
        <w:pBdr>
          <w:top w:val="nil"/>
          <w:left w:val="nil"/>
          <w:bottom w:val="nil"/>
          <w:right w:val="nil"/>
          <w:between w:val="nil"/>
        </w:pBdr>
        <w:spacing w:line="360" w:lineRule="auto"/>
        <w:rPr>
          <w:rFonts w:ascii="Public Sans" w:eastAsia="Public Sans" w:hAnsi="Public Sans" w:cs="Public Sans"/>
          <w:sz w:val="28"/>
          <w:szCs w:val="28"/>
        </w:rPr>
      </w:pPr>
    </w:p>
    <w:p w14:paraId="37526C5E" w14:textId="77777777" w:rsidR="00080BDC" w:rsidRDefault="00080BDC">
      <w:pPr>
        <w:spacing w:after="60" w:line="360" w:lineRule="auto"/>
        <w:jc w:val="center"/>
        <w:rPr>
          <w:rFonts w:ascii="Public Sans" w:eastAsia="Public Sans" w:hAnsi="Public Sans" w:cs="Public Sans"/>
          <w:b/>
          <w:color w:val="0579BD"/>
          <w:sz w:val="24"/>
          <w:szCs w:val="24"/>
        </w:rPr>
      </w:pPr>
    </w:p>
    <w:p w14:paraId="70141AD4" w14:textId="77777777" w:rsidR="00080BDC" w:rsidRDefault="00D7526C">
      <w:pPr>
        <w:spacing w:after="60" w:line="360" w:lineRule="auto"/>
        <w:jc w:val="center"/>
        <w:rPr>
          <w:rFonts w:ascii="Public Sans" w:eastAsia="Public Sans" w:hAnsi="Public Sans" w:cs="Public Sans"/>
          <w:b/>
          <w:color w:val="3B5789"/>
          <w:sz w:val="24"/>
          <w:szCs w:val="24"/>
        </w:rPr>
      </w:pPr>
      <w:r>
        <w:rPr>
          <w:rFonts w:ascii="Public Sans" w:eastAsia="Public Sans" w:hAnsi="Public Sans" w:cs="Public Sans"/>
          <w:b/>
          <w:color w:val="3B5789"/>
          <w:sz w:val="24"/>
          <w:szCs w:val="24"/>
        </w:rPr>
        <w:t>Cloud Identity Working Group</w:t>
      </w:r>
    </w:p>
    <w:p w14:paraId="4E561832" w14:textId="77777777" w:rsidR="00080BDC" w:rsidRDefault="00D7526C">
      <w:pPr>
        <w:spacing w:after="60" w:line="360" w:lineRule="auto"/>
        <w:jc w:val="center"/>
        <w:rPr>
          <w:rFonts w:ascii="Public Sans" w:eastAsia="Public Sans" w:hAnsi="Public Sans" w:cs="Public Sans"/>
          <w:b/>
          <w:color w:val="3B5789"/>
          <w:sz w:val="24"/>
          <w:szCs w:val="24"/>
        </w:rPr>
      </w:pPr>
      <w:r>
        <w:rPr>
          <w:rFonts w:ascii="Public Sans" w:eastAsia="Public Sans" w:hAnsi="Public Sans" w:cs="Public Sans"/>
          <w:b/>
          <w:color w:val="3B5789"/>
          <w:sz w:val="24"/>
          <w:szCs w:val="24"/>
        </w:rPr>
        <w:t>Identity, Credential, and Access Management Subcommittee</w:t>
      </w:r>
    </w:p>
    <w:p w14:paraId="57EB26A1" w14:textId="77777777" w:rsidR="00080BDC" w:rsidRDefault="00D7526C">
      <w:pPr>
        <w:spacing w:after="60" w:line="360" w:lineRule="auto"/>
        <w:jc w:val="center"/>
        <w:rPr>
          <w:rFonts w:ascii="Public Sans" w:eastAsia="Public Sans" w:hAnsi="Public Sans" w:cs="Public Sans"/>
          <w:b/>
          <w:color w:val="3B5789"/>
          <w:sz w:val="24"/>
          <w:szCs w:val="24"/>
        </w:rPr>
      </w:pPr>
      <w:r>
        <w:rPr>
          <w:rFonts w:ascii="Public Sans" w:eastAsia="Public Sans" w:hAnsi="Public Sans" w:cs="Public Sans"/>
          <w:b/>
          <w:color w:val="3B5789"/>
          <w:sz w:val="24"/>
          <w:szCs w:val="24"/>
        </w:rPr>
        <w:t>and</w:t>
      </w:r>
    </w:p>
    <w:p w14:paraId="7335E0FA" w14:textId="77777777" w:rsidR="00080BDC" w:rsidRDefault="00D7526C">
      <w:pPr>
        <w:spacing w:after="60" w:line="360" w:lineRule="auto"/>
        <w:jc w:val="center"/>
        <w:rPr>
          <w:rFonts w:ascii="Public Sans" w:eastAsia="Public Sans" w:hAnsi="Public Sans" w:cs="Public Sans"/>
          <w:b/>
          <w:color w:val="3B5789"/>
          <w:sz w:val="24"/>
          <w:szCs w:val="24"/>
        </w:rPr>
      </w:pPr>
      <w:r>
        <w:rPr>
          <w:rFonts w:ascii="Public Sans" w:eastAsia="Public Sans" w:hAnsi="Public Sans" w:cs="Public Sans"/>
          <w:b/>
          <w:color w:val="3B5789"/>
          <w:sz w:val="24"/>
          <w:szCs w:val="24"/>
        </w:rPr>
        <w:t>Cloud and Infrastructure Community of Practice</w:t>
      </w:r>
      <w:r>
        <w:br w:type="page"/>
      </w:r>
    </w:p>
    <w:p w14:paraId="7504C5A3" w14:textId="77777777" w:rsidR="00080BDC" w:rsidRDefault="00D7526C">
      <w:pPr>
        <w:spacing w:after="60" w:line="360" w:lineRule="auto"/>
        <w:jc w:val="center"/>
        <w:rPr>
          <w:rFonts w:ascii="Public Sans" w:eastAsia="Public Sans" w:hAnsi="Public Sans" w:cs="Public Sans"/>
          <w:color w:val="3B5789"/>
        </w:rPr>
      </w:pPr>
      <w:r>
        <w:rPr>
          <w:rFonts w:ascii="Public Sans" w:eastAsia="Public Sans" w:hAnsi="Public Sans" w:cs="Public Sans"/>
          <w:b/>
          <w:color w:val="3B5789"/>
          <w:sz w:val="28"/>
          <w:szCs w:val="28"/>
        </w:rPr>
        <w:lastRenderedPageBreak/>
        <w:t>Table of Contents</w:t>
      </w:r>
    </w:p>
    <w:sdt>
      <w:sdtPr>
        <w:id w:val="-2074347785"/>
        <w:docPartObj>
          <w:docPartGallery w:val="Table of Contents"/>
          <w:docPartUnique/>
        </w:docPartObj>
      </w:sdtPr>
      <w:sdtEndPr/>
      <w:sdtContent>
        <w:p w14:paraId="531EF0EE" w14:textId="77777777" w:rsidR="00080BDC" w:rsidRDefault="00D7526C">
          <w:pPr>
            <w:tabs>
              <w:tab w:val="right" w:pos="9360"/>
            </w:tabs>
            <w:spacing w:before="80" w:line="240" w:lineRule="auto"/>
            <w:rPr>
              <w:rFonts w:ascii="Public Sans" w:eastAsia="Public Sans" w:hAnsi="Public Sans" w:cs="Public Sans"/>
              <w:b/>
              <w:color w:val="0579BD"/>
            </w:rPr>
          </w:pPr>
          <w:r>
            <w:fldChar w:fldCharType="begin"/>
          </w:r>
          <w:r>
            <w:instrText xml:space="preserve"> TOC \h \u \z </w:instrText>
          </w:r>
          <w:r>
            <w:fldChar w:fldCharType="separate"/>
          </w:r>
          <w:hyperlink w:anchor="_9k29wgjpzanm">
            <w:r>
              <w:rPr>
                <w:rFonts w:ascii="Public Sans" w:eastAsia="Public Sans" w:hAnsi="Public Sans" w:cs="Public Sans"/>
                <w:b/>
                <w:color w:val="0579BD"/>
              </w:rPr>
              <w:t>Executive Summary</w:t>
            </w:r>
          </w:hyperlink>
          <w:r>
            <w:rPr>
              <w:rFonts w:ascii="Public Sans" w:eastAsia="Public Sans" w:hAnsi="Public Sans" w:cs="Public Sans"/>
              <w:b/>
              <w:color w:val="0579BD"/>
            </w:rPr>
            <w:tab/>
          </w:r>
          <w:r>
            <w:fldChar w:fldCharType="begin"/>
          </w:r>
          <w:r>
            <w:instrText xml:space="preserve"> PAGEREF _9k29wgjpzanm \h </w:instrText>
          </w:r>
          <w:r>
            <w:fldChar w:fldCharType="separate"/>
          </w:r>
          <w:r>
            <w:rPr>
              <w:rFonts w:ascii="Public Sans" w:eastAsia="Public Sans" w:hAnsi="Public Sans" w:cs="Public Sans"/>
              <w:b/>
              <w:color w:val="0579BD"/>
            </w:rPr>
            <w:t>2</w:t>
          </w:r>
          <w:r>
            <w:fldChar w:fldCharType="end"/>
          </w:r>
        </w:p>
        <w:p w14:paraId="650DB7E5" w14:textId="77777777" w:rsidR="00080BDC" w:rsidRDefault="00D7526C">
          <w:pPr>
            <w:tabs>
              <w:tab w:val="right" w:pos="9360"/>
            </w:tabs>
            <w:spacing w:before="200" w:line="240" w:lineRule="auto"/>
            <w:rPr>
              <w:rFonts w:ascii="Public Sans" w:eastAsia="Public Sans" w:hAnsi="Public Sans" w:cs="Public Sans"/>
              <w:b/>
              <w:color w:val="0579BD"/>
            </w:rPr>
          </w:pPr>
          <w:hyperlink w:anchor="_bnmlxi13ao6y">
            <w:r>
              <w:rPr>
                <w:rFonts w:ascii="Public Sans" w:eastAsia="Public Sans" w:hAnsi="Public Sans" w:cs="Public Sans"/>
                <w:b/>
                <w:color w:val="0579BD"/>
              </w:rPr>
              <w:t>Cloud Identity 101</w:t>
            </w:r>
          </w:hyperlink>
          <w:r>
            <w:rPr>
              <w:rFonts w:ascii="Public Sans" w:eastAsia="Public Sans" w:hAnsi="Public Sans" w:cs="Public Sans"/>
              <w:b/>
              <w:color w:val="0579BD"/>
            </w:rPr>
            <w:tab/>
          </w:r>
          <w:r>
            <w:fldChar w:fldCharType="begin"/>
          </w:r>
          <w:r>
            <w:instrText xml:space="preserve"> PAGEREF _bnmlxi13ao6y \h </w:instrText>
          </w:r>
          <w:r>
            <w:fldChar w:fldCharType="separate"/>
          </w:r>
          <w:r>
            <w:rPr>
              <w:rFonts w:ascii="Public Sans" w:eastAsia="Public Sans" w:hAnsi="Public Sans" w:cs="Public Sans"/>
              <w:b/>
              <w:color w:val="0579BD"/>
            </w:rPr>
            <w:t>5</w:t>
          </w:r>
          <w:r>
            <w:fldChar w:fldCharType="end"/>
          </w:r>
        </w:p>
        <w:p w14:paraId="5A54B970" w14:textId="77777777" w:rsidR="00080BDC" w:rsidRDefault="00D7526C">
          <w:pPr>
            <w:tabs>
              <w:tab w:val="right" w:pos="9360"/>
            </w:tabs>
            <w:spacing w:before="200" w:line="240" w:lineRule="auto"/>
            <w:rPr>
              <w:rFonts w:ascii="Public Sans" w:eastAsia="Public Sans" w:hAnsi="Public Sans" w:cs="Public Sans"/>
              <w:b/>
              <w:color w:val="0579BD"/>
            </w:rPr>
          </w:pPr>
          <w:hyperlink w:anchor="_514y719xyyin">
            <w:r>
              <w:rPr>
                <w:rFonts w:ascii="Public Sans" w:eastAsia="Public Sans" w:hAnsi="Public Sans" w:cs="Public Sans"/>
                <w:b/>
                <w:color w:val="0579BD"/>
              </w:rPr>
              <w:t>Cloud Identity Journey Steps</w:t>
            </w:r>
          </w:hyperlink>
          <w:r>
            <w:rPr>
              <w:rFonts w:ascii="Public Sans" w:eastAsia="Public Sans" w:hAnsi="Public Sans" w:cs="Public Sans"/>
              <w:b/>
              <w:color w:val="0579BD"/>
            </w:rPr>
            <w:tab/>
          </w:r>
          <w:r>
            <w:fldChar w:fldCharType="begin"/>
          </w:r>
          <w:r>
            <w:instrText xml:space="preserve"> PAGEREF _514y719xyyin \h </w:instrText>
          </w:r>
          <w:r>
            <w:fldChar w:fldCharType="separate"/>
          </w:r>
          <w:r>
            <w:rPr>
              <w:rFonts w:ascii="Public Sans" w:eastAsia="Public Sans" w:hAnsi="Public Sans" w:cs="Public Sans"/>
              <w:b/>
              <w:color w:val="0579BD"/>
            </w:rPr>
            <w:t>7</w:t>
          </w:r>
          <w:r>
            <w:fldChar w:fldCharType="end"/>
          </w:r>
        </w:p>
        <w:p w14:paraId="7F5AD114" w14:textId="77777777" w:rsidR="00080BDC" w:rsidRDefault="00D7526C">
          <w:pPr>
            <w:tabs>
              <w:tab w:val="right" w:pos="9360"/>
            </w:tabs>
            <w:spacing w:before="60" w:line="240" w:lineRule="auto"/>
            <w:ind w:left="360"/>
            <w:rPr>
              <w:rFonts w:ascii="Public Sans" w:eastAsia="Public Sans" w:hAnsi="Public Sans" w:cs="Public Sans"/>
              <w:color w:val="0579BD"/>
            </w:rPr>
          </w:pPr>
          <w:hyperlink w:anchor="_i3igxeja6brx">
            <w:r>
              <w:rPr>
                <w:rFonts w:ascii="Public Sans" w:eastAsia="Public Sans" w:hAnsi="Public Sans" w:cs="Public Sans"/>
                <w:color w:val="0579BD"/>
              </w:rPr>
              <w:t>Step 1. Gain Support</w:t>
            </w:r>
          </w:hyperlink>
          <w:r>
            <w:rPr>
              <w:rFonts w:ascii="Public Sans" w:eastAsia="Public Sans" w:hAnsi="Public Sans" w:cs="Public Sans"/>
              <w:color w:val="0579BD"/>
            </w:rPr>
            <w:tab/>
          </w:r>
          <w:r>
            <w:fldChar w:fldCharType="begin"/>
          </w:r>
          <w:r>
            <w:instrText xml:space="preserve"> PAGEREF _i3igxeja6brx \h </w:instrText>
          </w:r>
          <w:r>
            <w:fldChar w:fldCharType="separate"/>
          </w:r>
          <w:r>
            <w:rPr>
              <w:rFonts w:ascii="Public Sans" w:eastAsia="Public Sans" w:hAnsi="Public Sans" w:cs="Public Sans"/>
              <w:color w:val="0579BD"/>
            </w:rPr>
            <w:t>8</w:t>
          </w:r>
          <w:r>
            <w:fldChar w:fldCharType="end"/>
          </w:r>
        </w:p>
        <w:p w14:paraId="5A13F2D6" w14:textId="77777777" w:rsidR="00080BDC" w:rsidRDefault="00D7526C">
          <w:pPr>
            <w:tabs>
              <w:tab w:val="right" w:pos="9360"/>
            </w:tabs>
            <w:spacing w:before="60" w:line="240" w:lineRule="auto"/>
            <w:ind w:left="360"/>
            <w:rPr>
              <w:rFonts w:ascii="Public Sans" w:eastAsia="Public Sans" w:hAnsi="Public Sans" w:cs="Public Sans"/>
              <w:color w:val="0579BD"/>
            </w:rPr>
          </w:pPr>
          <w:hyperlink w:anchor="_i768dyam9n5y">
            <w:r>
              <w:rPr>
                <w:rFonts w:ascii="Public Sans" w:eastAsia="Public Sans" w:hAnsi="Public Sans" w:cs="Public Sans"/>
                <w:color w:val="0579BD"/>
              </w:rPr>
              <w:t>Step 2. Identify a Plan and Success Factors</w:t>
            </w:r>
          </w:hyperlink>
          <w:r>
            <w:rPr>
              <w:rFonts w:ascii="Public Sans" w:eastAsia="Public Sans" w:hAnsi="Public Sans" w:cs="Public Sans"/>
              <w:color w:val="0579BD"/>
            </w:rPr>
            <w:tab/>
          </w:r>
          <w:r>
            <w:fldChar w:fldCharType="begin"/>
          </w:r>
          <w:r>
            <w:instrText xml:space="preserve"> PAGEREF _i768dyam9n5y \h </w:instrText>
          </w:r>
          <w:r>
            <w:fldChar w:fldCharType="separate"/>
          </w:r>
          <w:r>
            <w:rPr>
              <w:rFonts w:ascii="Public Sans" w:eastAsia="Public Sans" w:hAnsi="Public Sans" w:cs="Public Sans"/>
              <w:color w:val="0579BD"/>
            </w:rPr>
            <w:t>10</w:t>
          </w:r>
          <w:r>
            <w:fldChar w:fldCharType="end"/>
          </w:r>
        </w:p>
        <w:p w14:paraId="4A57DE46" w14:textId="77777777" w:rsidR="00080BDC" w:rsidRDefault="00D7526C">
          <w:pPr>
            <w:tabs>
              <w:tab w:val="right" w:pos="9360"/>
            </w:tabs>
            <w:spacing w:before="60" w:line="240" w:lineRule="auto"/>
            <w:ind w:left="360"/>
            <w:rPr>
              <w:rFonts w:ascii="Public Sans" w:eastAsia="Public Sans" w:hAnsi="Public Sans" w:cs="Public Sans"/>
              <w:color w:val="0579BD"/>
            </w:rPr>
          </w:pPr>
          <w:hyperlink w:anchor="_iyraerdpiulf">
            <w:r>
              <w:rPr>
                <w:rFonts w:ascii="Public Sans" w:eastAsia="Public Sans" w:hAnsi="Public Sans" w:cs="Public Sans"/>
                <w:color w:val="0579BD"/>
              </w:rPr>
              <w:t>Step 3. Architecture Co</w:t>
            </w:r>
            <w:r>
              <w:rPr>
                <w:rFonts w:ascii="Public Sans" w:eastAsia="Public Sans" w:hAnsi="Public Sans" w:cs="Public Sans"/>
                <w:color w:val="0579BD"/>
              </w:rPr>
              <w:t>nsiderations</w:t>
            </w:r>
          </w:hyperlink>
          <w:r>
            <w:rPr>
              <w:rFonts w:ascii="Public Sans" w:eastAsia="Public Sans" w:hAnsi="Public Sans" w:cs="Public Sans"/>
              <w:color w:val="0579BD"/>
            </w:rPr>
            <w:tab/>
          </w:r>
          <w:r>
            <w:fldChar w:fldCharType="begin"/>
          </w:r>
          <w:r>
            <w:instrText xml:space="preserve"> PAGEREF _iyraerdpiulf \h </w:instrText>
          </w:r>
          <w:r>
            <w:fldChar w:fldCharType="separate"/>
          </w:r>
          <w:r>
            <w:rPr>
              <w:rFonts w:ascii="Public Sans" w:eastAsia="Public Sans" w:hAnsi="Public Sans" w:cs="Public Sans"/>
              <w:color w:val="0579BD"/>
            </w:rPr>
            <w:t>17</w:t>
          </w:r>
          <w:r>
            <w:fldChar w:fldCharType="end"/>
          </w:r>
        </w:p>
        <w:p w14:paraId="27F6F7CD" w14:textId="77777777" w:rsidR="00080BDC" w:rsidRDefault="00D7526C">
          <w:pPr>
            <w:tabs>
              <w:tab w:val="right" w:pos="9360"/>
            </w:tabs>
            <w:spacing w:before="60" w:line="240" w:lineRule="auto"/>
            <w:ind w:left="360"/>
            <w:rPr>
              <w:rFonts w:ascii="Public Sans" w:eastAsia="Public Sans" w:hAnsi="Public Sans" w:cs="Public Sans"/>
              <w:color w:val="0579BD"/>
            </w:rPr>
          </w:pPr>
          <w:hyperlink w:anchor="_v3kzv58ys4tg">
            <w:r>
              <w:rPr>
                <w:rFonts w:ascii="Public Sans" w:eastAsia="Public Sans" w:hAnsi="Public Sans" w:cs="Public Sans"/>
                <w:color w:val="0579BD"/>
              </w:rPr>
              <w:t>Step 4. Test and Deploy</w:t>
            </w:r>
          </w:hyperlink>
          <w:r>
            <w:rPr>
              <w:rFonts w:ascii="Public Sans" w:eastAsia="Public Sans" w:hAnsi="Public Sans" w:cs="Public Sans"/>
              <w:color w:val="0579BD"/>
            </w:rPr>
            <w:tab/>
          </w:r>
          <w:r>
            <w:fldChar w:fldCharType="begin"/>
          </w:r>
          <w:r>
            <w:instrText xml:space="preserve"> PAGEREF _v3kzv58ys4tg \h </w:instrText>
          </w:r>
          <w:r>
            <w:fldChar w:fldCharType="separate"/>
          </w:r>
          <w:r>
            <w:rPr>
              <w:rFonts w:ascii="Public Sans" w:eastAsia="Public Sans" w:hAnsi="Public Sans" w:cs="Public Sans"/>
              <w:color w:val="0579BD"/>
            </w:rPr>
            <w:t>23</w:t>
          </w:r>
          <w:r>
            <w:fldChar w:fldCharType="end"/>
          </w:r>
        </w:p>
        <w:p w14:paraId="488D3B2E" w14:textId="77777777" w:rsidR="00080BDC" w:rsidRDefault="00D7526C">
          <w:pPr>
            <w:tabs>
              <w:tab w:val="right" w:pos="9360"/>
            </w:tabs>
            <w:spacing w:before="200" w:line="240" w:lineRule="auto"/>
            <w:rPr>
              <w:rFonts w:ascii="Public Sans" w:eastAsia="Public Sans" w:hAnsi="Public Sans" w:cs="Public Sans"/>
              <w:b/>
              <w:color w:val="0579BD"/>
            </w:rPr>
          </w:pPr>
          <w:hyperlink w:anchor="_e3ergpz6whif">
            <w:r>
              <w:rPr>
                <w:rFonts w:ascii="Public Sans" w:eastAsia="Public Sans" w:hAnsi="Public Sans" w:cs="Public Sans"/>
                <w:b/>
                <w:color w:val="0579BD"/>
              </w:rPr>
              <w:t>Appendix A. Policies, Standards, and Guidance</w:t>
            </w:r>
          </w:hyperlink>
          <w:r>
            <w:rPr>
              <w:rFonts w:ascii="Public Sans" w:eastAsia="Public Sans" w:hAnsi="Public Sans" w:cs="Public Sans"/>
              <w:b/>
              <w:color w:val="0579BD"/>
            </w:rPr>
            <w:tab/>
          </w:r>
          <w:r>
            <w:fldChar w:fldCharType="begin"/>
          </w:r>
          <w:r>
            <w:instrText xml:space="preserve"> PAGEREF _e3ergpz6whif \h </w:instrText>
          </w:r>
          <w:r>
            <w:fldChar w:fldCharType="separate"/>
          </w:r>
          <w:r>
            <w:rPr>
              <w:rFonts w:ascii="Public Sans" w:eastAsia="Public Sans" w:hAnsi="Public Sans" w:cs="Public Sans"/>
              <w:b/>
              <w:color w:val="0579BD"/>
            </w:rPr>
            <w:t>26</w:t>
          </w:r>
          <w:r>
            <w:fldChar w:fldCharType="end"/>
          </w:r>
        </w:p>
        <w:p w14:paraId="6D242707" w14:textId="77777777" w:rsidR="00080BDC" w:rsidRDefault="00D7526C">
          <w:pPr>
            <w:tabs>
              <w:tab w:val="right" w:pos="9360"/>
            </w:tabs>
            <w:spacing w:before="200" w:after="80" w:line="240" w:lineRule="auto"/>
            <w:rPr>
              <w:rFonts w:ascii="Public Sans" w:eastAsia="Public Sans" w:hAnsi="Public Sans" w:cs="Public Sans"/>
              <w:b/>
              <w:color w:val="0579BD"/>
            </w:rPr>
          </w:pPr>
          <w:hyperlink w:anchor="_lwiwemg874ca">
            <w:r>
              <w:rPr>
                <w:rFonts w:ascii="Public Sans" w:eastAsia="Public Sans" w:hAnsi="Public Sans" w:cs="Public Sans"/>
                <w:b/>
                <w:color w:val="0579BD"/>
              </w:rPr>
              <w:t>Appendix B. Acronyms</w:t>
            </w:r>
          </w:hyperlink>
          <w:r>
            <w:rPr>
              <w:rFonts w:ascii="Public Sans" w:eastAsia="Public Sans" w:hAnsi="Public Sans" w:cs="Public Sans"/>
              <w:b/>
              <w:color w:val="0579BD"/>
            </w:rPr>
            <w:tab/>
          </w:r>
          <w:r>
            <w:fldChar w:fldCharType="begin"/>
          </w:r>
          <w:r>
            <w:instrText xml:space="preserve"> PAGEREF _lwiwemg874ca \h </w:instrText>
          </w:r>
          <w:r>
            <w:fldChar w:fldCharType="separate"/>
          </w:r>
          <w:r>
            <w:rPr>
              <w:rFonts w:ascii="Public Sans" w:eastAsia="Public Sans" w:hAnsi="Public Sans" w:cs="Public Sans"/>
              <w:b/>
              <w:color w:val="0579BD"/>
            </w:rPr>
            <w:t>27</w:t>
          </w:r>
          <w:r>
            <w:fldChar w:fldCharType="end"/>
          </w:r>
          <w:r>
            <w:fldChar w:fldCharType="end"/>
          </w:r>
        </w:p>
      </w:sdtContent>
    </w:sdt>
    <w:p w14:paraId="1EFA3726" w14:textId="77777777" w:rsidR="00080BDC" w:rsidRDefault="00080BDC">
      <w:pPr>
        <w:spacing w:line="360" w:lineRule="auto"/>
        <w:rPr>
          <w:rFonts w:ascii="Public Sans" w:eastAsia="Public Sans" w:hAnsi="Public Sans" w:cs="Public Sans"/>
          <w:color w:val="0579BD"/>
        </w:rPr>
      </w:pPr>
    </w:p>
    <w:p w14:paraId="00226D2C" w14:textId="77777777" w:rsidR="00080BDC" w:rsidRDefault="00080BDC">
      <w:pPr>
        <w:spacing w:line="360" w:lineRule="auto"/>
        <w:rPr>
          <w:rFonts w:ascii="Public Sans" w:eastAsia="Public Sans" w:hAnsi="Public Sans" w:cs="Public Sans"/>
        </w:rPr>
      </w:pPr>
    </w:p>
    <w:p w14:paraId="43C2E596" w14:textId="77777777" w:rsidR="00080BDC" w:rsidRDefault="00D7526C">
      <w:pPr>
        <w:pStyle w:val="Title"/>
        <w:spacing w:after="0" w:line="360" w:lineRule="auto"/>
        <w:rPr>
          <w:rFonts w:ascii="Public Sans" w:eastAsia="Public Sans" w:hAnsi="Public Sans" w:cs="Public Sans"/>
          <w:sz w:val="22"/>
          <w:szCs w:val="22"/>
        </w:rPr>
      </w:pPr>
      <w:bookmarkStart w:id="2" w:name="_81g2chnl104z" w:colFirst="0" w:colLast="0"/>
      <w:bookmarkEnd w:id="2"/>
      <w:r>
        <w:br w:type="page"/>
      </w:r>
    </w:p>
    <w:p w14:paraId="26EE729A" w14:textId="77777777" w:rsidR="00080BDC" w:rsidRDefault="00D7526C">
      <w:pPr>
        <w:pStyle w:val="Heading1"/>
        <w:spacing w:line="360" w:lineRule="auto"/>
        <w:rPr>
          <w:rFonts w:ascii="Public Sans" w:eastAsia="Public Sans" w:hAnsi="Public Sans" w:cs="Public Sans"/>
        </w:rPr>
      </w:pPr>
      <w:bookmarkStart w:id="3" w:name="_9k29wgjpzanm" w:colFirst="0" w:colLast="0"/>
      <w:bookmarkEnd w:id="3"/>
      <w:r>
        <w:rPr>
          <w:rFonts w:ascii="Public Sans" w:eastAsia="Public Sans" w:hAnsi="Public Sans" w:cs="Public Sans"/>
        </w:rPr>
        <w:lastRenderedPageBreak/>
        <w:t>Executive Summary</w:t>
      </w:r>
    </w:p>
    <w:p w14:paraId="24AF4E45" w14:textId="77777777" w:rsidR="00080BDC" w:rsidRDefault="00D7526C">
      <w:pPr>
        <w:pBdr>
          <w:top w:val="nil"/>
          <w:left w:val="nil"/>
          <w:bottom w:val="nil"/>
          <w:right w:val="nil"/>
          <w:between w:val="nil"/>
        </w:pBdr>
        <w:spacing w:after="120" w:line="360" w:lineRule="auto"/>
        <w:rPr>
          <w:rFonts w:ascii="Public Sans" w:eastAsia="Public Sans" w:hAnsi="Public Sans" w:cs="Public Sans"/>
        </w:rPr>
      </w:pPr>
      <w:r>
        <w:rPr>
          <w:rFonts w:ascii="Public Sans" w:eastAsia="Public Sans" w:hAnsi="Public Sans" w:cs="Public Sans"/>
        </w:rPr>
        <w:t>This Cloud</w:t>
      </w:r>
      <w:r>
        <w:rPr>
          <w:rFonts w:ascii="Public Sans" w:eastAsia="Public Sans" w:hAnsi="Public Sans" w:cs="Public Sans"/>
        </w:rPr>
        <w:t xml:space="preserve"> Identity Playbook is a practical guide to assist federal agencies as they either start to or expand the use of Identity, Credential, and Access Management (ICAM) Services in a cloud operating model. This playbook is designed to explain Cloud Identity as w</w:t>
      </w:r>
      <w:r>
        <w:rPr>
          <w:rFonts w:ascii="Public Sans" w:eastAsia="Public Sans" w:hAnsi="Public Sans" w:cs="Public Sans"/>
        </w:rPr>
        <w:t>ell as offer lessons learned and guidance to federal agencies starting or expanding their use of ICAM in the cloud. Cloud Identity, in the context of this playbook and sometimes referred to as Identity-as-a-Service (</w:t>
      </w:r>
      <w:proofErr w:type="spellStart"/>
      <w:r>
        <w:rPr>
          <w:rFonts w:ascii="Public Sans" w:eastAsia="Public Sans" w:hAnsi="Public Sans" w:cs="Public Sans"/>
        </w:rPr>
        <w:t>IDaaS</w:t>
      </w:r>
      <w:proofErr w:type="spellEnd"/>
      <w:r>
        <w:rPr>
          <w:rFonts w:ascii="Public Sans" w:eastAsia="Public Sans" w:hAnsi="Public Sans" w:cs="Public Sans"/>
        </w:rPr>
        <w:t>), is the application of ICAM proce</w:t>
      </w:r>
      <w:r>
        <w:rPr>
          <w:rFonts w:ascii="Public Sans" w:eastAsia="Public Sans" w:hAnsi="Public Sans" w:cs="Public Sans"/>
        </w:rPr>
        <w:t xml:space="preserve">sses, patterns, and technology to cloud-based services such as software, platform, or infrastructure as a service. </w:t>
      </w:r>
    </w:p>
    <w:p w14:paraId="745A7C1D" w14:textId="77777777" w:rsidR="00080BDC" w:rsidRDefault="00D7526C">
      <w:pPr>
        <w:pBdr>
          <w:top w:val="nil"/>
          <w:left w:val="nil"/>
          <w:bottom w:val="nil"/>
          <w:right w:val="nil"/>
          <w:between w:val="nil"/>
        </w:pBdr>
        <w:spacing w:after="120" w:line="360" w:lineRule="auto"/>
        <w:rPr>
          <w:rFonts w:ascii="Public Sans" w:eastAsia="Public Sans" w:hAnsi="Public Sans" w:cs="Public Sans"/>
        </w:rPr>
      </w:pPr>
      <w:proofErr w:type="gramStart"/>
      <w:r>
        <w:rPr>
          <w:rFonts w:ascii="Public Sans" w:eastAsia="Public Sans" w:hAnsi="Public Sans" w:cs="Public Sans"/>
        </w:rPr>
        <w:t>This playbooks</w:t>
      </w:r>
      <w:proofErr w:type="gramEnd"/>
      <w:r>
        <w:rPr>
          <w:rFonts w:ascii="Public Sans" w:eastAsia="Public Sans" w:hAnsi="Public Sans" w:cs="Public Sans"/>
        </w:rPr>
        <w:t xml:space="preserve"> aims to answer two questions:</w:t>
      </w:r>
    </w:p>
    <w:p w14:paraId="4E585693" w14:textId="77777777" w:rsidR="00080BDC" w:rsidRDefault="00D7526C">
      <w:pPr>
        <w:numPr>
          <w:ilvl w:val="0"/>
          <w:numId w:val="21"/>
        </w:numPr>
        <w:pBdr>
          <w:top w:val="nil"/>
          <w:left w:val="nil"/>
          <w:bottom w:val="nil"/>
          <w:right w:val="nil"/>
          <w:between w:val="nil"/>
        </w:pBdr>
        <w:spacing w:line="360" w:lineRule="auto"/>
        <w:rPr>
          <w:rFonts w:ascii="Public Sans" w:eastAsia="Public Sans" w:hAnsi="Public Sans" w:cs="Public Sans"/>
        </w:rPr>
      </w:pPr>
      <w:r>
        <w:rPr>
          <w:rFonts w:ascii="Public Sans" w:eastAsia="Public Sans" w:hAnsi="Public Sans" w:cs="Public Sans"/>
        </w:rPr>
        <w:t xml:space="preserve">How is ICAM in the cloud different from ICAM </w:t>
      </w:r>
      <w:proofErr w:type="gramStart"/>
      <w:r>
        <w:rPr>
          <w:rFonts w:ascii="Public Sans" w:eastAsia="Public Sans" w:hAnsi="Public Sans" w:cs="Public Sans"/>
        </w:rPr>
        <w:t>on-premise</w:t>
      </w:r>
      <w:proofErr w:type="gramEnd"/>
      <w:r>
        <w:rPr>
          <w:rFonts w:ascii="Public Sans" w:eastAsia="Public Sans" w:hAnsi="Public Sans" w:cs="Public Sans"/>
        </w:rPr>
        <w:t xml:space="preserve">? </w:t>
      </w:r>
    </w:p>
    <w:p w14:paraId="2DFE30ED" w14:textId="77777777" w:rsidR="00080BDC" w:rsidRDefault="00D7526C">
      <w:pPr>
        <w:numPr>
          <w:ilvl w:val="0"/>
          <w:numId w:val="21"/>
        </w:numPr>
        <w:pBdr>
          <w:top w:val="nil"/>
          <w:left w:val="nil"/>
          <w:bottom w:val="nil"/>
          <w:right w:val="nil"/>
          <w:between w:val="nil"/>
        </w:pBdr>
        <w:spacing w:after="120" w:line="360" w:lineRule="auto"/>
        <w:rPr>
          <w:rFonts w:ascii="Public Sans" w:eastAsia="Public Sans" w:hAnsi="Public Sans" w:cs="Public Sans"/>
        </w:rPr>
      </w:pPr>
      <w:r>
        <w:rPr>
          <w:rFonts w:ascii="Public Sans" w:eastAsia="Public Sans" w:hAnsi="Public Sans" w:cs="Public Sans"/>
        </w:rPr>
        <w:t>What are the government-wide best practices and lessons learned to extend ICAM to the cloud?</w:t>
      </w:r>
    </w:p>
    <w:p w14:paraId="0BA7C0AE" w14:textId="77777777" w:rsidR="00080BDC" w:rsidRDefault="00D7526C">
      <w:pPr>
        <w:pBdr>
          <w:top w:val="nil"/>
          <w:left w:val="nil"/>
          <w:bottom w:val="nil"/>
          <w:right w:val="nil"/>
          <w:between w:val="nil"/>
        </w:pBdr>
        <w:spacing w:after="120" w:line="360" w:lineRule="auto"/>
        <w:rPr>
          <w:rFonts w:ascii="Public Sans" w:eastAsia="Public Sans" w:hAnsi="Public Sans" w:cs="Public Sans"/>
        </w:rPr>
      </w:pPr>
      <w:r>
        <w:rPr>
          <w:rFonts w:ascii="Public Sans" w:eastAsia="Public Sans" w:hAnsi="Public Sans" w:cs="Public Sans"/>
        </w:rPr>
        <w:t>The first question is answered in the executive-style Cloud Identity 101 section. The advantage of ICAM i</w:t>
      </w:r>
      <w:r>
        <w:rPr>
          <w:rFonts w:ascii="Public Sans" w:eastAsia="Public Sans" w:hAnsi="Public Sans" w:cs="Public Sans"/>
        </w:rPr>
        <w:t xml:space="preserve">n the cloud is that it offers the same benefits as cloud infrastructure. It features a highly scalable infrastructure that is reliable, global, secure, and sized to fit your agency rather than expected volume. The second question is answered through steps </w:t>
      </w:r>
      <w:r>
        <w:rPr>
          <w:rFonts w:ascii="Public Sans" w:eastAsia="Public Sans" w:hAnsi="Public Sans" w:cs="Public Sans"/>
        </w:rPr>
        <w:t>in a Cloud Identity journey. It is written for ICAM program managers but can benefit anyone involved in planning Cloud Identity projects or initiatives. There are four Cloud Identity journey steps.</w:t>
      </w:r>
    </w:p>
    <w:p w14:paraId="3D9778C0" w14:textId="77777777" w:rsidR="00080BDC" w:rsidRDefault="00D7526C">
      <w:pPr>
        <w:numPr>
          <w:ilvl w:val="0"/>
          <w:numId w:val="12"/>
        </w:numPr>
        <w:spacing w:line="360" w:lineRule="auto"/>
        <w:rPr>
          <w:rFonts w:ascii="Public Sans" w:eastAsia="Public Sans" w:hAnsi="Public Sans" w:cs="Public Sans"/>
        </w:rPr>
      </w:pPr>
      <w:hyperlink w:anchor="_i3igxeja6brx">
        <w:r>
          <w:rPr>
            <w:rFonts w:ascii="Public Sans" w:eastAsia="Public Sans" w:hAnsi="Public Sans" w:cs="Public Sans"/>
            <w:color w:val="1155CC"/>
            <w:u w:val="single"/>
          </w:rPr>
          <w:t>Gain leadership suppor</w:t>
        </w:r>
        <w:r>
          <w:rPr>
            <w:rFonts w:ascii="Public Sans" w:eastAsia="Public Sans" w:hAnsi="Public Sans" w:cs="Public Sans"/>
            <w:color w:val="1155CC"/>
            <w:u w:val="single"/>
          </w:rPr>
          <w:t>t</w:t>
        </w:r>
      </w:hyperlink>
      <w:r>
        <w:rPr>
          <w:rFonts w:ascii="Public Sans" w:eastAsia="Public Sans" w:hAnsi="Public Sans" w:cs="Public Sans"/>
        </w:rPr>
        <w:t xml:space="preserve"> through user stories that encourage cloud ICAM services that improve user experience and business processes. Capture these in a business case.</w:t>
      </w:r>
    </w:p>
    <w:p w14:paraId="770037A9" w14:textId="77777777" w:rsidR="00080BDC" w:rsidRDefault="00D7526C">
      <w:pPr>
        <w:numPr>
          <w:ilvl w:val="0"/>
          <w:numId w:val="12"/>
        </w:numPr>
        <w:spacing w:line="360" w:lineRule="auto"/>
        <w:rPr>
          <w:rFonts w:ascii="Public Sans" w:eastAsia="Public Sans" w:hAnsi="Public Sans" w:cs="Public Sans"/>
        </w:rPr>
      </w:pPr>
      <w:hyperlink w:anchor="_i768dyam9n5y">
        <w:r>
          <w:rPr>
            <w:rFonts w:ascii="Public Sans" w:eastAsia="Public Sans" w:hAnsi="Public Sans" w:cs="Public Sans"/>
            <w:color w:val="1155CC"/>
            <w:u w:val="single"/>
          </w:rPr>
          <w:t>Document your plan</w:t>
        </w:r>
      </w:hyperlink>
      <w:r>
        <w:rPr>
          <w:rFonts w:ascii="Public Sans" w:eastAsia="Public Sans" w:hAnsi="Public Sans" w:cs="Public Sans"/>
        </w:rPr>
        <w:t xml:space="preserve"> in a strategy and policy.</w:t>
      </w:r>
    </w:p>
    <w:p w14:paraId="5E644D65" w14:textId="77777777" w:rsidR="00080BDC" w:rsidRDefault="00D7526C">
      <w:pPr>
        <w:numPr>
          <w:ilvl w:val="0"/>
          <w:numId w:val="12"/>
        </w:numPr>
        <w:spacing w:line="360" w:lineRule="auto"/>
        <w:rPr>
          <w:rFonts w:ascii="Public Sans" w:eastAsia="Public Sans" w:hAnsi="Public Sans" w:cs="Public Sans"/>
        </w:rPr>
      </w:pPr>
      <w:r>
        <w:rPr>
          <w:rFonts w:ascii="Public Sans" w:eastAsia="Public Sans" w:hAnsi="Public Sans" w:cs="Public Sans"/>
        </w:rPr>
        <w:t xml:space="preserve">Understand unique Cloud Identity </w:t>
      </w:r>
      <w:hyperlink w:anchor="_iyraerdpiulf">
        <w:r>
          <w:rPr>
            <w:rFonts w:ascii="Public Sans" w:eastAsia="Public Sans" w:hAnsi="Public Sans" w:cs="Public Sans"/>
            <w:color w:val="1155CC"/>
            <w:u w:val="single"/>
          </w:rPr>
          <w:t>architecture considerations</w:t>
        </w:r>
      </w:hyperlink>
      <w:r>
        <w:rPr>
          <w:rFonts w:ascii="Public Sans" w:eastAsia="Public Sans" w:hAnsi="Public Sans" w:cs="Public Sans"/>
        </w:rPr>
        <w:t xml:space="preserve"> across identity management, credential management, access management, and governance.</w:t>
      </w:r>
    </w:p>
    <w:p w14:paraId="48FA1766" w14:textId="77777777" w:rsidR="00080BDC" w:rsidRDefault="00D7526C">
      <w:pPr>
        <w:numPr>
          <w:ilvl w:val="0"/>
          <w:numId w:val="12"/>
        </w:numPr>
        <w:spacing w:after="120" w:line="360" w:lineRule="auto"/>
        <w:rPr>
          <w:rFonts w:ascii="Public Sans" w:eastAsia="Public Sans" w:hAnsi="Public Sans" w:cs="Public Sans"/>
        </w:rPr>
      </w:pPr>
      <w:hyperlink w:anchor="_v3kzv58ys4tg">
        <w:r>
          <w:rPr>
            <w:rFonts w:ascii="Public Sans" w:eastAsia="Public Sans" w:hAnsi="Public Sans" w:cs="Public Sans"/>
            <w:color w:val="1155CC"/>
            <w:u w:val="single"/>
          </w:rPr>
          <w:t>Test and deploy</w:t>
        </w:r>
      </w:hyperlink>
      <w:r>
        <w:rPr>
          <w:rFonts w:ascii="Public Sans" w:eastAsia="Public Sans" w:hAnsi="Public Sans" w:cs="Public Sans"/>
        </w:rPr>
        <w:t xml:space="preserve"> cloud-enabled service</w:t>
      </w:r>
      <w:r>
        <w:rPr>
          <w:rFonts w:ascii="Public Sans" w:eastAsia="Public Sans" w:hAnsi="Public Sans" w:cs="Public Sans"/>
        </w:rPr>
        <w:t>s and capabilities incrementally.</w:t>
      </w:r>
    </w:p>
    <w:p w14:paraId="3D6079A0" w14:textId="77777777" w:rsidR="00080BDC" w:rsidRDefault="00D7526C">
      <w:pPr>
        <w:spacing w:after="120" w:line="360" w:lineRule="auto"/>
        <w:rPr>
          <w:rFonts w:ascii="Public Sans" w:eastAsia="Public Sans" w:hAnsi="Public Sans" w:cs="Public Sans"/>
          <w:b/>
        </w:rPr>
      </w:pPr>
      <w:r>
        <w:rPr>
          <w:rFonts w:ascii="Public Sans" w:eastAsia="Public Sans" w:hAnsi="Public Sans" w:cs="Public Sans"/>
        </w:rPr>
        <w:t xml:space="preserve">This playbook offers recommendations and lessons learned from the Cloud Identity Working Group of the Federal Chief Information Security Officer Council’s </w:t>
      </w:r>
      <w:hyperlink r:id="rId8">
        <w:r>
          <w:rPr>
            <w:rFonts w:ascii="Public Sans" w:eastAsia="Public Sans" w:hAnsi="Public Sans" w:cs="Public Sans"/>
            <w:color w:val="1155CC"/>
            <w:u w:val="single"/>
          </w:rPr>
          <w:t>Identity, Credential, and Access Management Subcommittee</w:t>
        </w:r>
      </w:hyperlink>
      <w:r>
        <w:rPr>
          <w:rFonts w:ascii="Public Sans" w:eastAsia="Public Sans" w:hAnsi="Public Sans" w:cs="Public Sans"/>
        </w:rPr>
        <w:t xml:space="preserve"> in collaboration with the Federal Chief Information Officers Council </w:t>
      </w:r>
      <w:hyperlink r:id="rId9">
        <w:r>
          <w:rPr>
            <w:rFonts w:ascii="Public Sans" w:eastAsia="Public Sans" w:hAnsi="Public Sans" w:cs="Public Sans"/>
            <w:color w:val="1155CC"/>
            <w:u w:val="single"/>
          </w:rPr>
          <w:t>Cloud &amp; Infrastructure Community of Practice</w:t>
        </w:r>
      </w:hyperlink>
      <w:r>
        <w:rPr>
          <w:rFonts w:ascii="Public Sans" w:eastAsia="Public Sans" w:hAnsi="Public Sans" w:cs="Public Sans"/>
        </w:rPr>
        <w:t>.</w:t>
      </w:r>
    </w:p>
    <w:p w14:paraId="3926B33C" w14:textId="77777777" w:rsidR="00080BDC" w:rsidRDefault="00080BDC">
      <w:pPr>
        <w:pBdr>
          <w:top w:val="nil"/>
          <w:left w:val="nil"/>
          <w:bottom w:val="nil"/>
          <w:right w:val="nil"/>
          <w:between w:val="nil"/>
        </w:pBdr>
        <w:spacing w:after="120" w:line="360" w:lineRule="auto"/>
        <w:rPr>
          <w:rFonts w:ascii="Public Sans" w:eastAsia="Public Sans" w:hAnsi="Public Sans" w:cs="Public Sans"/>
        </w:rPr>
      </w:pPr>
    </w:p>
    <w:p w14:paraId="1CB6E2E9" w14:textId="77777777" w:rsidR="00080BDC" w:rsidRDefault="00D7526C">
      <w:pPr>
        <w:pStyle w:val="Heading2"/>
        <w:spacing w:line="360" w:lineRule="auto"/>
        <w:rPr>
          <w:rFonts w:ascii="Public Sans" w:eastAsia="Public Sans" w:hAnsi="Public Sans" w:cs="Public Sans"/>
        </w:rPr>
      </w:pPr>
      <w:bookmarkStart w:id="4" w:name="_tbuwnq1020eo" w:colFirst="0" w:colLast="0"/>
      <w:bookmarkEnd w:id="4"/>
      <w:r>
        <w:rPr>
          <w:rFonts w:ascii="Public Sans" w:eastAsia="Public Sans" w:hAnsi="Public Sans" w:cs="Public Sans"/>
        </w:rPr>
        <w:t>Key Terms</w:t>
      </w:r>
    </w:p>
    <w:p w14:paraId="2F2BBD84" w14:textId="77777777" w:rsidR="00080BDC" w:rsidRDefault="00D7526C">
      <w:pPr>
        <w:numPr>
          <w:ilvl w:val="0"/>
          <w:numId w:val="14"/>
        </w:numPr>
        <w:spacing w:line="360" w:lineRule="auto"/>
        <w:rPr>
          <w:rFonts w:ascii="Public Sans" w:eastAsia="Public Sans" w:hAnsi="Public Sans" w:cs="Public Sans"/>
        </w:rPr>
      </w:pPr>
      <w:r>
        <w:rPr>
          <w:rFonts w:ascii="Public Sans" w:eastAsia="Public Sans" w:hAnsi="Public Sans" w:cs="Public Sans"/>
          <w:b/>
        </w:rPr>
        <w:t>Cloud Identity</w:t>
      </w:r>
      <w:r>
        <w:rPr>
          <w:rFonts w:ascii="Public Sans" w:eastAsia="Public Sans" w:hAnsi="Public Sans" w:cs="Public Sans"/>
        </w:rPr>
        <w:t xml:space="preserve"> - The application of ICAM processes, patterns, and technology, typically delivered in a Software as a Service model, to cloud-based services such as software, platform, or infrastructure as a service. This term is used interchangeably with Identity as a S</w:t>
      </w:r>
      <w:r>
        <w:rPr>
          <w:rFonts w:ascii="Public Sans" w:eastAsia="Public Sans" w:hAnsi="Public Sans" w:cs="Public Sans"/>
        </w:rPr>
        <w:t xml:space="preserve">ervice, or </w:t>
      </w:r>
      <w:proofErr w:type="spellStart"/>
      <w:r>
        <w:rPr>
          <w:rFonts w:ascii="Public Sans" w:eastAsia="Public Sans" w:hAnsi="Public Sans" w:cs="Public Sans"/>
        </w:rPr>
        <w:t>IDaaS</w:t>
      </w:r>
      <w:proofErr w:type="spellEnd"/>
      <w:r>
        <w:rPr>
          <w:rFonts w:ascii="Public Sans" w:eastAsia="Public Sans" w:hAnsi="Public Sans" w:cs="Public Sans"/>
        </w:rPr>
        <w:t>.</w:t>
      </w:r>
    </w:p>
    <w:p w14:paraId="3C12459F" w14:textId="77777777" w:rsidR="00080BDC" w:rsidRDefault="00D7526C">
      <w:pPr>
        <w:numPr>
          <w:ilvl w:val="0"/>
          <w:numId w:val="14"/>
        </w:numPr>
        <w:spacing w:line="360" w:lineRule="auto"/>
        <w:rPr>
          <w:rFonts w:ascii="Public Sans" w:eastAsia="Public Sans" w:hAnsi="Public Sans" w:cs="Public Sans"/>
        </w:rPr>
      </w:pPr>
      <w:r>
        <w:rPr>
          <w:rFonts w:ascii="Public Sans" w:eastAsia="Public Sans" w:hAnsi="Public Sans" w:cs="Public Sans"/>
          <w:b/>
        </w:rPr>
        <w:t>Cloud Computing</w:t>
      </w:r>
      <w:r>
        <w:rPr>
          <w:rFonts w:ascii="Public Sans" w:eastAsia="Public Sans" w:hAnsi="Public Sans" w:cs="Public Sans"/>
        </w:rPr>
        <w:t xml:space="preserve"> - A model for enabling ubiquitous, convenient, on-demand network access to a shared pool of configurable computing resources (e.g., networks, servers, storage, applications, and services) that can be rapidly provisioned an</w:t>
      </w:r>
      <w:r>
        <w:rPr>
          <w:rFonts w:ascii="Public Sans" w:eastAsia="Public Sans" w:hAnsi="Public Sans" w:cs="Public Sans"/>
        </w:rPr>
        <w:t>d released with minimal management effort or service provider interaction.</w:t>
      </w:r>
    </w:p>
    <w:p w14:paraId="2405C858" w14:textId="77777777" w:rsidR="00080BDC" w:rsidRDefault="00D7526C">
      <w:pPr>
        <w:numPr>
          <w:ilvl w:val="0"/>
          <w:numId w:val="14"/>
        </w:numPr>
        <w:spacing w:line="360" w:lineRule="auto"/>
        <w:rPr>
          <w:rFonts w:ascii="Public Sans" w:eastAsia="Public Sans" w:hAnsi="Public Sans" w:cs="Public Sans"/>
        </w:rPr>
      </w:pPr>
      <w:r>
        <w:rPr>
          <w:rFonts w:ascii="Public Sans" w:eastAsia="Public Sans" w:hAnsi="Public Sans" w:cs="Public Sans"/>
          <w:b/>
        </w:rPr>
        <w:t>Cloud Service Model</w:t>
      </w:r>
      <w:r>
        <w:rPr>
          <w:rFonts w:ascii="Public Sans" w:eastAsia="Public Sans" w:hAnsi="Public Sans" w:cs="Public Sans"/>
        </w:rPr>
        <w:t xml:space="preserve"> - A Cloud Service Provider service model that includes Software as a Service, Platform as a Service, and Infrastructure as a Service.</w:t>
      </w:r>
    </w:p>
    <w:p w14:paraId="0CE39ACF" w14:textId="77777777" w:rsidR="00080BDC" w:rsidRDefault="00D7526C">
      <w:pPr>
        <w:numPr>
          <w:ilvl w:val="0"/>
          <w:numId w:val="14"/>
        </w:numPr>
        <w:spacing w:line="360" w:lineRule="auto"/>
        <w:rPr>
          <w:rFonts w:ascii="Public Sans" w:eastAsia="Public Sans" w:hAnsi="Public Sans" w:cs="Public Sans"/>
        </w:rPr>
      </w:pPr>
      <w:r>
        <w:rPr>
          <w:rFonts w:ascii="Public Sans" w:eastAsia="Public Sans" w:hAnsi="Public Sans" w:cs="Public Sans"/>
          <w:b/>
        </w:rPr>
        <w:t>Federation</w:t>
      </w:r>
      <w:r>
        <w:rPr>
          <w:rFonts w:ascii="Public Sans" w:eastAsia="Public Sans" w:hAnsi="Public Sans" w:cs="Public Sans"/>
        </w:rPr>
        <w:t xml:space="preserve"> - The technology</w:t>
      </w:r>
      <w:r>
        <w:rPr>
          <w:rFonts w:ascii="Public Sans" w:eastAsia="Public Sans" w:hAnsi="Public Sans" w:cs="Public Sans"/>
        </w:rPr>
        <w:t>, policies, standards, and processes that allow an agency to accept digital identities, attributes, and credentials managed by other agencies.</w:t>
      </w:r>
    </w:p>
    <w:p w14:paraId="12B6AB94" w14:textId="77777777" w:rsidR="00080BDC" w:rsidRDefault="00D7526C">
      <w:pPr>
        <w:numPr>
          <w:ilvl w:val="0"/>
          <w:numId w:val="14"/>
        </w:numPr>
        <w:spacing w:line="360" w:lineRule="auto"/>
        <w:rPr>
          <w:rFonts w:ascii="Public Sans" w:eastAsia="Public Sans" w:hAnsi="Public Sans" w:cs="Public Sans"/>
        </w:rPr>
      </w:pPr>
      <w:r>
        <w:rPr>
          <w:rFonts w:ascii="Public Sans" w:eastAsia="Public Sans" w:hAnsi="Public Sans" w:cs="Public Sans"/>
          <w:b/>
        </w:rPr>
        <w:t>Identity as a Service (</w:t>
      </w:r>
      <w:proofErr w:type="spellStart"/>
      <w:r>
        <w:rPr>
          <w:rFonts w:ascii="Public Sans" w:eastAsia="Public Sans" w:hAnsi="Public Sans" w:cs="Public Sans"/>
          <w:b/>
        </w:rPr>
        <w:t>IDaaS</w:t>
      </w:r>
      <w:proofErr w:type="spellEnd"/>
      <w:r>
        <w:rPr>
          <w:rFonts w:ascii="Public Sans" w:eastAsia="Public Sans" w:hAnsi="Public Sans" w:cs="Public Sans"/>
          <w:b/>
        </w:rPr>
        <w:t>)</w:t>
      </w:r>
      <w:r>
        <w:rPr>
          <w:rFonts w:ascii="Public Sans" w:eastAsia="Public Sans" w:hAnsi="Public Sans" w:cs="Public Sans"/>
        </w:rPr>
        <w:t xml:space="preserve"> - Industry term for Software as a Service providers of ICAM services.</w:t>
      </w:r>
    </w:p>
    <w:p w14:paraId="04E0FEF9" w14:textId="77777777" w:rsidR="00080BDC" w:rsidRDefault="00D7526C">
      <w:pPr>
        <w:numPr>
          <w:ilvl w:val="0"/>
          <w:numId w:val="14"/>
        </w:numPr>
        <w:spacing w:line="360" w:lineRule="auto"/>
        <w:rPr>
          <w:rFonts w:ascii="Public Sans" w:eastAsia="Public Sans" w:hAnsi="Public Sans" w:cs="Public Sans"/>
          <w:b/>
        </w:rPr>
      </w:pPr>
      <w:r>
        <w:rPr>
          <w:rFonts w:ascii="Public Sans" w:eastAsia="Public Sans" w:hAnsi="Public Sans" w:cs="Public Sans"/>
          <w:b/>
        </w:rPr>
        <w:t>Identity Prov</w:t>
      </w:r>
      <w:r>
        <w:rPr>
          <w:rFonts w:ascii="Public Sans" w:eastAsia="Public Sans" w:hAnsi="Public Sans" w:cs="Public Sans"/>
          <w:b/>
        </w:rPr>
        <w:t>ider</w:t>
      </w:r>
      <w:r>
        <w:rPr>
          <w:rFonts w:ascii="Public Sans" w:eastAsia="Public Sans" w:hAnsi="Public Sans" w:cs="Public Sans"/>
        </w:rPr>
        <w:t xml:space="preserve"> </w:t>
      </w:r>
      <w:r>
        <w:rPr>
          <w:rFonts w:ascii="Public Sans" w:eastAsia="Public Sans" w:hAnsi="Public Sans" w:cs="Public Sans"/>
          <w:b/>
        </w:rPr>
        <w:t xml:space="preserve">(IdP) </w:t>
      </w:r>
      <w:r>
        <w:rPr>
          <w:rFonts w:ascii="Public Sans" w:eastAsia="Public Sans" w:hAnsi="Public Sans" w:cs="Public Sans"/>
        </w:rPr>
        <w:t>- Sometimes referred to as a Credential Service Provider, an IdP manages user authenticators and bound credentials. It also issues assertions to other Identity Providers for authentication and authorization patterns.</w:t>
      </w:r>
    </w:p>
    <w:p w14:paraId="46A23E65" w14:textId="77777777" w:rsidR="00080BDC" w:rsidRDefault="00D7526C">
      <w:pPr>
        <w:numPr>
          <w:ilvl w:val="0"/>
          <w:numId w:val="14"/>
        </w:numPr>
        <w:spacing w:after="120" w:line="360" w:lineRule="auto"/>
        <w:rPr>
          <w:rFonts w:ascii="Public Sans" w:eastAsia="Public Sans" w:hAnsi="Public Sans" w:cs="Public Sans"/>
          <w:b/>
        </w:rPr>
      </w:pPr>
      <w:r>
        <w:rPr>
          <w:rFonts w:ascii="Public Sans" w:eastAsia="Public Sans" w:hAnsi="Public Sans" w:cs="Public Sans"/>
          <w:b/>
        </w:rPr>
        <w:t xml:space="preserve">Machine Identity </w:t>
      </w:r>
      <w:r>
        <w:rPr>
          <w:rFonts w:ascii="Public Sans" w:eastAsia="Public Sans" w:hAnsi="Public Sans" w:cs="Public Sans"/>
        </w:rPr>
        <w:t>- Otherwise</w:t>
      </w:r>
      <w:r>
        <w:rPr>
          <w:rFonts w:ascii="Public Sans" w:eastAsia="Public Sans" w:hAnsi="Public Sans" w:cs="Public Sans"/>
        </w:rPr>
        <w:t xml:space="preserve"> known as a Non-Person Entity (NPE). Broad term for a digital identity of any NPE in cyberspace. This may include organizations, hardware devices, software applications, and information artifacts.</w:t>
      </w:r>
    </w:p>
    <w:p w14:paraId="59407B69" w14:textId="77777777" w:rsidR="00080BDC" w:rsidRDefault="00D7526C">
      <w:pPr>
        <w:pStyle w:val="Heading2"/>
        <w:spacing w:line="360" w:lineRule="auto"/>
        <w:rPr>
          <w:rFonts w:ascii="Public Sans" w:eastAsia="Public Sans" w:hAnsi="Public Sans" w:cs="Public Sans"/>
        </w:rPr>
      </w:pPr>
      <w:bookmarkStart w:id="5" w:name="_8f0vogtx0jsk" w:colFirst="0" w:colLast="0"/>
      <w:bookmarkEnd w:id="5"/>
      <w:r>
        <w:rPr>
          <w:rFonts w:ascii="Public Sans" w:eastAsia="Public Sans" w:hAnsi="Public Sans" w:cs="Public Sans"/>
        </w:rPr>
        <w:t>Audience</w:t>
      </w:r>
    </w:p>
    <w:p w14:paraId="19CB595E"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This playbook is written for Agency ICAM Program M</w:t>
      </w:r>
      <w:r>
        <w:rPr>
          <w:rFonts w:ascii="Public Sans" w:eastAsia="Public Sans" w:hAnsi="Public Sans" w:cs="Public Sans"/>
        </w:rPr>
        <w:t>anagers as the primary audience. The below table lists secondary audience members and how to engage them with this playbook.</w:t>
      </w:r>
    </w:p>
    <w:p w14:paraId="2930260B" w14:textId="77777777" w:rsidR="00080BDC" w:rsidRDefault="00080BDC">
      <w:pPr>
        <w:spacing w:before="3" w:line="360" w:lineRule="auto"/>
        <w:ind w:left="720" w:hanging="360"/>
        <w:rPr>
          <w:rFonts w:ascii="Calibri" w:eastAsia="Calibri" w:hAnsi="Calibri" w:cs="Calibri"/>
          <w:sz w:val="18"/>
          <w:szCs w:val="18"/>
        </w:rPr>
      </w:pPr>
    </w:p>
    <w:p w14:paraId="373044FF" w14:textId="77777777" w:rsidR="00080BDC" w:rsidRDefault="00080BDC">
      <w:pPr>
        <w:spacing w:before="3" w:line="360" w:lineRule="auto"/>
        <w:ind w:left="720" w:hanging="360"/>
        <w:rPr>
          <w:rFonts w:ascii="Calibri" w:eastAsia="Calibri" w:hAnsi="Calibri" w:cs="Calibri"/>
          <w:sz w:val="18"/>
          <w:szCs w:val="18"/>
        </w:rPr>
      </w:pPr>
    </w:p>
    <w:p w14:paraId="51D3ABAC" w14:textId="77777777" w:rsidR="00080BDC" w:rsidRDefault="00080BDC">
      <w:pPr>
        <w:spacing w:before="3" w:line="360" w:lineRule="auto"/>
        <w:ind w:left="720" w:hanging="360"/>
        <w:rPr>
          <w:rFonts w:ascii="Calibri" w:eastAsia="Calibri" w:hAnsi="Calibri" w:cs="Calibri"/>
          <w:sz w:val="18"/>
          <w:szCs w:val="18"/>
        </w:rPr>
      </w:pPr>
    </w:p>
    <w:tbl>
      <w:tblPr>
        <w:tblStyle w:val="a"/>
        <w:tblW w:w="9435" w:type="dxa"/>
        <w:tblInd w:w="120" w:type="dxa"/>
        <w:tblBorders>
          <w:top w:val="single" w:sz="8" w:space="0" w:color="565C65"/>
          <w:left w:val="single" w:sz="8" w:space="0" w:color="565C65"/>
          <w:bottom w:val="single" w:sz="8" w:space="0" w:color="565C65"/>
          <w:right w:val="single" w:sz="8" w:space="0" w:color="565C65"/>
          <w:insideH w:val="single" w:sz="8" w:space="0" w:color="565C65"/>
          <w:insideV w:val="single" w:sz="8" w:space="0" w:color="565C65"/>
        </w:tblBorders>
        <w:tblLayout w:type="fixed"/>
        <w:tblLook w:val="0000" w:firstRow="0" w:lastRow="0" w:firstColumn="0" w:lastColumn="0" w:noHBand="0" w:noVBand="0"/>
      </w:tblPr>
      <w:tblGrid>
        <w:gridCol w:w="2385"/>
        <w:gridCol w:w="2385"/>
        <w:gridCol w:w="4665"/>
      </w:tblGrid>
      <w:tr w:rsidR="00080BDC" w14:paraId="4C8E5529" w14:textId="77777777">
        <w:trPr>
          <w:trHeight w:val="750"/>
        </w:trPr>
        <w:tc>
          <w:tcPr>
            <w:tcW w:w="2385" w:type="dxa"/>
            <w:shd w:val="clear" w:color="auto" w:fill="0579BD"/>
            <w:vAlign w:val="center"/>
          </w:tcPr>
          <w:p w14:paraId="406DD8CD"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Stakeholder</w:t>
            </w:r>
          </w:p>
        </w:tc>
        <w:tc>
          <w:tcPr>
            <w:tcW w:w="2385" w:type="dxa"/>
            <w:shd w:val="clear" w:color="auto" w:fill="0579BD"/>
            <w:vAlign w:val="center"/>
          </w:tcPr>
          <w:p w14:paraId="5122F8DA"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Stakeholder Type</w:t>
            </w:r>
          </w:p>
        </w:tc>
        <w:tc>
          <w:tcPr>
            <w:tcW w:w="4665" w:type="dxa"/>
            <w:shd w:val="clear" w:color="auto" w:fill="0579BD"/>
            <w:vAlign w:val="center"/>
          </w:tcPr>
          <w:p w14:paraId="45B1AEDE"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Engagement Point</w:t>
            </w:r>
          </w:p>
        </w:tc>
      </w:tr>
      <w:tr w:rsidR="00080BDC" w14:paraId="78BA52E2" w14:textId="77777777">
        <w:trPr>
          <w:trHeight w:val="795"/>
        </w:trPr>
        <w:tc>
          <w:tcPr>
            <w:tcW w:w="2385" w:type="dxa"/>
            <w:vAlign w:val="center"/>
          </w:tcPr>
          <w:p w14:paraId="0B65EFEC" w14:textId="77777777" w:rsidR="00080BDC" w:rsidRDefault="00080BDC">
            <w:pPr>
              <w:spacing w:line="360" w:lineRule="auto"/>
              <w:ind w:left="225" w:right="95"/>
              <w:jc w:val="center"/>
              <w:rPr>
                <w:rFonts w:ascii="Public Sans" w:eastAsia="Public Sans" w:hAnsi="Public Sans" w:cs="Public Sans"/>
                <w:sz w:val="20"/>
                <w:szCs w:val="20"/>
              </w:rPr>
            </w:pPr>
          </w:p>
          <w:p w14:paraId="60B1E508" w14:textId="77777777" w:rsidR="00080BDC" w:rsidRDefault="00D7526C">
            <w:pPr>
              <w:spacing w:line="360" w:lineRule="auto"/>
              <w:ind w:left="225" w:right="95"/>
              <w:jc w:val="center"/>
              <w:rPr>
                <w:rFonts w:ascii="Public Sans" w:eastAsia="Public Sans" w:hAnsi="Public Sans" w:cs="Public Sans"/>
                <w:i/>
                <w:sz w:val="20"/>
                <w:szCs w:val="20"/>
              </w:rPr>
            </w:pPr>
            <w:r>
              <w:rPr>
                <w:rFonts w:ascii="Public Sans" w:eastAsia="Public Sans" w:hAnsi="Public Sans" w:cs="Public Sans"/>
                <w:i/>
                <w:color w:val="1B1B1B"/>
                <w:sz w:val="20"/>
                <w:szCs w:val="20"/>
              </w:rPr>
              <w:t>ICAM Steering Committee</w:t>
            </w:r>
          </w:p>
        </w:tc>
        <w:tc>
          <w:tcPr>
            <w:tcW w:w="2385" w:type="dxa"/>
            <w:vAlign w:val="center"/>
          </w:tcPr>
          <w:p w14:paraId="23AC5BDE" w14:textId="77777777" w:rsidR="00080BDC" w:rsidRDefault="00D7526C">
            <w:pPr>
              <w:spacing w:before="150" w:line="360" w:lineRule="auto"/>
              <w:ind w:left="180" w:right="85"/>
              <w:jc w:val="center"/>
              <w:rPr>
                <w:rFonts w:ascii="Public Sans" w:eastAsia="Public Sans" w:hAnsi="Public Sans" w:cs="Public Sans"/>
                <w:sz w:val="20"/>
                <w:szCs w:val="20"/>
              </w:rPr>
            </w:pPr>
            <w:r>
              <w:rPr>
                <w:rFonts w:ascii="Public Sans" w:eastAsia="Public Sans" w:hAnsi="Public Sans" w:cs="Public Sans"/>
                <w:color w:val="1B1B1B"/>
                <w:sz w:val="20"/>
                <w:szCs w:val="20"/>
              </w:rPr>
              <w:t>Agency Governance Group</w:t>
            </w:r>
          </w:p>
        </w:tc>
        <w:tc>
          <w:tcPr>
            <w:tcW w:w="4665" w:type="dxa"/>
            <w:vAlign w:val="center"/>
          </w:tcPr>
          <w:p w14:paraId="264D2612" w14:textId="77777777" w:rsidR="00080BDC" w:rsidRDefault="00D7526C">
            <w:pPr>
              <w:spacing w:line="360" w:lineRule="auto"/>
              <w:ind w:left="180" w:right="80"/>
              <w:rPr>
                <w:rFonts w:ascii="Public Sans" w:eastAsia="Public Sans" w:hAnsi="Public Sans" w:cs="Public Sans"/>
                <w:sz w:val="20"/>
                <w:szCs w:val="20"/>
              </w:rPr>
            </w:pPr>
            <w:r>
              <w:rPr>
                <w:rFonts w:ascii="Public Sans" w:eastAsia="Public Sans" w:hAnsi="Public Sans" w:cs="Public Sans"/>
                <w:color w:val="1B1B1B"/>
                <w:sz w:val="20"/>
                <w:szCs w:val="20"/>
              </w:rPr>
              <w:t>The enterprise should govern all agency identities to reduce cyber risk.</w:t>
            </w:r>
          </w:p>
        </w:tc>
      </w:tr>
      <w:tr w:rsidR="00080BDC" w14:paraId="052DD1ED" w14:textId="77777777">
        <w:trPr>
          <w:trHeight w:val="1185"/>
        </w:trPr>
        <w:tc>
          <w:tcPr>
            <w:tcW w:w="2385" w:type="dxa"/>
            <w:vAlign w:val="center"/>
          </w:tcPr>
          <w:p w14:paraId="1F0A99D8" w14:textId="77777777" w:rsidR="00080BDC" w:rsidRDefault="00D7526C">
            <w:pPr>
              <w:spacing w:before="150" w:line="360" w:lineRule="auto"/>
              <w:ind w:left="225" w:right="95"/>
              <w:jc w:val="center"/>
              <w:rPr>
                <w:rFonts w:ascii="Public Sans" w:eastAsia="Public Sans" w:hAnsi="Public Sans" w:cs="Public Sans"/>
                <w:i/>
                <w:sz w:val="20"/>
                <w:szCs w:val="20"/>
              </w:rPr>
            </w:pPr>
            <w:r>
              <w:rPr>
                <w:rFonts w:ascii="Public Sans" w:eastAsia="Public Sans" w:hAnsi="Public Sans" w:cs="Public Sans"/>
                <w:i/>
                <w:color w:val="1B1B1B"/>
                <w:sz w:val="20"/>
                <w:szCs w:val="20"/>
              </w:rPr>
              <w:t>Business Line Program Managers</w:t>
            </w:r>
          </w:p>
        </w:tc>
        <w:tc>
          <w:tcPr>
            <w:tcW w:w="2385" w:type="dxa"/>
            <w:vAlign w:val="center"/>
          </w:tcPr>
          <w:p w14:paraId="74BCC31D" w14:textId="77777777" w:rsidR="00080BDC" w:rsidRDefault="00D7526C">
            <w:pPr>
              <w:spacing w:line="360" w:lineRule="auto"/>
              <w:ind w:right="85"/>
              <w:jc w:val="center"/>
              <w:rPr>
                <w:rFonts w:ascii="Public Sans" w:eastAsia="Public Sans" w:hAnsi="Public Sans" w:cs="Public Sans"/>
                <w:sz w:val="20"/>
                <w:szCs w:val="20"/>
              </w:rPr>
            </w:pPr>
            <w:r>
              <w:rPr>
                <w:rFonts w:ascii="Public Sans" w:eastAsia="Public Sans" w:hAnsi="Public Sans" w:cs="Public Sans"/>
                <w:color w:val="1B1B1B"/>
                <w:sz w:val="20"/>
                <w:szCs w:val="20"/>
              </w:rPr>
              <w:t>Interested Party</w:t>
            </w:r>
          </w:p>
        </w:tc>
        <w:tc>
          <w:tcPr>
            <w:tcW w:w="4665" w:type="dxa"/>
            <w:vAlign w:val="center"/>
          </w:tcPr>
          <w:p w14:paraId="089632F7" w14:textId="77777777" w:rsidR="00080BDC" w:rsidRDefault="00D7526C">
            <w:pPr>
              <w:spacing w:line="360" w:lineRule="auto"/>
              <w:ind w:left="180" w:right="80"/>
              <w:rPr>
                <w:rFonts w:ascii="Public Sans" w:eastAsia="Public Sans" w:hAnsi="Public Sans" w:cs="Public Sans"/>
                <w:sz w:val="20"/>
                <w:szCs w:val="20"/>
              </w:rPr>
            </w:pPr>
            <w:r>
              <w:rPr>
                <w:rFonts w:ascii="Public Sans" w:eastAsia="Public Sans" w:hAnsi="Public Sans" w:cs="Public Sans"/>
                <w:color w:val="1B1B1B"/>
                <w:sz w:val="20"/>
                <w:szCs w:val="20"/>
              </w:rPr>
              <w:t>Create a unified user experience by leveraging existing enterprise ICAM services. Identify future ICAM capabilities.</w:t>
            </w:r>
          </w:p>
        </w:tc>
      </w:tr>
      <w:tr w:rsidR="00080BDC" w14:paraId="4159DEB1" w14:textId="77777777">
        <w:trPr>
          <w:trHeight w:val="1245"/>
        </w:trPr>
        <w:tc>
          <w:tcPr>
            <w:tcW w:w="2385" w:type="dxa"/>
            <w:vAlign w:val="center"/>
          </w:tcPr>
          <w:p w14:paraId="49DB1A4F" w14:textId="77777777" w:rsidR="00080BDC" w:rsidRDefault="00D7526C">
            <w:pPr>
              <w:spacing w:before="150" w:line="360" w:lineRule="auto"/>
              <w:ind w:left="225" w:right="95"/>
              <w:jc w:val="center"/>
              <w:rPr>
                <w:rFonts w:ascii="Public Sans" w:eastAsia="Public Sans" w:hAnsi="Public Sans" w:cs="Public Sans"/>
                <w:i/>
                <w:sz w:val="20"/>
                <w:szCs w:val="20"/>
              </w:rPr>
            </w:pPr>
            <w:r>
              <w:rPr>
                <w:rFonts w:ascii="Public Sans" w:eastAsia="Public Sans" w:hAnsi="Public Sans" w:cs="Public Sans"/>
                <w:i/>
                <w:color w:val="1B1B1B"/>
                <w:sz w:val="20"/>
                <w:szCs w:val="20"/>
              </w:rPr>
              <w:t>Cloud Management Office</w:t>
            </w:r>
          </w:p>
        </w:tc>
        <w:tc>
          <w:tcPr>
            <w:tcW w:w="2385" w:type="dxa"/>
            <w:vAlign w:val="center"/>
          </w:tcPr>
          <w:p w14:paraId="758D1ECA" w14:textId="77777777" w:rsidR="00080BDC" w:rsidRDefault="00D7526C">
            <w:pPr>
              <w:spacing w:line="360" w:lineRule="auto"/>
              <w:ind w:right="85"/>
              <w:jc w:val="center"/>
              <w:rPr>
                <w:rFonts w:ascii="Public Sans" w:eastAsia="Public Sans" w:hAnsi="Public Sans" w:cs="Public Sans"/>
                <w:sz w:val="20"/>
                <w:szCs w:val="20"/>
              </w:rPr>
            </w:pPr>
            <w:r>
              <w:rPr>
                <w:rFonts w:ascii="Public Sans" w:eastAsia="Public Sans" w:hAnsi="Public Sans" w:cs="Public Sans"/>
                <w:color w:val="1B1B1B"/>
                <w:sz w:val="20"/>
                <w:szCs w:val="20"/>
              </w:rPr>
              <w:t>Office</w:t>
            </w:r>
          </w:p>
        </w:tc>
        <w:tc>
          <w:tcPr>
            <w:tcW w:w="4665" w:type="dxa"/>
            <w:vAlign w:val="center"/>
          </w:tcPr>
          <w:p w14:paraId="41E32045" w14:textId="77777777" w:rsidR="00080BDC" w:rsidRDefault="00D7526C">
            <w:pPr>
              <w:spacing w:line="360" w:lineRule="auto"/>
              <w:ind w:left="180" w:right="80"/>
              <w:rPr>
                <w:rFonts w:ascii="Public Sans" w:eastAsia="Public Sans" w:hAnsi="Public Sans" w:cs="Public Sans"/>
                <w:sz w:val="20"/>
                <w:szCs w:val="20"/>
              </w:rPr>
            </w:pPr>
            <w:r>
              <w:rPr>
                <w:rFonts w:ascii="Public Sans" w:eastAsia="Public Sans" w:hAnsi="Public Sans" w:cs="Public Sans"/>
                <w:color w:val="1B1B1B"/>
                <w:sz w:val="20"/>
                <w:szCs w:val="20"/>
              </w:rPr>
              <w:t>Integrate your identity processes with existing enterprise ICAM services.</w:t>
            </w:r>
          </w:p>
        </w:tc>
      </w:tr>
      <w:tr w:rsidR="00080BDC" w14:paraId="32500000" w14:textId="77777777">
        <w:trPr>
          <w:trHeight w:val="1361"/>
        </w:trPr>
        <w:tc>
          <w:tcPr>
            <w:tcW w:w="2385" w:type="dxa"/>
            <w:vAlign w:val="center"/>
          </w:tcPr>
          <w:p w14:paraId="2FC10E29" w14:textId="77777777" w:rsidR="00080BDC" w:rsidRDefault="00D7526C">
            <w:pPr>
              <w:spacing w:before="150" w:line="360" w:lineRule="auto"/>
              <w:ind w:left="225" w:right="95"/>
              <w:jc w:val="center"/>
              <w:rPr>
                <w:rFonts w:ascii="Public Sans" w:eastAsia="Public Sans" w:hAnsi="Public Sans" w:cs="Public Sans"/>
                <w:i/>
                <w:sz w:val="20"/>
                <w:szCs w:val="20"/>
              </w:rPr>
            </w:pPr>
            <w:r>
              <w:rPr>
                <w:rFonts w:ascii="Public Sans" w:eastAsia="Public Sans" w:hAnsi="Public Sans" w:cs="Public Sans"/>
                <w:i/>
                <w:color w:val="1B1B1B"/>
                <w:sz w:val="20"/>
                <w:szCs w:val="20"/>
              </w:rPr>
              <w:t>Security Management Office</w:t>
            </w:r>
          </w:p>
        </w:tc>
        <w:tc>
          <w:tcPr>
            <w:tcW w:w="2385" w:type="dxa"/>
            <w:vAlign w:val="center"/>
          </w:tcPr>
          <w:p w14:paraId="1C48F6EA" w14:textId="77777777" w:rsidR="00080BDC" w:rsidRDefault="00D7526C">
            <w:pPr>
              <w:spacing w:line="360" w:lineRule="auto"/>
              <w:ind w:right="85"/>
              <w:jc w:val="center"/>
              <w:rPr>
                <w:rFonts w:ascii="Public Sans" w:eastAsia="Public Sans" w:hAnsi="Public Sans" w:cs="Public Sans"/>
                <w:sz w:val="20"/>
                <w:szCs w:val="20"/>
              </w:rPr>
            </w:pPr>
            <w:r>
              <w:rPr>
                <w:rFonts w:ascii="Public Sans" w:eastAsia="Public Sans" w:hAnsi="Public Sans" w:cs="Public Sans"/>
                <w:color w:val="1B1B1B"/>
                <w:sz w:val="20"/>
                <w:szCs w:val="20"/>
              </w:rPr>
              <w:t>Office</w:t>
            </w:r>
          </w:p>
        </w:tc>
        <w:tc>
          <w:tcPr>
            <w:tcW w:w="4665" w:type="dxa"/>
            <w:vAlign w:val="center"/>
          </w:tcPr>
          <w:p w14:paraId="36353571" w14:textId="77777777" w:rsidR="00080BDC" w:rsidRDefault="00D7526C">
            <w:pPr>
              <w:spacing w:line="360" w:lineRule="auto"/>
              <w:ind w:left="180" w:right="80"/>
              <w:rPr>
                <w:rFonts w:ascii="Public Sans" w:eastAsia="Public Sans" w:hAnsi="Public Sans" w:cs="Public Sans"/>
                <w:sz w:val="20"/>
                <w:szCs w:val="20"/>
              </w:rPr>
            </w:pPr>
            <w:r>
              <w:rPr>
                <w:rFonts w:ascii="Public Sans" w:eastAsia="Public Sans" w:hAnsi="Public Sans" w:cs="Public Sans"/>
                <w:color w:val="1B1B1B"/>
                <w:sz w:val="20"/>
                <w:szCs w:val="20"/>
              </w:rPr>
              <w:t>Generate a holistic view of security activities and events across platforms and environments.</w:t>
            </w:r>
          </w:p>
        </w:tc>
      </w:tr>
      <w:tr w:rsidR="00080BDC" w14:paraId="0B381122" w14:textId="77777777">
        <w:trPr>
          <w:trHeight w:val="610"/>
        </w:trPr>
        <w:tc>
          <w:tcPr>
            <w:tcW w:w="2385" w:type="dxa"/>
            <w:vAlign w:val="center"/>
          </w:tcPr>
          <w:p w14:paraId="421CD292" w14:textId="77777777" w:rsidR="00080BDC" w:rsidRDefault="00D7526C">
            <w:pPr>
              <w:spacing w:before="150" w:line="360" w:lineRule="auto"/>
              <w:ind w:left="225" w:right="95"/>
              <w:jc w:val="center"/>
              <w:rPr>
                <w:rFonts w:ascii="Public Sans" w:eastAsia="Public Sans" w:hAnsi="Public Sans" w:cs="Public Sans"/>
                <w:i/>
                <w:sz w:val="20"/>
                <w:szCs w:val="20"/>
              </w:rPr>
            </w:pPr>
            <w:r>
              <w:rPr>
                <w:rFonts w:ascii="Public Sans" w:eastAsia="Public Sans" w:hAnsi="Public Sans" w:cs="Public Sans"/>
                <w:i/>
                <w:color w:val="1B1B1B"/>
                <w:sz w:val="20"/>
                <w:szCs w:val="20"/>
              </w:rPr>
              <w:t>DevOps Office</w:t>
            </w:r>
          </w:p>
        </w:tc>
        <w:tc>
          <w:tcPr>
            <w:tcW w:w="2385" w:type="dxa"/>
            <w:vAlign w:val="center"/>
          </w:tcPr>
          <w:p w14:paraId="66C70B52" w14:textId="77777777" w:rsidR="00080BDC" w:rsidRDefault="00D7526C">
            <w:pPr>
              <w:spacing w:before="150" w:line="360" w:lineRule="auto"/>
              <w:ind w:right="85"/>
              <w:jc w:val="center"/>
              <w:rPr>
                <w:rFonts w:ascii="Public Sans" w:eastAsia="Public Sans" w:hAnsi="Public Sans" w:cs="Public Sans"/>
                <w:sz w:val="20"/>
                <w:szCs w:val="20"/>
              </w:rPr>
            </w:pPr>
            <w:r>
              <w:rPr>
                <w:rFonts w:ascii="Public Sans" w:eastAsia="Public Sans" w:hAnsi="Public Sans" w:cs="Public Sans"/>
                <w:color w:val="1B1B1B"/>
                <w:sz w:val="20"/>
                <w:szCs w:val="20"/>
              </w:rPr>
              <w:t>Office</w:t>
            </w:r>
          </w:p>
        </w:tc>
        <w:tc>
          <w:tcPr>
            <w:tcW w:w="4665" w:type="dxa"/>
            <w:vAlign w:val="center"/>
          </w:tcPr>
          <w:p w14:paraId="7D0A3249" w14:textId="77777777" w:rsidR="00080BDC" w:rsidRDefault="00D7526C">
            <w:pPr>
              <w:spacing w:before="150" w:line="360" w:lineRule="auto"/>
              <w:ind w:left="180" w:right="80"/>
              <w:rPr>
                <w:rFonts w:ascii="Public Sans" w:eastAsia="Public Sans" w:hAnsi="Public Sans" w:cs="Public Sans"/>
                <w:sz w:val="20"/>
                <w:szCs w:val="20"/>
              </w:rPr>
            </w:pPr>
            <w:r>
              <w:rPr>
                <w:rFonts w:ascii="Public Sans" w:eastAsia="Public Sans" w:hAnsi="Public Sans" w:cs="Public Sans"/>
                <w:color w:val="1B1B1B"/>
                <w:sz w:val="20"/>
                <w:szCs w:val="20"/>
              </w:rPr>
              <w:t>Secure and automate DevOps identities.</w:t>
            </w:r>
          </w:p>
        </w:tc>
      </w:tr>
    </w:tbl>
    <w:p w14:paraId="00F60D83" w14:textId="77777777" w:rsidR="00080BDC" w:rsidRDefault="00D7526C">
      <w:pPr>
        <w:spacing w:after="120" w:line="360" w:lineRule="auto"/>
        <w:jc w:val="center"/>
        <w:rPr>
          <w:rFonts w:ascii="Public Sans" w:eastAsia="Public Sans" w:hAnsi="Public Sans" w:cs="Public Sans"/>
        </w:rPr>
      </w:pPr>
      <w:r>
        <w:rPr>
          <w:rFonts w:ascii="Public Sans" w:eastAsia="Public Sans" w:hAnsi="Public Sans" w:cs="Public Sans"/>
        </w:rPr>
        <w:t>Table 1: Stakeholder Table</w:t>
      </w:r>
    </w:p>
    <w:p w14:paraId="7A710AFE" w14:textId="77777777" w:rsidR="00080BDC" w:rsidRDefault="00D7526C">
      <w:pPr>
        <w:pStyle w:val="Heading2"/>
        <w:spacing w:line="360" w:lineRule="auto"/>
        <w:rPr>
          <w:rFonts w:ascii="Public Sans" w:eastAsia="Public Sans" w:hAnsi="Public Sans" w:cs="Public Sans"/>
        </w:rPr>
      </w:pPr>
      <w:bookmarkStart w:id="6" w:name="_4lidh4aliq1a" w:colFirst="0" w:colLast="0"/>
      <w:bookmarkEnd w:id="6"/>
      <w:r>
        <w:rPr>
          <w:rFonts w:ascii="Public Sans" w:eastAsia="Public Sans" w:hAnsi="Public Sans" w:cs="Public Sans"/>
        </w:rPr>
        <w:t>Disclaimer</w:t>
      </w:r>
    </w:p>
    <w:p w14:paraId="5DBF9926"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This playbook was developed by the Cloud Identity Working Group of the Federal Chief Information Security Officer Council ICAM Subcommittee in collaboration with the Federal Chief Information Officer Council Cloud &amp; Infrastructure Community of Practice. Th</w:t>
      </w:r>
      <w:r>
        <w:rPr>
          <w:rFonts w:ascii="Public Sans" w:eastAsia="Public Sans" w:hAnsi="Public Sans" w:cs="Public Sans"/>
        </w:rPr>
        <w:t xml:space="preserve">is playbook is intended to help U.S. Federal Executive Branch agencies understand and plan use of cloud infrastructure as it relates to the </w:t>
      </w:r>
      <w:hyperlink r:id="rId10">
        <w:r>
          <w:rPr>
            <w:rFonts w:ascii="Public Sans" w:eastAsia="Public Sans" w:hAnsi="Public Sans" w:cs="Public Sans"/>
            <w:color w:val="1155CC"/>
            <w:u w:val="single"/>
          </w:rPr>
          <w:t>FICAM Architecture Services Framework</w:t>
        </w:r>
      </w:hyperlink>
      <w:r>
        <w:rPr>
          <w:rFonts w:ascii="Public Sans" w:eastAsia="Public Sans" w:hAnsi="Public Sans" w:cs="Public Sans"/>
        </w:rPr>
        <w:t>. This pla</w:t>
      </w:r>
      <w:r>
        <w:rPr>
          <w:rFonts w:ascii="Public Sans" w:eastAsia="Public Sans" w:hAnsi="Public Sans" w:cs="Public Sans"/>
        </w:rPr>
        <w:t xml:space="preserve">ybook is not official policy or mandated action and does not provide authoritative information technology terms. This playbook includes best practices to supplement existing federal policies and builds upon </w:t>
      </w:r>
      <w:hyperlink r:id="rId11">
        <w:r>
          <w:rPr>
            <w:rFonts w:ascii="Public Sans" w:eastAsia="Public Sans" w:hAnsi="Public Sans" w:cs="Public Sans"/>
            <w:color w:val="1155CC"/>
            <w:u w:val="single"/>
          </w:rPr>
          <w:t>Executive Order 14028</w:t>
        </w:r>
      </w:hyperlink>
      <w:r>
        <w:rPr>
          <w:rFonts w:ascii="Public Sans" w:eastAsia="Public Sans" w:hAnsi="Public Sans" w:cs="Public Sans"/>
        </w:rPr>
        <w:t xml:space="preserve"> and </w:t>
      </w:r>
      <w:hyperlink r:id="rId12">
        <w:r>
          <w:rPr>
            <w:rFonts w:ascii="Public Sans" w:eastAsia="Public Sans" w:hAnsi="Public Sans" w:cs="Public Sans"/>
            <w:color w:val="1155CC"/>
            <w:u w:val="single"/>
          </w:rPr>
          <w:t>Office of Management and Budget Memorandum 19-17</w:t>
        </w:r>
      </w:hyperlink>
      <w:r>
        <w:rPr>
          <w:rFonts w:ascii="Public Sans" w:eastAsia="Public Sans" w:hAnsi="Public Sans" w:cs="Public Sans"/>
        </w:rPr>
        <w:t>, as well as existing feder</w:t>
      </w:r>
      <w:r>
        <w:rPr>
          <w:rFonts w:ascii="Public Sans" w:eastAsia="Public Sans" w:hAnsi="Public Sans" w:cs="Public Sans"/>
        </w:rPr>
        <w:t>al identity guidance and playbook. Subject areas with intersecting scope, such as cloud operating models, Federal Risk and Authorization Management Program (FedRAMP) and enterprise governance, are considered only to the extent that they relate to either op</w:t>
      </w:r>
      <w:r>
        <w:rPr>
          <w:rFonts w:ascii="Public Sans" w:eastAsia="Public Sans" w:hAnsi="Public Sans" w:cs="Public Sans"/>
        </w:rPr>
        <w:t>erating FICAM services or performing FICAM processes in a cloud service model.</w:t>
      </w:r>
    </w:p>
    <w:p w14:paraId="1A633B52" w14:textId="77777777" w:rsidR="00080BDC" w:rsidRDefault="00D7526C">
      <w:pPr>
        <w:pStyle w:val="Heading1"/>
        <w:spacing w:line="360" w:lineRule="auto"/>
        <w:rPr>
          <w:rFonts w:ascii="Public Sans" w:eastAsia="Public Sans" w:hAnsi="Public Sans" w:cs="Public Sans"/>
        </w:rPr>
      </w:pPr>
      <w:bookmarkStart w:id="7" w:name="_bnmlxi13ao6y" w:colFirst="0" w:colLast="0"/>
      <w:bookmarkEnd w:id="7"/>
      <w:r>
        <w:rPr>
          <w:rFonts w:ascii="Public Sans" w:eastAsia="Public Sans" w:hAnsi="Public Sans" w:cs="Public Sans"/>
        </w:rPr>
        <w:t>Cloud Identity 101</w:t>
      </w:r>
    </w:p>
    <w:p w14:paraId="6BE77D92"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Identity is foundational to security </w:t>
      </w:r>
      <w:proofErr w:type="gramStart"/>
      <w:r>
        <w:rPr>
          <w:rFonts w:ascii="Public Sans" w:eastAsia="Public Sans" w:hAnsi="Public Sans" w:cs="Public Sans"/>
        </w:rPr>
        <w:t>on-premise</w:t>
      </w:r>
      <w:proofErr w:type="gramEnd"/>
      <w:r>
        <w:rPr>
          <w:rFonts w:ascii="Public Sans" w:eastAsia="Public Sans" w:hAnsi="Public Sans" w:cs="Public Sans"/>
        </w:rPr>
        <w:t xml:space="preserve"> and within cloud environments. It is the first </w:t>
      </w:r>
      <w:r>
        <w:rPr>
          <w:rFonts w:ascii="Public Sans" w:eastAsia="Public Sans" w:hAnsi="Public Sans" w:cs="Public Sans"/>
        </w:rPr>
        <w:lastRenderedPageBreak/>
        <w:t>touchpoint to access data and impacts the entire user experienc</w:t>
      </w:r>
      <w:r>
        <w:rPr>
          <w:rFonts w:ascii="Public Sans" w:eastAsia="Public Sans" w:hAnsi="Public Sans" w:cs="Public Sans"/>
        </w:rPr>
        <w:t xml:space="preserve">e in a cloud service. In the context of this playbook, </w:t>
      </w:r>
      <w:r>
        <w:rPr>
          <w:rFonts w:ascii="Public Sans" w:eastAsia="Public Sans" w:hAnsi="Public Sans" w:cs="Public Sans"/>
          <w:b/>
        </w:rPr>
        <w:t xml:space="preserve">Cloud </w:t>
      </w:r>
      <w:proofErr w:type="gramStart"/>
      <w:r>
        <w:rPr>
          <w:rFonts w:ascii="Public Sans" w:eastAsia="Public Sans" w:hAnsi="Public Sans" w:cs="Public Sans"/>
          <w:b/>
        </w:rPr>
        <w:t>Identity</w:t>
      </w:r>
      <w:proofErr w:type="gramEnd"/>
      <w:r>
        <w:rPr>
          <w:rFonts w:ascii="Public Sans" w:eastAsia="Public Sans" w:hAnsi="Public Sans" w:cs="Public Sans"/>
          <w:b/>
        </w:rPr>
        <w:t xml:space="preserve"> or Identity as a Service (</w:t>
      </w:r>
      <w:proofErr w:type="spellStart"/>
      <w:r>
        <w:rPr>
          <w:rFonts w:ascii="Public Sans" w:eastAsia="Public Sans" w:hAnsi="Public Sans" w:cs="Public Sans"/>
          <w:b/>
        </w:rPr>
        <w:t>IDaaS</w:t>
      </w:r>
      <w:proofErr w:type="spellEnd"/>
      <w:r>
        <w:rPr>
          <w:rFonts w:ascii="Public Sans" w:eastAsia="Public Sans" w:hAnsi="Public Sans" w:cs="Public Sans"/>
          <w:b/>
        </w:rPr>
        <w:t>), typically delivered in a Software as a Service model, is the application of ICAM processes, patterns, and technology to cloud-based services such as sof</w:t>
      </w:r>
      <w:r>
        <w:rPr>
          <w:rFonts w:ascii="Public Sans" w:eastAsia="Public Sans" w:hAnsi="Public Sans" w:cs="Public Sans"/>
          <w:b/>
        </w:rPr>
        <w:t xml:space="preserve">tware, platform, or infrastructure as a service. </w:t>
      </w:r>
      <w:r>
        <w:rPr>
          <w:rFonts w:ascii="Public Sans" w:eastAsia="Public Sans" w:hAnsi="Public Sans" w:cs="Public Sans"/>
        </w:rPr>
        <w:t xml:space="preserve">In cloud environments, identities act as a perimeter for protecting applications and workloads where traditionally these were network-based defenses. The below table highlights the main differences based on </w:t>
      </w:r>
      <w:r>
        <w:rPr>
          <w:rFonts w:ascii="Public Sans" w:eastAsia="Public Sans" w:hAnsi="Public Sans" w:cs="Public Sans"/>
        </w:rPr>
        <w:t>the National Institute of Science and Technology (NIST) five essential cloud characteristics.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525"/>
        <w:gridCol w:w="3525"/>
      </w:tblGrid>
      <w:tr w:rsidR="00080BDC" w14:paraId="48BBCE58" w14:textId="77777777">
        <w:tc>
          <w:tcPr>
            <w:tcW w:w="2310" w:type="dxa"/>
            <w:shd w:val="clear" w:color="auto" w:fill="0579BD"/>
            <w:vAlign w:val="center"/>
          </w:tcPr>
          <w:p w14:paraId="2AC94081"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Essential Characteristic</w:t>
            </w:r>
          </w:p>
        </w:tc>
        <w:tc>
          <w:tcPr>
            <w:tcW w:w="3525" w:type="dxa"/>
            <w:shd w:val="clear" w:color="auto" w:fill="0579BD"/>
            <w:vAlign w:val="center"/>
          </w:tcPr>
          <w:p w14:paraId="05BC4F16" w14:textId="77777777" w:rsidR="00080BDC" w:rsidRDefault="00D7526C">
            <w:pPr>
              <w:spacing w:line="360" w:lineRule="auto"/>
              <w:jc w:val="center"/>
              <w:rPr>
                <w:rFonts w:ascii="Public Sans" w:eastAsia="Public Sans" w:hAnsi="Public Sans" w:cs="Public Sans"/>
                <w:b/>
                <w:color w:val="FFFFFF"/>
                <w:sz w:val="20"/>
                <w:szCs w:val="20"/>
              </w:rPr>
            </w:pPr>
            <w:proofErr w:type="gramStart"/>
            <w:r>
              <w:rPr>
                <w:rFonts w:ascii="Public Sans" w:eastAsia="Public Sans" w:hAnsi="Public Sans" w:cs="Public Sans"/>
                <w:b/>
                <w:color w:val="FFFFFF"/>
                <w:sz w:val="20"/>
                <w:szCs w:val="20"/>
              </w:rPr>
              <w:t>On-Premise</w:t>
            </w:r>
            <w:proofErr w:type="gramEnd"/>
            <w:r>
              <w:rPr>
                <w:rFonts w:ascii="Public Sans" w:eastAsia="Public Sans" w:hAnsi="Public Sans" w:cs="Public Sans"/>
                <w:b/>
                <w:color w:val="FFFFFF"/>
                <w:sz w:val="20"/>
                <w:szCs w:val="20"/>
              </w:rPr>
              <w:t xml:space="preserve"> Identity</w:t>
            </w:r>
          </w:p>
        </w:tc>
        <w:tc>
          <w:tcPr>
            <w:tcW w:w="3525" w:type="dxa"/>
            <w:shd w:val="clear" w:color="auto" w:fill="0579BD"/>
            <w:vAlign w:val="center"/>
          </w:tcPr>
          <w:p w14:paraId="2432B7A4"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Cloud Identity</w:t>
            </w:r>
          </w:p>
        </w:tc>
      </w:tr>
      <w:tr w:rsidR="00080BDC" w14:paraId="647B56A4" w14:textId="77777777">
        <w:tc>
          <w:tcPr>
            <w:tcW w:w="2310" w:type="dxa"/>
            <w:shd w:val="clear" w:color="auto" w:fill="auto"/>
            <w:tcMar>
              <w:top w:w="100" w:type="dxa"/>
              <w:left w:w="100" w:type="dxa"/>
              <w:bottom w:w="100" w:type="dxa"/>
              <w:right w:w="100" w:type="dxa"/>
            </w:tcMar>
            <w:vAlign w:val="center"/>
          </w:tcPr>
          <w:p w14:paraId="67E7CF8C"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On-Demand Self Service</w:t>
            </w:r>
          </w:p>
        </w:tc>
        <w:tc>
          <w:tcPr>
            <w:tcW w:w="3525" w:type="dxa"/>
            <w:shd w:val="clear" w:color="auto" w:fill="auto"/>
            <w:tcMar>
              <w:top w:w="100" w:type="dxa"/>
              <w:left w:w="100" w:type="dxa"/>
              <w:bottom w:w="100" w:type="dxa"/>
              <w:right w:w="100" w:type="dxa"/>
            </w:tcMar>
            <w:vAlign w:val="center"/>
          </w:tcPr>
          <w:p w14:paraId="431215EF"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Full control over all configuration settings.</w:t>
            </w:r>
          </w:p>
        </w:tc>
        <w:tc>
          <w:tcPr>
            <w:tcW w:w="3525" w:type="dxa"/>
            <w:shd w:val="clear" w:color="auto" w:fill="auto"/>
            <w:tcMar>
              <w:top w:w="100" w:type="dxa"/>
              <w:left w:w="100" w:type="dxa"/>
              <w:bottom w:w="100" w:type="dxa"/>
              <w:right w:w="100" w:type="dxa"/>
            </w:tcMar>
            <w:vAlign w:val="center"/>
          </w:tcPr>
          <w:p w14:paraId="27E05721"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 xml:space="preserve">Controls limited to those allowed by the </w:t>
            </w:r>
            <w:proofErr w:type="spellStart"/>
            <w:r>
              <w:rPr>
                <w:rFonts w:ascii="Public Sans" w:eastAsia="Public Sans" w:hAnsi="Public Sans" w:cs="Public Sans"/>
              </w:rPr>
              <w:t>IDaaS</w:t>
            </w:r>
            <w:proofErr w:type="spellEnd"/>
            <w:r>
              <w:rPr>
                <w:rFonts w:ascii="Public Sans" w:eastAsia="Public Sans" w:hAnsi="Public Sans" w:cs="Public Sans"/>
              </w:rPr>
              <w:t>.</w:t>
            </w:r>
          </w:p>
        </w:tc>
      </w:tr>
      <w:tr w:rsidR="00080BDC" w14:paraId="5C3CD612" w14:textId="77777777">
        <w:tc>
          <w:tcPr>
            <w:tcW w:w="2310" w:type="dxa"/>
            <w:shd w:val="clear" w:color="auto" w:fill="auto"/>
            <w:tcMar>
              <w:top w:w="100" w:type="dxa"/>
              <w:left w:w="100" w:type="dxa"/>
              <w:bottom w:w="100" w:type="dxa"/>
              <w:right w:w="100" w:type="dxa"/>
            </w:tcMar>
            <w:vAlign w:val="center"/>
          </w:tcPr>
          <w:p w14:paraId="6AB7C09F"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Rapid Elasticity</w:t>
            </w:r>
          </w:p>
        </w:tc>
        <w:tc>
          <w:tcPr>
            <w:tcW w:w="3525" w:type="dxa"/>
            <w:shd w:val="clear" w:color="auto" w:fill="auto"/>
            <w:tcMar>
              <w:top w:w="100" w:type="dxa"/>
              <w:left w:w="100" w:type="dxa"/>
              <w:bottom w:w="100" w:type="dxa"/>
              <w:right w:w="100" w:type="dxa"/>
            </w:tcMar>
            <w:vAlign w:val="center"/>
          </w:tcPr>
          <w:p w14:paraId="266574F2"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Limited, potentially automated scaling to the number of dedicated servers.</w:t>
            </w:r>
          </w:p>
        </w:tc>
        <w:tc>
          <w:tcPr>
            <w:tcW w:w="3525" w:type="dxa"/>
            <w:shd w:val="clear" w:color="auto" w:fill="auto"/>
            <w:tcMar>
              <w:top w:w="100" w:type="dxa"/>
              <w:left w:w="100" w:type="dxa"/>
              <w:bottom w:w="100" w:type="dxa"/>
              <w:right w:w="100" w:type="dxa"/>
            </w:tcMar>
            <w:vAlign w:val="center"/>
          </w:tcPr>
          <w:p w14:paraId="1D4431F2"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 xml:space="preserve">Unlimited, automated scaling which is transparent to the user and typically included in base </w:t>
            </w:r>
            <w:proofErr w:type="spellStart"/>
            <w:r>
              <w:rPr>
                <w:rFonts w:ascii="Public Sans" w:eastAsia="Public Sans" w:hAnsi="Public Sans" w:cs="Public Sans"/>
              </w:rPr>
              <w:t>IDaaS</w:t>
            </w:r>
            <w:proofErr w:type="spellEnd"/>
            <w:r>
              <w:rPr>
                <w:rFonts w:ascii="Public Sans" w:eastAsia="Public Sans" w:hAnsi="Public Sans" w:cs="Public Sans"/>
              </w:rPr>
              <w:t xml:space="preserve"> pricing.</w:t>
            </w:r>
          </w:p>
        </w:tc>
      </w:tr>
      <w:tr w:rsidR="00080BDC" w14:paraId="1BBB6B6D" w14:textId="77777777">
        <w:tc>
          <w:tcPr>
            <w:tcW w:w="2310" w:type="dxa"/>
            <w:shd w:val="clear" w:color="auto" w:fill="auto"/>
            <w:tcMar>
              <w:top w:w="100" w:type="dxa"/>
              <w:left w:w="100" w:type="dxa"/>
              <w:bottom w:w="100" w:type="dxa"/>
              <w:right w:w="100" w:type="dxa"/>
            </w:tcMar>
            <w:vAlign w:val="center"/>
          </w:tcPr>
          <w:p w14:paraId="24ED637B"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Measured Service</w:t>
            </w:r>
          </w:p>
        </w:tc>
        <w:tc>
          <w:tcPr>
            <w:tcW w:w="3525" w:type="dxa"/>
            <w:shd w:val="clear" w:color="auto" w:fill="auto"/>
            <w:tcMar>
              <w:top w:w="100" w:type="dxa"/>
              <w:left w:w="100" w:type="dxa"/>
              <w:bottom w:w="100" w:type="dxa"/>
              <w:right w:w="100" w:type="dxa"/>
            </w:tcMar>
            <w:vAlign w:val="center"/>
          </w:tcPr>
          <w:p w14:paraId="420E3196"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Pricing is usually perpetual-based licensing or by numb</w:t>
            </w:r>
            <w:r>
              <w:rPr>
                <w:rFonts w:ascii="Public Sans" w:eastAsia="Public Sans" w:hAnsi="Public Sans" w:cs="Public Sans"/>
              </w:rPr>
              <w:t>er of instances.</w:t>
            </w:r>
          </w:p>
        </w:tc>
        <w:tc>
          <w:tcPr>
            <w:tcW w:w="3525" w:type="dxa"/>
            <w:shd w:val="clear" w:color="auto" w:fill="auto"/>
            <w:tcMar>
              <w:top w:w="100" w:type="dxa"/>
              <w:left w:w="100" w:type="dxa"/>
              <w:bottom w:w="100" w:type="dxa"/>
              <w:right w:w="100" w:type="dxa"/>
            </w:tcMar>
            <w:vAlign w:val="center"/>
          </w:tcPr>
          <w:p w14:paraId="35912168"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Cloud pricing is typically based on volume such as number of uses, applications, or authentications per month.</w:t>
            </w:r>
          </w:p>
        </w:tc>
      </w:tr>
      <w:tr w:rsidR="00080BDC" w14:paraId="0E5E8D3E" w14:textId="77777777">
        <w:tc>
          <w:tcPr>
            <w:tcW w:w="2310" w:type="dxa"/>
            <w:shd w:val="clear" w:color="auto" w:fill="auto"/>
            <w:tcMar>
              <w:top w:w="100" w:type="dxa"/>
              <w:left w:w="100" w:type="dxa"/>
              <w:bottom w:w="100" w:type="dxa"/>
              <w:right w:w="100" w:type="dxa"/>
            </w:tcMar>
            <w:vAlign w:val="center"/>
          </w:tcPr>
          <w:p w14:paraId="0014E382"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Resource Pooling</w:t>
            </w:r>
          </w:p>
        </w:tc>
        <w:tc>
          <w:tcPr>
            <w:tcW w:w="3525" w:type="dxa"/>
            <w:shd w:val="clear" w:color="auto" w:fill="auto"/>
            <w:tcMar>
              <w:top w:w="100" w:type="dxa"/>
              <w:left w:w="100" w:type="dxa"/>
              <w:bottom w:w="100" w:type="dxa"/>
              <w:right w:w="100" w:type="dxa"/>
            </w:tcMar>
            <w:vAlign w:val="center"/>
          </w:tcPr>
          <w:p w14:paraId="3C689A77"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proofErr w:type="gramStart"/>
            <w:r>
              <w:rPr>
                <w:rFonts w:ascii="Public Sans" w:eastAsia="Public Sans" w:hAnsi="Public Sans" w:cs="Public Sans"/>
              </w:rPr>
              <w:t>Typically</w:t>
            </w:r>
            <w:proofErr w:type="gramEnd"/>
            <w:r>
              <w:rPr>
                <w:rFonts w:ascii="Public Sans" w:eastAsia="Public Sans" w:hAnsi="Public Sans" w:cs="Public Sans"/>
              </w:rPr>
              <w:t xml:space="preserve"> dedicated government-furnished equipment owned and maintained by a federal agency.</w:t>
            </w:r>
          </w:p>
        </w:tc>
        <w:tc>
          <w:tcPr>
            <w:tcW w:w="3525" w:type="dxa"/>
            <w:shd w:val="clear" w:color="auto" w:fill="auto"/>
            <w:tcMar>
              <w:top w:w="100" w:type="dxa"/>
              <w:left w:w="100" w:type="dxa"/>
              <w:bottom w:w="100" w:type="dxa"/>
              <w:right w:w="100" w:type="dxa"/>
            </w:tcMar>
            <w:vAlign w:val="center"/>
          </w:tcPr>
          <w:p w14:paraId="13FA8F77"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Shared, commercia</w:t>
            </w:r>
            <w:r>
              <w:rPr>
                <w:rFonts w:ascii="Public Sans" w:eastAsia="Public Sans" w:hAnsi="Public Sans" w:cs="Public Sans"/>
              </w:rPr>
              <w:t xml:space="preserve">l hardware owned and maintained by an </w:t>
            </w:r>
            <w:proofErr w:type="spellStart"/>
            <w:r>
              <w:rPr>
                <w:rFonts w:ascii="Public Sans" w:eastAsia="Public Sans" w:hAnsi="Public Sans" w:cs="Public Sans"/>
              </w:rPr>
              <w:t>IDaaS</w:t>
            </w:r>
            <w:proofErr w:type="spellEnd"/>
            <w:r>
              <w:rPr>
                <w:rFonts w:ascii="Public Sans" w:eastAsia="Public Sans" w:hAnsi="Public Sans" w:cs="Public Sans"/>
              </w:rPr>
              <w:t xml:space="preserve"> provider which is segmented by customer.</w:t>
            </w:r>
          </w:p>
        </w:tc>
      </w:tr>
      <w:tr w:rsidR="00080BDC" w14:paraId="3761FCD0" w14:textId="77777777">
        <w:tc>
          <w:tcPr>
            <w:tcW w:w="2310" w:type="dxa"/>
            <w:shd w:val="clear" w:color="auto" w:fill="auto"/>
            <w:tcMar>
              <w:top w:w="100" w:type="dxa"/>
              <w:left w:w="100" w:type="dxa"/>
              <w:bottom w:w="100" w:type="dxa"/>
              <w:right w:w="100" w:type="dxa"/>
            </w:tcMar>
            <w:vAlign w:val="center"/>
          </w:tcPr>
          <w:p w14:paraId="5C5D4229"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Broad Network Access</w:t>
            </w:r>
          </w:p>
        </w:tc>
        <w:tc>
          <w:tcPr>
            <w:tcW w:w="3525" w:type="dxa"/>
            <w:shd w:val="clear" w:color="auto" w:fill="auto"/>
            <w:tcMar>
              <w:top w:w="100" w:type="dxa"/>
              <w:left w:w="100" w:type="dxa"/>
              <w:bottom w:w="100" w:type="dxa"/>
              <w:right w:w="100" w:type="dxa"/>
            </w:tcMar>
            <w:vAlign w:val="center"/>
          </w:tcPr>
          <w:p w14:paraId="00C01968"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Access is restricted to an agency network. Creating an internet-accessible service may require additional load balancers, network bandwidth, and geographic dispersion.</w:t>
            </w:r>
          </w:p>
        </w:tc>
        <w:tc>
          <w:tcPr>
            <w:tcW w:w="3525" w:type="dxa"/>
            <w:shd w:val="clear" w:color="auto" w:fill="auto"/>
            <w:tcMar>
              <w:top w:w="100" w:type="dxa"/>
              <w:left w:w="100" w:type="dxa"/>
              <w:bottom w:w="100" w:type="dxa"/>
              <w:right w:w="100" w:type="dxa"/>
            </w:tcMar>
            <w:vAlign w:val="center"/>
          </w:tcPr>
          <w:p w14:paraId="649B5D95"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Globally available through geographic-based content delivery networks that offer between</w:t>
            </w:r>
            <w:r>
              <w:rPr>
                <w:rFonts w:ascii="Public Sans" w:eastAsia="Public Sans" w:hAnsi="Public Sans" w:cs="Public Sans"/>
              </w:rPr>
              <w:t xml:space="preserve"> 99.99 to 99.9999 reliability.</w:t>
            </w:r>
          </w:p>
        </w:tc>
      </w:tr>
    </w:tbl>
    <w:p w14:paraId="452C9B24" w14:textId="77777777" w:rsidR="00080BDC" w:rsidRDefault="00D7526C">
      <w:pPr>
        <w:spacing w:after="120" w:line="360" w:lineRule="auto"/>
        <w:jc w:val="center"/>
        <w:rPr>
          <w:rFonts w:ascii="Public Sans" w:eastAsia="Public Sans" w:hAnsi="Public Sans" w:cs="Public Sans"/>
        </w:rPr>
      </w:pPr>
      <w:r>
        <w:rPr>
          <w:rFonts w:ascii="Public Sans" w:eastAsia="Public Sans" w:hAnsi="Public Sans" w:cs="Public Sans"/>
        </w:rPr>
        <w:t xml:space="preserve">Table 2. Differences between </w:t>
      </w:r>
      <w:proofErr w:type="gramStart"/>
      <w:r>
        <w:rPr>
          <w:rFonts w:ascii="Public Sans" w:eastAsia="Public Sans" w:hAnsi="Public Sans" w:cs="Public Sans"/>
        </w:rPr>
        <w:t>On-Premise</w:t>
      </w:r>
      <w:proofErr w:type="gramEnd"/>
      <w:r>
        <w:rPr>
          <w:rFonts w:ascii="Public Sans" w:eastAsia="Public Sans" w:hAnsi="Public Sans" w:cs="Public Sans"/>
        </w:rPr>
        <w:t xml:space="preserve"> Identity and Cloud Identity</w:t>
      </w:r>
    </w:p>
    <w:p w14:paraId="5B489D47"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Overall, </w:t>
      </w:r>
      <w:proofErr w:type="spellStart"/>
      <w:r>
        <w:rPr>
          <w:rFonts w:ascii="Public Sans" w:eastAsia="Public Sans" w:hAnsi="Public Sans" w:cs="Public Sans"/>
        </w:rPr>
        <w:t>IDaaS</w:t>
      </w:r>
      <w:proofErr w:type="spellEnd"/>
      <w:r>
        <w:rPr>
          <w:rFonts w:ascii="Public Sans" w:eastAsia="Public Sans" w:hAnsi="Public Sans" w:cs="Public Sans"/>
        </w:rPr>
        <w:t xml:space="preserve"> has many benefits over </w:t>
      </w:r>
      <w:proofErr w:type="gramStart"/>
      <w:r>
        <w:rPr>
          <w:rFonts w:ascii="Public Sans" w:eastAsia="Public Sans" w:hAnsi="Public Sans" w:cs="Public Sans"/>
        </w:rPr>
        <w:t>on-premise</w:t>
      </w:r>
      <w:proofErr w:type="gramEnd"/>
      <w:r>
        <w:rPr>
          <w:rFonts w:ascii="Public Sans" w:eastAsia="Public Sans" w:hAnsi="Public Sans" w:cs="Public Sans"/>
        </w:rPr>
        <w:t xml:space="preserve"> identity services. The most common pattern for </w:t>
      </w:r>
      <w:proofErr w:type="spellStart"/>
      <w:r>
        <w:rPr>
          <w:rFonts w:ascii="Public Sans" w:eastAsia="Public Sans" w:hAnsi="Public Sans" w:cs="Public Sans"/>
        </w:rPr>
        <w:t>IDaaS</w:t>
      </w:r>
      <w:proofErr w:type="spellEnd"/>
      <w:r>
        <w:rPr>
          <w:rFonts w:ascii="Public Sans" w:eastAsia="Public Sans" w:hAnsi="Public Sans" w:cs="Public Sans"/>
        </w:rPr>
        <w:t xml:space="preserve"> is Single Sign-On (SSO) or Identity Provider. SSO and </w:t>
      </w:r>
      <w:r>
        <w:rPr>
          <w:rFonts w:ascii="Public Sans" w:eastAsia="Public Sans" w:hAnsi="Public Sans" w:cs="Public Sans"/>
        </w:rPr>
        <w:t>Identity Provider terms may be used interchangeably, but essentially perform the same function of managing user authenticators and access to applications. It is also the primary pattern to federate or share digital identities, attributes, and credentials m</w:t>
      </w:r>
      <w:r>
        <w:rPr>
          <w:rFonts w:ascii="Public Sans" w:eastAsia="Public Sans" w:hAnsi="Public Sans" w:cs="Public Sans"/>
        </w:rPr>
        <w:t>anaged by other agencies.</w:t>
      </w:r>
    </w:p>
    <w:p w14:paraId="0BC68789"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lastRenderedPageBreak/>
        <w:t xml:space="preserve">The adoption of cloud services adds challenges as well, one of which relates to security. Cloud services operate on a shared responsibility model where some of the responsibility is with the cloud provider and some with the cloud </w:t>
      </w:r>
      <w:r>
        <w:rPr>
          <w:rFonts w:ascii="Public Sans" w:eastAsia="Public Sans" w:hAnsi="Public Sans" w:cs="Public Sans"/>
        </w:rPr>
        <w:t>consumer. In no case should one consider the cloud to be “secure” simply because the cloud provider is “responsible for security”. Principles such as least privilege, role-based access, multi-factor authentication (MFA) will always be an agency responsibil</w:t>
      </w:r>
      <w:r>
        <w:rPr>
          <w:rFonts w:ascii="Public Sans" w:eastAsia="Public Sans" w:hAnsi="Public Sans" w:cs="Public Sans"/>
        </w:rPr>
        <w:t xml:space="preserve">ity no matter the cloud service model. The below graphic identifies the unique security considerations of an </w:t>
      </w:r>
      <w:proofErr w:type="spellStart"/>
      <w:r>
        <w:rPr>
          <w:rFonts w:ascii="Public Sans" w:eastAsia="Public Sans" w:hAnsi="Public Sans" w:cs="Public Sans"/>
        </w:rPr>
        <w:t>IDaaS</w:t>
      </w:r>
      <w:proofErr w:type="spellEnd"/>
      <w:r>
        <w:rPr>
          <w:rFonts w:ascii="Public Sans" w:eastAsia="Public Sans" w:hAnsi="Public Sans" w:cs="Public Sans"/>
        </w:rPr>
        <w:t>.</w:t>
      </w:r>
    </w:p>
    <w:p w14:paraId="5A4A44F8" w14:textId="77777777" w:rsidR="00080BDC" w:rsidRDefault="00D7526C">
      <w:pPr>
        <w:spacing w:after="120" w:line="360" w:lineRule="auto"/>
        <w:jc w:val="center"/>
        <w:rPr>
          <w:rFonts w:ascii="Public Sans" w:eastAsia="Public Sans" w:hAnsi="Public Sans" w:cs="Public Sans"/>
        </w:rPr>
      </w:pPr>
      <w:r>
        <w:rPr>
          <w:rFonts w:ascii="Public Sans" w:eastAsia="Public Sans" w:hAnsi="Public Sans" w:cs="Public Sans"/>
          <w:noProof/>
        </w:rPr>
        <w:drawing>
          <wp:inline distT="114300" distB="114300" distL="114300" distR="114300" wp14:anchorId="7B0AF3B2" wp14:editId="6E33E6D4">
            <wp:extent cx="5943600" cy="3746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746500"/>
                    </a:xfrm>
                    <a:prstGeom prst="rect">
                      <a:avLst/>
                    </a:prstGeom>
                    <a:ln/>
                  </pic:spPr>
                </pic:pic>
              </a:graphicData>
            </a:graphic>
          </wp:inline>
        </w:drawing>
      </w:r>
    </w:p>
    <w:p w14:paraId="6E44D2C1" w14:textId="77777777" w:rsidR="00080BDC" w:rsidRDefault="00D7526C">
      <w:pPr>
        <w:spacing w:after="120" w:line="360" w:lineRule="auto"/>
        <w:jc w:val="center"/>
        <w:rPr>
          <w:rFonts w:ascii="Public Sans" w:eastAsia="Public Sans" w:hAnsi="Public Sans" w:cs="Public Sans"/>
        </w:rPr>
      </w:pPr>
      <w:r>
        <w:rPr>
          <w:rFonts w:ascii="Public Sans" w:eastAsia="Public Sans" w:hAnsi="Public Sans" w:cs="Public Sans"/>
        </w:rPr>
        <w:t xml:space="preserve">Figure 01. Unique Security Considerations of an </w:t>
      </w:r>
      <w:proofErr w:type="spellStart"/>
      <w:r>
        <w:rPr>
          <w:rFonts w:ascii="Public Sans" w:eastAsia="Public Sans" w:hAnsi="Public Sans" w:cs="Public Sans"/>
        </w:rPr>
        <w:t>IDaaS</w:t>
      </w:r>
      <w:proofErr w:type="spellEnd"/>
    </w:p>
    <w:p w14:paraId="61562F32"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For more information on developing a holistic cloud strategy for your agency, see the </w:t>
      </w:r>
      <w:hyperlink r:id="rId14">
        <w:r>
          <w:rPr>
            <w:rFonts w:ascii="Public Sans" w:eastAsia="Public Sans" w:hAnsi="Public Sans" w:cs="Public Sans"/>
            <w:color w:val="1155CC"/>
            <w:u w:val="single"/>
          </w:rPr>
          <w:t xml:space="preserve">Data Center and Cloud Optimization </w:t>
        </w:r>
      </w:hyperlink>
      <w:hyperlink r:id="rId15">
        <w:r>
          <w:rPr>
            <w:rFonts w:ascii="Public Sans" w:eastAsia="Public Sans" w:hAnsi="Public Sans" w:cs="Public Sans"/>
            <w:color w:val="1155CC"/>
            <w:u w:val="single"/>
          </w:rPr>
          <w:t>Initiative</w:t>
        </w:r>
      </w:hyperlink>
      <w:hyperlink r:id="rId16">
        <w:r>
          <w:rPr>
            <w:rFonts w:ascii="Public Sans" w:eastAsia="Public Sans" w:hAnsi="Public Sans" w:cs="Public Sans"/>
            <w:color w:val="1155CC"/>
            <w:u w:val="single"/>
          </w:rPr>
          <w:t xml:space="preserve"> Cloud Strategy Guide</w:t>
        </w:r>
      </w:hyperlink>
      <w:r>
        <w:rPr>
          <w:rFonts w:ascii="Public Sans" w:eastAsia="Public Sans" w:hAnsi="Public Sans" w:cs="Public Sans"/>
        </w:rPr>
        <w:t xml:space="preserve">.  It is also recommended to understand the Federal Government's overarching strategic guidance on cloud adoption: the </w:t>
      </w:r>
      <w:hyperlink r:id="rId17">
        <w:r>
          <w:rPr>
            <w:rFonts w:ascii="Public Sans" w:eastAsia="Public Sans" w:hAnsi="Public Sans" w:cs="Public Sans"/>
            <w:color w:val="1155CC"/>
            <w:u w:val="single"/>
          </w:rPr>
          <w:t>Cloud Smart Strategy</w:t>
        </w:r>
      </w:hyperlink>
      <w:r>
        <w:rPr>
          <w:rFonts w:ascii="Public Sans" w:eastAsia="Public Sans" w:hAnsi="Public Sans" w:cs="Public Sans"/>
        </w:rPr>
        <w:t>.</w:t>
      </w:r>
    </w:p>
    <w:p w14:paraId="425D7F62" w14:textId="77777777" w:rsidR="00080BDC" w:rsidRDefault="00D7526C">
      <w:pPr>
        <w:pStyle w:val="Heading1"/>
        <w:spacing w:line="360" w:lineRule="auto"/>
        <w:rPr>
          <w:rFonts w:ascii="Public Sans" w:eastAsia="Public Sans" w:hAnsi="Public Sans" w:cs="Public Sans"/>
        </w:rPr>
      </w:pPr>
      <w:bookmarkStart w:id="8" w:name="_514y719xyyin" w:colFirst="0" w:colLast="0"/>
      <w:bookmarkEnd w:id="8"/>
      <w:r>
        <w:rPr>
          <w:rFonts w:ascii="Public Sans" w:eastAsia="Public Sans" w:hAnsi="Public Sans" w:cs="Public Sans"/>
        </w:rPr>
        <w:t>Cloud Identity Jour</w:t>
      </w:r>
      <w:r>
        <w:rPr>
          <w:rFonts w:ascii="Public Sans" w:eastAsia="Public Sans" w:hAnsi="Public Sans" w:cs="Public Sans"/>
        </w:rPr>
        <w:t>ney Steps</w:t>
      </w:r>
    </w:p>
    <w:p w14:paraId="17ECB3DC"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Any journey has a map. Use these four steps to plan your Cloud Identity journey. Note that not all journeys are the same. Your agency may already support and encourage cloud services while others need to gain support.</w:t>
      </w:r>
    </w:p>
    <w:p w14:paraId="6EBCCFEB" w14:textId="77777777" w:rsidR="00080BDC" w:rsidRDefault="00D7526C">
      <w:pPr>
        <w:numPr>
          <w:ilvl w:val="0"/>
          <w:numId w:val="15"/>
        </w:numPr>
        <w:spacing w:line="360" w:lineRule="auto"/>
        <w:rPr>
          <w:rFonts w:ascii="Public Sans" w:eastAsia="Public Sans" w:hAnsi="Public Sans" w:cs="Public Sans"/>
        </w:rPr>
      </w:pPr>
      <w:hyperlink w:anchor="_i3igxeja6brx">
        <w:r>
          <w:rPr>
            <w:rFonts w:ascii="Public Sans" w:eastAsia="Public Sans" w:hAnsi="Public Sans" w:cs="Public Sans"/>
            <w:color w:val="1155CC"/>
            <w:u w:val="single"/>
          </w:rPr>
          <w:t>Gain leadership support</w:t>
        </w:r>
      </w:hyperlink>
      <w:r>
        <w:rPr>
          <w:rFonts w:ascii="Public Sans" w:eastAsia="Public Sans" w:hAnsi="Public Sans" w:cs="Public Sans"/>
        </w:rPr>
        <w:t xml:space="preserve"> through user stories that encourage cloud ICAM services that improve user experience and business processes. Capture these in a business case. Align your business case with your agency’s zero trust architecture initiative.</w:t>
      </w:r>
    </w:p>
    <w:p w14:paraId="5C8151C5" w14:textId="77777777" w:rsidR="00080BDC" w:rsidRDefault="00D7526C">
      <w:pPr>
        <w:numPr>
          <w:ilvl w:val="0"/>
          <w:numId w:val="15"/>
        </w:numPr>
        <w:spacing w:line="360" w:lineRule="auto"/>
        <w:rPr>
          <w:rFonts w:ascii="Public Sans" w:eastAsia="Public Sans" w:hAnsi="Public Sans" w:cs="Public Sans"/>
        </w:rPr>
      </w:pPr>
      <w:hyperlink w:anchor="_i768dyam9n5y">
        <w:r>
          <w:rPr>
            <w:rFonts w:ascii="Public Sans" w:eastAsia="Public Sans" w:hAnsi="Public Sans" w:cs="Public Sans"/>
            <w:color w:val="1155CC"/>
            <w:u w:val="single"/>
          </w:rPr>
          <w:t>Document your plan</w:t>
        </w:r>
      </w:hyperlink>
      <w:r>
        <w:rPr>
          <w:rFonts w:ascii="Public Sans" w:eastAsia="Public Sans" w:hAnsi="Public Sans" w:cs="Public Sans"/>
        </w:rPr>
        <w:t xml:space="preserve"> in a strategy and policy.</w:t>
      </w:r>
    </w:p>
    <w:p w14:paraId="682AE5E1" w14:textId="77777777" w:rsidR="00080BDC" w:rsidRDefault="00D7526C">
      <w:pPr>
        <w:numPr>
          <w:ilvl w:val="0"/>
          <w:numId w:val="15"/>
        </w:numPr>
        <w:spacing w:line="360" w:lineRule="auto"/>
        <w:rPr>
          <w:rFonts w:ascii="Public Sans" w:eastAsia="Public Sans" w:hAnsi="Public Sans" w:cs="Public Sans"/>
        </w:rPr>
      </w:pPr>
      <w:r>
        <w:rPr>
          <w:rFonts w:ascii="Public Sans" w:eastAsia="Public Sans" w:hAnsi="Public Sans" w:cs="Public Sans"/>
        </w:rPr>
        <w:t xml:space="preserve">Understand unique Cloud Identity </w:t>
      </w:r>
      <w:hyperlink w:anchor="_iyraerdpiulf">
        <w:r>
          <w:rPr>
            <w:rFonts w:ascii="Public Sans" w:eastAsia="Public Sans" w:hAnsi="Public Sans" w:cs="Public Sans"/>
            <w:color w:val="1155CC"/>
            <w:u w:val="single"/>
          </w:rPr>
          <w:t>architecture considerations</w:t>
        </w:r>
      </w:hyperlink>
      <w:r>
        <w:rPr>
          <w:rFonts w:ascii="Public Sans" w:eastAsia="Public Sans" w:hAnsi="Public Sans" w:cs="Public Sans"/>
        </w:rPr>
        <w:t xml:space="preserve"> across identity management, credential management, access management, and gover</w:t>
      </w:r>
      <w:r>
        <w:rPr>
          <w:rFonts w:ascii="Public Sans" w:eastAsia="Public Sans" w:hAnsi="Public Sans" w:cs="Public Sans"/>
        </w:rPr>
        <w:t>nance.</w:t>
      </w:r>
    </w:p>
    <w:p w14:paraId="50C1D77B" w14:textId="77777777" w:rsidR="00080BDC" w:rsidRDefault="00D7526C">
      <w:pPr>
        <w:numPr>
          <w:ilvl w:val="0"/>
          <w:numId w:val="15"/>
        </w:numPr>
        <w:spacing w:after="120" w:line="360" w:lineRule="auto"/>
        <w:rPr>
          <w:rFonts w:ascii="Public Sans" w:eastAsia="Public Sans" w:hAnsi="Public Sans" w:cs="Public Sans"/>
        </w:rPr>
      </w:pPr>
      <w:hyperlink w:anchor="_v3kzv58ys4tg">
        <w:r>
          <w:rPr>
            <w:rFonts w:ascii="Public Sans" w:eastAsia="Public Sans" w:hAnsi="Public Sans" w:cs="Public Sans"/>
            <w:color w:val="1155CC"/>
            <w:u w:val="single"/>
          </w:rPr>
          <w:t>Test and deploy</w:t>
        </w:r>
      </w:hyperlink>
      <w:r>
        <w:rPr>
          <w:rFonts w:ascii="Public Sans" w:eastAsia="Public Sans" w:hAnsi="Public Sans" w:cs="Public Sans"/>
        </w:rPr>
        <w:t xml:space="preserve"> cloud-enabled services and capabilities incrementally.</w:t>
      </w:r>
      <w:r>
        <w:br w:type="page"/>
      </w:r>
    </w:p>
    <w:p w14:paraId="3774755B" w14:textId="77777777" w:rsidR="00080BDC" w:rsidRDefault="00D7526C">
      <w:pPr>
        <w:pStyle w:val="Heading2"/>
        <w:spacing w:line="360" w:lineRule="auto"/>
        <w:rPr>
          <w:rFonts w:ascii="Public Sans" w:eastAsia="Public Sans" w:hAnsi="Public Sans" w:cs="Public Sans"/>
        </w:rPr>
      </w:pPr>
      <w:bookmarkStart w:id="9" w:name="_i3igxeja6brx" w:colFirst="0" w:colLast="0"/>
      <w:bookmarkEnd w:id="9"/>
      <w:r>
        <w:rPr>
          <w:rFonts w:ascii="Public Sans" w:eastAsia="Public Sans" w:hAnsi="Public Sans" w:cs="Public Sans"/>
        </w:rPr>
        <w:lastRenderedPageBreak/>
        <w:t>Step 1. Gain Support</w:t>
      </w:r>
    </w:p>
    <w:p w14:paraId="09C6FE93" w14:textId="77777777" w:rsidR="00080BDC" w:rsidRDefault="00D7526C">
      <w:pPr>
        <w:spacing w:after="120" w:line="360" w:lineRule="auto"/>
        <w:rPr>
          <w:rFonts w:ascii="Public Sans" w:eastAsia="Public Sans" w:hAnsi="Public Sans" w:cs="Public Sans"/>
        </w:rPr>
      </w:pPr>
      <w:proofErr w:type="gramStart"/>
      <w:r>
        <w:rPr>
          <w:rFonts w:ascii="Public Sans" w:eastAsia="Public Sans" w:hAnsi="Public Sans" w:cs="Public Sans"/>
        </w:rPr>
        <w:t>In order to</w:t>
      </w:r>
      <w:proofErr w:type="gramEnd"/>
      <w:r>
        <w:rPr>
          <w:rFonts w:ascii="Public Sans" w:eastAsia="Public Sans" w:hAnsi="Public Sans" w:cs="Public Sans"/>
        </w:rPr>
        <w:t xml:space="preserve"> gain support for a cloud migration effort within an agency, consider the following sub-steps.</w:t>
      </w:r>
    </w:p>
    <w:p w14:paraId="32211110" w14:textId="77777777" w:rsidR="00080BDC" w:rsidRDefault="00080BDC">
      <w:pPr>
        <w:spacing w:after="120" w:line="360" w:lineRule="auto"/>
        <w:rPr>
          <w:rFonts w:ascii="Public Sans" w:eastAsia="Public Sans" w:hAnsi="Public Sans" w:cs="Public Sans"/>
        </w:rPr>
      </w:pPr>
    </w:p>
    <w:p w14:paraId="39986D7A" w14:textId="77777777" w:rsidR="00080BDC" w:rsidRDefault="00D7526C">
      <w:pPr>
        <w:pStyle w:val="Heading3"/>
        <w:spacing w:line="360" w:lineRule="auto"/>
        <w:rPr>
          <w:rFonts w:ascii="Public Sans" w:eastAsia="Public Sans" w:hAnsi="Public Sans" w:cs="Public Sans"/>
          <w:sz w:val="26"/>
          <w:szCs w:val="26"/>
        </w:rPr>
      </w:pPr>
      <w:bookmarkStart w:id="10" w:name="_mjzo59x2cx0t" w:colFirst="0" w:colLast="0"/>
      <w:bookmarkEnd w:id="10"/>
      <w:r>
        <w:rPr>
          <w:rFonts w:ascii="Public Sans" w:eastAsia="Public Sans" w:hAnsi="Public Sans" w:cs="Public Sans"/>
          <w:sz w:val="26"/>
          <w:szCs w:val="26"/>
        </w:rPr>
        <w:t>Generate and Share User Stories</w:t>
      </w:r>
    </w:p>
    <w:p w14:paraId="27ACB2EB" w14:textId="77777777" w:rsidR="00080BDC" w:rsidRDefault="00D7526C">
      <w:pPr>
        <w:spacing w:after="120" w:line="360" w:lineRule="auto"/>
        <w:rPr>
          <w:rFonts w:ascii="Public Sans" w:eastAsia="Public Sans" w:hAnsi="Public Sans" w:cs="Public Sans"/>
        </w:rPr>
      </w:pPr>
      <w:hyperlink r:id="rId18">
        <w:r>
          <w:rPr>
            <w:rFonts w:ascii="Public Sans" w:eastAsia="Public Sans" w:hAnsi="Public Sans" w:cs="Public Sans"/>
            <w:color w:val="1155CC"/>
            <w:u w:val="single"/>
          </w:rPr>
          <w:t>Writing Effective User Stories</w:t>
        </w:r>
      </w:hyperlink>
      <w:r>
        <w:rPr>
          <w:rFonts w:ascii="Public Sans" w:eastAsia="Public Sans" w:hAnsi="Public Sans" w:cs="Public Sans"/>
        </w:rPr>
        <w:t xml:space="preserve"> is important to understand the user’s purpose. Have descriptive summaries and detailed acceptance criteria to help your Te</w:t>
      </w:r>
      <w:r>
        <w:rPr>
          <w:rFonts w:ascii="Public Sans" w:eastAsia="Public Sans" w:hAnsi="Public Sans" w:cs="Public Sans"/>
        </w:rPr>
        <w:t xml:space="preserve">am know when a user story is considered complete or “done.” See this example from the </w:t>
      </w:r>
      <w:hyperlink r:id="rId19">
        <w:r>
          <w:rPr>
            <w:rFonts w:ascii="Public Sans" w:eastAsia="Public Sans" w:hAnsi="Public Sans" w:cs="Public Sans"/>
            <w:color w:val="1155CC"/>
            <w:u w:val="single"/>
          </w:rPr>
          <w:t>GSA Chief Technology Officer Office</w:t>
        </w:r>
      </w:hyperlink>
      <w:r>
        <w:rPr>
          <w:rFonts w:ascii="Public Sans" w:eastAsia="Public Sans" w:hAnsi="Public Sans" w:cs="Public Sans"/>
        </w:rPr>
        <w:t>.</w:t>
      </w:r>
    </w:p>
    <w:p w14:paraId="2758B3CB" w14:textId="77777777" w:rsidR="00080BDC" w:rsidRDefault="00080BDC">
      <w:pPr>
        <w:spacing w:before="3" w:line="360" w:lineRule="auto"/>
        <w:ind w:left="720" w:hanging="360"/>
        <w:rPr>
          <w:rFonts w:ascii="Calibri" w:eastAsia="Calibri" w:hAnsi="Calibri" w:cs="Calibri"/>
          <w:sz w:val="18"/>
          <w:szCs w:val="18"/>
        </w:rPr>
      </w:pPr>
    </w:p>
    <w:tbl>
      <w:tblPr>
        <w:tblStyle w:val="a1"/>
        <w:tblW w:w="9255" w:type="dxa"/>
        <w:tblInd w:w="120" w:type="dxa"/>
        <w:tblBorders>
          <w:top w:val="single" w:sz="8" w:space="0" w:color="565C65"/>
          <w:left w:val="single" w:sz="8" w:space="0" w:color="565C65"/>
          <w:bottom w:val="single" w:sz="8" w:space="0" w:color="565C65"/>
          <w:right w:val="single" w:sz="8" w:space="0" w:color="565C65"/>
          <w:insideH w:val="single" w:sz="8" w:space="0" w:color="565C65"/>
          <w:insideV w:val="single" w:sz="8" w:space="0" w:color="565C65"/>
        </w:tblBorders>
        <w:tblLayout w:type="fixed"/>
        <w:tblLook w:val="0000" w:firstRow="0" w:lastRow="0" w:firstColumn="0" w:lastColumn="0" w:noHBand="0" w:noVBand="0"/>
      </w:tblPr>
      <w:tblGrid>
        <w:gridCol w:w="2385"/>
        <w:gridCol w:w="2265"/>
        <w:gridCol w:w="4605"/>
      </w:tblGrid>
      <w:tr w:rsidR="00080BDC" w14:paraId="74A49640" w14:textId="77777777">
        <w:trPr>
          <w:trHeight w:val="615"/>
        </w:trPr>
        <w:tc>
          <w:tcPr>
            <w:tcW w:w="2385" w:type="dxa"/>
            <w:shd w:val="clear" w:color="auto" w:fill="0579BD"/>
            <w:vAlign w:val="center"/>
          </w:tcPr>
          <w:p w14:paraId="10F64518"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EPIC</w:t>
            </w:r>
          </w:p>
        </w:tc>
        <w:tc>
          <w:tcPr>
            <w:tcW w:w="2265" w:type="dxa"/>
            <w:shd w:val="clear" w:color="auto" w:fill="0579BD"/>
            <w:vAlign w:val="center"/>
          </w:tcPr>
          <w:p w14:paraId="52C57519"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USER STORY</w:t>
            </w:r>
          </w:p>
        </w:tc>
        <w:tc>
          <w:tcPr>
            <w:tcW w:w="4605" w:type="dxa"/>
            <w:shd w:val="clear" w:color="auto" w:fill="0579BD"/>
            <w:vAlign w:val="center"/>
          </w:tcPr>
          <w:p w14:paraId="7C2A0F94" w14:textId="77777777" w:rsidR="00080BDC" w:rsidRDefault="00D7526C">
            <w:pPr>
              <w:spacing w:line="36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ACCEPTANCE CRITERIA</w:t>
            </w:r>
          </w:p>
        </w:tc>
      </w:tr>
      <w:tr w:rsidR="00080BDC" w14:paraId="47C294A7" w14:textId="77777777">
        <w:trPr>
          <w:trHeight w:val="1440"/>
        </w:trPr>
        <w:tc>
          <w:tcPr>
            <w:tcW w:w="2385" w:type="dxa"/>
            <w:vMerge w:val="restart"/>
            <w:vAlign w:val="center"/>
          </w:tcPr>
          <w:p w14:paraId="69250E42" w14:textId="77777777" w:rsidR="00080BDC" w:rsidRDefault="00D7526C">
            <w:pPr>
              <w:spacing w:before="142" w:line="240" w:lineRule="auto"/>
              <w:ind w:left="100" w:right="100"/>
              <w:rPr>
                <w:rFonts w:ascii="Public Sans" w:eastAsia="Public Sans" w:hAnsi="Public Sans" w:cs="Public Sans"/>
                <w:i/>
                <w:sz w:val="20"/>
                <w:szCs w:val="20"/>
              </w:rPr>
            </w:pPr>
            <w:r>
              <w:rPr>
                <w:rFonts w:ascii="Public Sans" w:eastAsia="Public Sans" w:hAnsi="Public Sans" w:cs="Public Sans"/>
                <w:color w:val="1B1B1B"/>
                <w:sz w:val="20"/>
                <w:szCs w:val="20"/>
              </w:rPr>
              <w:t xml:space="preserve">As an </w:t>
            </w:r>
            <w:r>
              <w:rPr>
                <w:rFonts w:ascii="Public Sans" w:eastAsia="Public Sans" w:hAnsi="Public Sans" w:cs="Public Sans"/>
                <w:b/>
                <w:color w:val="1B1B1B"/>
                <w:sz w:val="20"/>
                <w:szCs w:val="20"/>
              </w:rPr>
              <w:t xml:space="preserve">Acquisition Gateway User, I need </w:t>
            </w:r>
            <w:r>
              <w:rPr>
                <w:rFonts w:ascii="Public Sans" w:eastAsia="Public Sans" w:hAnsi="Public Sans" w:cs="Public Sans"/>
                <w:color w:val="1B1B1B"/>
                <w:sz w:val="20"/>
                <w:szCs w:val="20"/>
              </w:rPr>
              <w:t xml:space="preserve">to access the Acquisition ordering platform behind a secure login </w:t>
            </w:r>
            <w:r>
              <w:rPr>
                <w:rFonts w:ascii="Public Sans" w:eastAsia="Public Sans" w:hAnsi="Public Sans" w:cs="Public Sans"/>
                <w:b/>
                <w:color w:val="1B1B1B"/>
                <w:sz w:val="20"/>
                <w:szCs w:val="20"/>
              </w:rPr>
              <w:t xml:space="preserve">so that </w:t>
            </w:r>
            <w:r>
              <w:rPr>
                <w:rFonts w:ascii="Public Sans" w:eastAsia="Public Sans" w:hAnsi="Public Sans" w:cs="Public Sans"/>
                <w:color w:val="1B1B1B"/>
                <w:sz w:val="20"/>
                <w:szCs w:val="20"/>
              </w:rPr>
              <w:t>I can purchase products.</w:t>
            </w:r>
          </w:p>
        </w:tc>
        <w:tc>
          <w:tcPr>
            <w:tcW w:w="2265" w:type="dxa"/>
            <w:vAlign w:val="center"/>
          </w:tcPr>
          <w:p w14:paraId="4DA0E14D" w14:textId="77777777" w:rsidR="00080BDC" w:rsidRDefault="00D7526C">
            <w:pPr>
              <w:spacing w:before="150" w:line="240" w:lineRule="auto"/>
              <w:ind w:left="100" w:right="355"/>
              <w:rPr>
                <w:rFonts w:ascii="Public Sans" w:eastAsia="Public Sans" w:hAnsi="Public Sans" w:cs="Public Sans"/>
                <w:color w:val="1B1B1B"/>
                <w:sz w:val="20"/>
                <w:szCs w:val="20"/>
              </w:rPr>
            </w:pPr>
            <w:r>
              <w:rPr>
                <w:rFonts w:ascii="Public Sans" w:eastAsia="Public Sans" w:hAnsi="Public Sans" w:cs="Public Sans"/>
                <w:color w:val="1B1B1B"/>
                <w:sz w:val="20"/>
                <w:szCs w:val="20"/>
              </w:rPr>
              <w:t xml:space="preserve">As an </w:t>
            </w:r>
            <w:r>
              <w:rPr>
                <w:rFonts w:ascii="Public Sans" w:eastAsia="Public Sans" w:hAnsi="Public Sans" w:cs="Public Sans"/>
                <w:b/>
                <w:color w:val="1B1B1B"/>
                <w:sz w:val="20"/>
                <w:szCs w:val="20"/>
              </w:rPr>
              <w:t xml:space="preserve">Acquisition Gateway User, I need </w:t>
            </w:r>
            <w:r>
              <w:rPr>
                <w:rFonts w:ascii="Public Sans" w:eastAsia="Public Sans" w:hAnsi="Public Sans" w:cs="Public Sans"/>
                <w:color w:val="1B1B1B"/>
                <w:sz w:val="20"/>
                <w:szCs w:val="20"/>
              </w:rPr>
              <w:t xml:space="preserve">to input authenticator information </w:t>
            </w:r>
            <w:r>
              <w:rPr>
                <w:rFonts w:ascii="Public Sans" w:eastAsia="Public Sans" w:hAnsi="Public Sans" w:cs="Public Sans"/>
                <w:b/>
                <w:color w:val="1B1B1B"/>
                <w:sz w:val="20"/>
                <w:szCs w:val="20"/>
              </w:rPr>
              <w:t xml:space="preserve">so that </w:t>
            </w:r>
            <w:r>
              <w:rPr>
                <w:rFonts w:ascii="Public Sans" w:eastAsia="Public Sans" w:hAnsi="Public Sans" w:cs="Public Sans"/>
                <w:color w:val="1B1B1B"/>
                <w:sz w:val="20"/>
                <w:szCs w:val="20"/>
              </w:rPr>
              <w:t>I can login.</w:t>
            </w:r>
          </w:p>
        </w:tc>
        <w:tc>
          <w:tcPr>
            <w:tcW w:w="4605" w:type="dxa"/>
            <w:vAlign w:val="center"/>
          </w:tcPr>
          <w:p w14:paraId="2FF03352" w14:textId="77777777" w:rsidR="00080BDC" w:rsidRDefault="00D7526C">
            <w:pPr>
              <w:spacing w:before="142" w:line="240" w:lineRule="auto"/>
              <w:ind w:left="100" w:right="100"/>
              <w:rPr>
                <w:rFonts w:ascii="Public Sans" w:eastAsia="Public Sans" w:hAnsi="Public Sans" w:cs="Public Sans"/>
                <w:sz w:val="20"/>
                <w:szCs w:val="20"/>
              </w:rPr>
            </w:pPr>
            <w:r>
              <w:rPr>
                <w:rFonts w:ascii="Public Sans" w:eastAsia="Public Sans" w:hAnsi="Public Sans" w:cs="Public Sans"/>
                <w:sz w:val="20"/>
                <w:szCs w:val="20"/>
              </w:rPr>
              <w:t xml:space="preserve"> </w:t>
            </w:r>
            <w:r>
              <w:rPr>
                <w:rFonts w:ascii="Public Sans" w:eastAsia="Public Sans" w:hAnsi="Public Sans" w:cs="Public Sans"/>
                <w:color w:val="1B1B1B"/>
                <w:sz w:val="20"/>
                <w:szCs w:val="20"/>
              </w:rPr>
              <w:t xml:space="preserve">Ensure the Acquisition Gateway User </w:t>
            </w:r>
            <w:proofErr w:type="gramStart"/>
            <w:r>
              <w:rPr>
                <w:rFonts w:ascii="Public Sans" w:eastAsia="Public Sans" w:hAnsi="Public Sans" w:cs="Public Sans"/>
                <w:color w:val="1B1B1B"/>
                <w:sz w:val="20"/>
                <w:szCs w:val="20"/>
              </w:rPr>
              <w:t>is able to</w:t>
            </w:r>
            <w:proofErr w:type="gramEnd"/>
            <w:r>
              <w:rPr>
                <w:rFonts w:ascii="Public Sans" w:eastAsia="Public Sans" w:hAnsi="Public Sans" w:cs="Public Sans"/>
                <w:color w:val="1B1B1B"/>
                <w:sz w:val="20"/>
                <w:szCs w:val="20"/>
              </w:rPr>
              <w:t>:</w:t>
            </w:r>
          </w:p>
          <w:p w14:paraId="2CED9D4B" w14:textId="77777777" w:rsidR="00080BDC" w:rsidRDefault="00D7526C">
            <w:pPr>
              <w:numPr>
                <w:ilvl w:val="0"/>
                <w:numId w:val="11"/>
              </w:numPr>
              <w:spacing w:before="255" w:line="240" w:lineRule="auto"/>
              <w:ind w:right="100"/>
              <w:rPr>
                <w:rFonts w:ascii="Public Sans" w:eastAsia="Public Sans" w:hAnsi="Public Sans" w:cs="Public Sans"/>
                <w:color w:val="1B1B1B"/>
                <w:sz w:val="20"/>
                <w:szCs w:val="20"/>
              </w:rPr>
            </w:pPr>
            <w:r>
              <w:rPr>
                <w:rFonts w:ascii="Public Sans" w:eastAsia="Public Sans" w:hAnsi="Public Sans" w:cs="Public Sans"/>
                <w:color w:val="1B1B1B"/>
                <w:sz w:val="20"/>
                <w:szCs w:val="20"/>
              </w:rPr>
              <w:t>Select authenticator options</w:t>
            </w:r>
          </w:p>
          <w:p w14:paraId="32B80B2E" w14:textId="77777777" w:rsidR="00080BDC" w:rsidRDefault="00D7526C">
            <w:pPr>
              <w:numPr>
                <w:ilvl w:val="0"/>
                <w:numId w:val="11"/>
              </w:numPr>
              <w:spacing w:line="240" w:lineRule="auto"/>
              <w:ind w:right="100"/>
              <w:rPr>
                <w:rFonts w:ascii="Public Sans" w:eastAsia="Public Sans" w:hAnsi="Public Sans" w:cs="Public Sans"/>
                <w:color w:val="1B1B1B"/>
                <w:sz w:val="20"/>
                <w:szCs w:val="20"/>
              </w:rPr>
            </w:pPr>
            <w:r>
              <w:rPr>
                <w:rFonts w:ascii="Public Sans" w:eastAsia="Public Sans" w:hAnsi="Public Sans" w:cs="Public Sans"/>
                <w:color w:val="1B1B1B"/>
                <w:sz w:val="20"/>
                <w:szCs w:val="20"/>
              </w:rPr>
              <w:t>Input authenticator information</w:t>
            </w:r>
          </w:p>
          <w:p w14:paraId="5991C1BF" w14:textId="77777777" w:rsidR="00080BDC" w:rsidRDefault="00D7526C">
            <w:pPr>
              <w:numPr>
                <w:ilvl w:val="0"/>
                <w:numId w:val="11"/>
              </w:numPr>
              <w:spacing w:line="240" w:lineRule="auto"/>
              <w:ind w:right="100"/>
              <w:rPr>
                <w:rFonts w:ascii="Public Sans" w:eastAsia="Public Sans" w:hAnsi="Public Sans" w:cs="Public Sans"/>
                <w:color w:val="1B1B1B"/>
                <w:sz w:val="20"/>
                <w:szCs w:val="20"/>
              </w:rPr>
            </w:pPr>
            <w:r>
              <w:rPr>
                <w:rFonts w:ascii="Public Sans" w:eastAsia="Public Sans" w:hAnsi="Public Sans" w:cs="Public Sans"/>
                <w:color w:val="1B1B1B"/>
                <w:sz w:val="20"/>
                <w:szCs w:val="20"/>
              </w:rPr>
              <w:t>Log in to the acquisition gateway</w:t>
            </w:r>
          </w:p>
        </w:tc>
      </w:tr>
      <w:tr w:rsidR="00080BDC" w14:paraId="797791CF" w14:textId="77777777">
        <w:trPr>
          <w:trHeight w:val="2010"/>
        </w:trPr>
        <w:tc>
          <w:tcPr>
            <w:tcW w:w="2385" w:type="dxa"/>
            <w:vMerge/>
            <w:vAlign w:val="center"/>
          </w:tcPr>
          <w:p w14:paraId="0ECDA376" w14:textId="77777777" w:rsidR="00080BDC" w:rsidRDefault="00080BDC">
            <w:pPr>
              <w:spacing w:line="360" w:lineRule="auto"/>
              <w:ind w:right="715"/>
              <w:rPr>
                <w:rFonts w:ascii="Calibri" w:eastAsia="Calibri" w:hAnsi="Calibri" w:cs="Calibri"/>
                <w:i/>
                <w:sz w:val="25"/>
                <w:szCs w:val="25"/>
              </w:rPr>
            </w:pPr>
          </w:p>
        </w:tc>
        <w:tc>
          <w:tcPr>
            <w:tcW w:w="2265" w:type="dxa"/>
            <w:vAlign w:val="center"/>
          </w:tcPr>
          <w:p w14:paraId="0204A2B7" w14:textId="77777777" w:rsidR="00080BDC" w:rsidRDefault="00D7526C">
            <w:pPr>
              <w:spacing w:before="142" w:line="240" w:lineRule="auto"/>
              <w:ind w:left="100" w:right="100"/>
              <w:rPr>
                <w:rFonts w:ascii="Public Sans" w:eastAsia="Public Sans" w:hAnsi="Public Sans" w:cs="Public Sans"/>
                <w:sz w:val="20"/>
                <w:szCs w:val="20"/>
              </w:rPr>
            </w:pPr>
            <w:r>
              <w:rPr>
                <w:rFonts w:ascii="Public Sans" w:eastAsia="Public Sans" w:hAnsi="Public Sans" w:cs="Public Sans"/>
                <w:color w:val="1B1B1B"/>
                <w:sz w:val="20"/>
                <w:szCs w:val="20"/>
              </w:rPr>
              <w:t xml:space="preserve">As an </w:t>
            </w:r>
            <w:r>
              <w:rPr>
                <w:rFonts w:ascii="Public Sans" w:eastAsia="Public Sans" w:hAnsi="Public Sans" w:cs="Public Sans"/>
                <w:b/>
                <w:color w:val="1B1B1B"/>
                <w:sz w:val="20"/>
                <w:szCs w:val="20"/>
              </w:rPr>
              <w:t xml:space="preserve">Acquisition Gateway User, I need </w:t>
            </w:r>
            <w:r>
              <w:rPr>
                <w:rFonts w:ascii="Public Sans" w:eastAsia="Public Sans" w:hAnsi="Public Sans" w:cs="Public Sans"/>
                <w:color w:val="1B1B1B"/>
                <w:sz w:val="20"/>
                <w:szCs w:val="20"/>
              </w:rPr>
              <w:t xml:space="preserve">to review my previous bids in the Acquisition ordering platform </w:t>
            </w:r>
            <w:r>
              <w:rPr>
                <w:rFonts w:ascii="Public Sans" w:eastAsia="Public Sans" w:hAnsi="Public Sans" w:cs="Public Sans"/>
                <w:b/>
                <w:color w:val="1B1B1B"/>
                <w:sz w:val="20"/>
                <w:szCs w:val="20"/>
              </w:rPr>
              <w:t xml:space="preserve">so that </w:t>
            </w:r>
            <w:r>
              <w:rPr>
                <w:rFonts w:ascii="Public Sans" w:eastAsia="Public Sans" w:hAnsi="Public Sans" w:cs="Public Sans"/>
                <w:color w:val="1B1B1B"/>
                <w:sz w:val="20"/>
                <w:szCs w:val="20"/>
              </w:rPr>
              <w:t>I can remove expired bids.</w:t>
            </w:r>
          </w:p>
        </w:tc>
        <w:tc>
          <w:tcPr>
            <w:tcW w:w="4605" w:type="dxa"/>
            <w:vAlign w:val="center"/>
          </w:tcPr>
          <w:p w14:paraId="06E2E67B" w14:textId="77777777" w:rsidR="00080BDC" w:rsidRDefault="00D7526C">
            <w:pPr>
              <w:spacing w:before="142" w:line="240" w:lineRule="auto"/>
              <w:ind w:left="100" w:right="100"/>
              <w:rPr>
                <w:rFonts w:ascii="Public Sans" w:eastAsia="Public Sans" w:hAnsi="Public Sans" w:cs="Public Sans"/>
                <w:color w:val="1B1B1B"/>
                <w:sz w:val="20"/>
                <w:szCs w:val="20"/>
              </w:rPr>
            </w:pPr>
            <w:r>
              <w:rPr>
                <w:rFonts w:ascii="Public Sans" w:eastAsia="Public Sans" w:hAnsi="Public Sans" w:cs="Public Sans"/>
                <w:sz w:val="20"/>
                <w:szCs w:val="20"/>
              </w:rPr>
              <w:t xml:space="preserve"> </w:t>
            </w:r>
            <w:r>
              <w:rPr>
                <w:rFonts w:ascii="Public Sans" w:eastAsia="Public Sans" w:hAnsi="Public Sans" w:cs="Public Sans"/>
                <w:color w:val="1B1B1B"/>
                <w:sz w:val="20"/>
                <w:szCs w:val="20"/>
              </w:rPr>
              <w:t xml:space="preserve">Ensure the Acquisition Gateway User </w:t>
            </w:r>
            <w:proofErr w:type="gramStart"/>
            <w:r>
              <w:rPr>
                <w:rFonts w:ascii="Public Sans" w:eastAsia="Public Sans" w:hAnsi="Public Sans" w:cs="Public Sans"/>
                <w:color w:val="1B1B1B"/>
                <w:sz w:val="20"/>
                <w:szCs w:val="20"/>
              </w:rPr>
              <w:t>is able to</w:t>
            </w:r>
            <w:proofErr w:type="gramEnd"/>
            <w:r>
              <w:rPr>
                <w:rFonts w:ascii="Public Sans" w:eastAsia="Public Sans" w:hAnsi="Public Sans" w:cs="Public Sans"/>
                <w:color w:val="1B1B1B"/>
                <w:sz w:val="20"/>
                <w:szCs w:val="20"/>
              </w:rPr>
              <w:t>:</w:t>
            </w:r>
          </w:p>
          <w:p w14:paraId="49B09F4D" w14:textId="77777777" w:rsidR="00080BDC" w:rsidRDefault="00D7526C">
            <w:pPr>
              <w:numPr>
                <w:ilvl w:val="0"/>
                <w:numId w:val="4"/>
              </w:numPr>
              <w:spacing w:before="160" w:line="240" w:lineRule="auto"/>
              <w:ind w:right="100"/>
              <w:rPr>
                <w:rFonts w:ascii="Public Sans" w:eastAsia="Public Sans" w:hAnsi="Public Sans" w:cs="Public Sans"/>
                <w:color w:val="1B1B1B"/>
                <w:sz w:val="20"/>
                <w:szCs w:val="20"/>
              </w:rPr>
            </w:pPr>
            <w:r>
              <w:rPr>
                <w:rFonts w:ascii="Public Sans" w:eastAsia="Public Sans" w:hAnsi="Public Sans" w:cs="Public Sans"/>
                <w:color w:val="1B1B1B"/>
                <w:sz w:val="20"/>
                <w:szCs w:val="20"/>
              </w:rPr>
              <w:t xml:space="preserve">Log in to Acquisition Gateway </w:t>
            </w:r>
          </w:p>
          <w:p w14:paraId="17DC3AA9" w14:textId="77777777" w:rsidR="00080BDC" w:rsidRDefault="00D7526C">
            <w:pPr>
              <w:numPr>
                <w:ilvl w:val="0"/>
                <w:numId w:val="4"/>
              </w:numPr>
              <w:spacing w:line="240" w:lineRule="auto"/>
              <w:ind w:right="100"/>
              <w:rPr>
                <w:rFonts w:ascii="Public Sans" w:eastAsia="Public Sans" w:hAnsi="Public Sans" w:cs="Public Sans"/>
                <w:color w:val="1B1B1B"/>
                <w:sz w:val="20"/>
                <w:szCs w:val="20"/>
              </w:rPr>
            </w:pPr>
            <w:r>
              <w:rPr>
                <w:rFonts w:ascii="Public Sans" w:eastAsia="Public Sans" w:hAnsi="Public Sans" w:cs="Public Sans"/>
                <w:color w:val="1B1B1B"/>
                <w:sz w:val="20"/>
                <w:szCs w:val="20"/>
              </w:rPr>
              <w:t xml:space="preserve">Access the page to review items previously bid upon </w:t>
            </w:r>
          </w:p>
          <w:p w14:paraId="76C32CF3" w14:textId="77777777" w:rsidR="00080BDC" w:rsidRDefault="00D7526C">
            <w:pPr>
              <w:numPr>
                <w:ilvl w:val="0"/>
                <w:numId w:val="4"/>
              </w:numPr>
              <w:spacing w:line="240" w:lineRule="auto"/>
              <w:ind w:right="100"/>
              <w:rPr>
                <w:rFonts w:ascii="Public Sans" w:eastAsia="Public Sans" w:hAnsi="Public Sans" w:cs="Public Sans"/>
                <w:color w:val="1B1B1B"/>
                <w:sz w:val="20"/>
                <w:szCs w:val="20"/>
              </w:rPr>
            </w:pPr>
            <w:r>
              <w:rPr>
                <w:rFonts w:ascii="Public Sans" w:eastAsia="Public Sans" w:hAnsi="Public Sans" w:cs="Public Sans"/>
                <w:color w:val="1B1B1B"/>
                <w:sz w:val="20"/>
                <w:szCs w:val="20"/>
              </w:rPr>
              <w:t>Select one, or multiple,</w:t>
            </w:r>
            <w:r>
              <w:rPr>
                <w:rFonts w:ascii="Public Sans" w:eastAsia="Public Sans" w:hAnsi="Public Sans" w:cs="Public Sans"/>
                <w:color w:val="1B1B1B"/>
                <w:sz w:val="20"/>
                <w:szCs w:val="20"/>
              </w:rPr>
              <w:t xml:space="preserve"> expired bids </w:t>
            </w:r>
          </w:p>
          <w:p w14:paraId="38A05206" w14:textId="77777777" w:rsidR="00080BDC" w:rsidRDefault="00D7526C">
            <w:pPr>
              <w:numPr>
                <w:ilvl w:val="0"/>
                <w:numId w:val="4"/>
              </w:numPr>
              <w:spacing w:line="240" w:lineRule="auto"/>
              <w:ind w:right="100"/>
              <w:rPr>
                <w:rFonts w:ascii="Public Sans" w:eastAsia="Public Sans" w:hAnsi="Public Sans" w:cs="Public Sans"/>
                <w:color w:val="1B1B1B"/>
                <w:sz w:val="20"/>
                <w:szCs w:val="20"/>
              </w:rPr>
            </w:pPr>
            <w:r>
              <w:rPr>
                <w:rFonts w:ascii="Public Sans" w:eastAsia="Public Sans" w:hAnsi="Public Sans" w:cs="Public Sans"/>
                <w:color w:val="1B1B1B"/>
                <w:sz w:val="20"/>
                <w:szCs w:val="20"/>
              </w:rPr>
              <w:t>Remove expired bids based on having the correct privilege</w:t>
            </w:r>
          </w:p>
        </w:tc>
      </w:tr>
    </w:tbl>
    <w:p w14:paraId="7B21A609" w14:textId="77777777" w:rsidR="00080BDC" w:rsidRDefault="00D7526C">
      <w:pPr>
        <w:spacing w:line="360" w:lineRule="auto"/>
        <w:ind w:left="720" w:right="100" w:hanging="360"/>
        <w:jc w:val="center"/>
        <w:rPr>
          <w:rFonts w:ascii="Public Sans" w:eastAsia="Public Sans" w:hAnsi="Public Sans" w:cs="Public Sans"/>
        </w:rPr>
      </w:pPr>
      <w:r>
        <w:rPr>
          <w:rFonts w:ascii="Public Sans" w:eastAsia="Public Sans" w:hAnsi="Public Sans" w:cs="Public Sans"/>
        </w:rPr>
        <w:t>Table 3. Example User Story</w:t>
      </w:r>
    </w:p>
    <w:p w14:paraId="54EBA094"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User stories should emphasize that cloud presents a completely different engagement model to an organization, including its ICAM processes. A cloud migration fundamentally shifts the role of ICAM: now, it seeks to enable business owners to maximize the eff</w:t>
      </w:r>
      <w:r>
        <w:rPr>
          <w:rFonts w:ascii="Public Sans" w:eastAsia="Public Sans" w:hAnsi="Public Sans" w:cs="Public Sans"/>
        </w:rPr>
        <w:t xml:space="preserve">ectiveness of their business and mission products. </w:t>
      </w:r>
      <w:hyperlink r:id="rId20">
        <w:r>
          <w:rPr>
            <w:rFonts w:ascii="Public Sans" w:eastAsia="Public Sans" w:hAnsi="Public Sans" w:cs="Public Sans"/>
            <w:color w:val="1155CC"/>
            <w:u w:val="single"/>
          </w:rPr>
          <w:t>Single Sign-On</w:t>
        </w:r>
      </w:hyperlink>
      <w:r>
        <w:rPr>
          <w:rFonts w:ascii="Public Sans" w:eastAsia="Public Sans" w:hAnsi="Public Sans" w:cs="Public Sans"/>
        </w:rPr>
        <w:t xml:space="preserve"> is an important pattern that enables user experience for business </w:t>
      </w:r>
      <w:proofErr w:type="gramStart"/>
      <w:r>
        <w:rPr>
          <w:rFonts w:ascii="Public Sans" w:eastAsia="Public Sans" w:hAnsi="Public Sans" w:cs="Public Sans"/>
        </w:rPr>
        <w:t>owners..</w:t>
      </w:r>
      <w:proofErr w:type="gramEnd"/>
      <w:r>
        <w:rPr>
          <w:rFonts w:ascii="Public Sans" w:eastAsia="Public Sans" w:hAnsi="Public Sans" w:cs="Public Sans"/>
        </w:rPr>
        <w:t xml:space="preserve"> SSO aggregates how users access cloud services, but also why they access cloud services, information that helps business owners adjust their products to better serve users.</w:t>
      </w:r>
    </w:p>
    <w:p w14:paraId="6E7C2A99" w14:textId="77777777" w:rsidR="00080BDC" w:rsidRDefault="00080BDC">
      <w:pPr>
        <w:spacing w:after="120" w:line="360" w:lineRule="auto"/>
        <w:rPr>
          <w:rFonts w:ascii="Public Sans" w:eastAsia="Public Sans" w:hAnsi="Public Sans" w:cs="Public Sans"/>
        </w:rPr>
      </w:pPr>
    </w:p>
    <w:p w14:paraId="2C7B31CF" w14:textId="77777777" w:rsidR="00080BDC" w:rsidRDefault="00D7526C">
      <w:pPr>
        <w:pStyle w:val="Heading3"/>
        <w:spacing w:line="360" w:lineRule="auto"/>
        <w:rPr>
          <w:rFonts w:ascii="Public Sans" w:eastAsia="Public Sans" w:hAnsi="Public Sans" w:cs="Public Sans"/>
          <w:sz w:val="26"/>
          <w:szCs w:val="26"/>
        </w:rPr>
      </w:pPr>
      <w:bookmarkStart w:id="11" w:name="_op7mxdgh99jf" w:colFirst="0" w:colLast="0"/>
      <w:bookmarkEnd w:id="11"/>
      <w:r>
        <w:rPr>
          <w:rFonts w:ascii="Public Sans" w:eastAsia="Public Sans" w:hAnsi="Public Sans" w:cs="Public Sans"/>
          <w:sz w:val="26"/>
          <w:szCs w:val="26"/>
        </w:rPr>
        <w:lastRenderedPageBreak/>
        <w:t xml:space="preserve">Write </w:t>
      </w:r>
      <w:r>
        <w:rPr>
          <w:rFonts w:ascii="Public Sans" w:eastAsia="Public Sans" w:hAnsi="Public Sans" w:cs="Public Sans"/>
          <w:sz w:val="26"/>
          <w:szCs w:val="26"/>
        </w:rPr>
        <w:t>a Business Case</w:t>
      </w:r>
    </w:p>
    <w:p w14:paraId="0D32A05A"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Next, the agency should draft a business case including funding considerations. In the business case, an agency should articulate how:</w:t>
      </w:r>
    </w:p>
    <w:p w14:paraId="6A3E617A" w14:textId="77777777" w:rsidR="00080BDC" w:rsidRDefault="00D7526C">
      <w:pPr>
        <w:numPr>
          <w:ilvl w:val="0"/>
          <w:numId w:val="19"/>
        </w:numPr>
        <w:spacing w:line="360" w:lineRule="auto"/>
        <w:rPr>
          <w:rFonts w:ascii="Public Sans" w:eastAsia="Public Sans" w:hAnsi="Public Sans" w:cs="Public Sans"/>
        </w:rPr>
      </w:pPr>
      <w:r>
        <w:rPr>
          <w:rFonts w:ascii="Public Sans" w:eastAsia="Public Sans" w:hAnsi="Public Sans" w:cs="Public Sans"/>
        </w:rPr>
        <w:t>ICAM capabilities support Zero Trust, and</w:t>
      </w:r>
    </w:p>
    <w:p w14:paraId="762E7BC7" w14:textId="77777777" w:rsidR="00080BDC" w:rsidRDefault="00D7526C">
      <w:pPr>
        <w:numPr>
          <w:ilvl w:val="0"/>
          <w:numId w:val="19"/>
        </w:numPr>
        <w:spacing w:after="120" w:line="360" w:lineRule="auto"/>
        <w:rPr>
          <w:rFonts w:ascii="Public Sans" w:eastAsia="Public Sans" w:hAnsi="Public Sans" w:cs="Public Sans"/>
        </w:rPr>
      </w:pPr>
      <w:r>
        <w:rPr>
          <w:rFonts w:ascii="Public Sans" w:eastAsia="Public Sans" w:hAnsi="Public Sans" w:cs="Public Sans"/>
        </w:rPr>
        <w:t>Migrating such capabilities to the cloud enhances an ICAM progr</w:t>
      </w:r>
      <w:r>
        <w:rPr>
          <w:rFonts w:ascii="Public Sans" w:eastAsia="Public Sans" w:hAnsi="Public Sans" w:cs="Public Sans"/>
        </w:rPr>
        <w:t>am, thereby enhancing a Zero Trust Architecture.</w:t>
      </w:r>
    </w:p>
    <w:p w14:paraId="704F8829"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A key element of a business case is a stakeholder analysis. Follow the analysis steps outlined in the </w:t>
      </w:r>
      <w:hyperlink r:id="rId21">
        <w:r>
          <w:rPr>
            <w:rFonts w:ascii="Public Sans" w:eastAsia="Public Sans" w:hAnsi="Public Sans" w:cs="Public Sans"/>
            <w:color w:val="1155CC"/>
            <w:u w:val="single"/>
          </w:rPr>
          <w:t>Data Center and Cloud Optimization Initiative Cloud Strategy Guide</w:t>
        </w:r>
      </w:hyperlink>
      <w:r>
        <w:rPr>
          <w:rFonts w:ascii="Public Sans" w:eastAsia="Public Sans" w:hAnsi="Public Sans" w:cs="Public Sans"/>
        </w:rPr>
        <w:t>.</w:t>
      </w:r>
    </w:p>
    <w:p w14:paraId="36278B4D" w14:textId="77777777" w:rsidR="00080BDC" w:rsidRDefault="00080BDC">
      <w:pPr>
        <w:spacing w:after="120" w:line="360" w:lineRule="auto"/>
        <w:rPr>
          <w:rFonts w:ascii="Public Sans" w:eastAsia="Public Sans" w:hAnsi="Public Sans" w:cs="Public Sans"/>
        </w:rPr>
      </w:pPr>
    </w:p>
    <w:p w14:paraId="2617CCEF" w14:textId="77777777" w:rsidR="00080BDC" w:rsidRDefault="00D7526C">
      <w:pPr>
        <w:pStyle w:val="Heading3"/>
        <w:spacing w:line="360" w:lineRule="auto"/>
        <w:rPr>
          <w:rFonts w:ascii="Public Sans" w:eastAsia="Public Sans" w:hAnsi="Public Sans" w:cs="Public Sans"/>
          <w:sz w:val="26"/>
          <w:szCs w:val="26"/>
        </w:rPr>
      </w:pPr>
      <w:bookmarkStart w:id="12" w:name="_sdi99rfj94d6" w:colFirst="0" w:colLast="0"/>
      <w:bookmarkEnd w:id="12"/>
      <w:r>
        <w:rPr>
          <w:rFonts w:ascii="Public Sans" w:eastAsia="Public Sans" w:hAnsi="Public Sans" w:cs="Public Sans"/>
          <w:sz w:val="26"/>
          <w:szCs w:val="26"/>
        </w:rPr>
        <w:t>Zero Trust Architecture Alignment</w:t>
      </w:r>
    </w:p>
    <w:p w14:paraId="7A1DBCFF" w14:textId="77777777" w:rsidR="00080BDC" w:rsidRDefault="00D7526C">
      <w:pPr>
        <w:spacing w:after="120" w:line="360" w:lineRule="auto"/>
        <w:rPr>
          <w:rFonts w:ascii="Public Sans" w:eastAsia="Public Sans" w:hAnsi="Public Sans" w:cs="Public Sans"/>
        </w:rPr>
      </w:pPr>
      <w:hyperlink r:id="rId22">
        <w:r>
          <w:rPr>
            <w:rFonts w:ascii="Public Sans" w:eastAsia="Public Sans" w:hAnsi="Public Sans" w:cs="Public Sans"/>
            <w:color w:val="1155CC"/>
            <w:u w:val="single"/>
          </w:rPr>
          <w:t>Exec</w:t>
        </w:r>
        <w:r>
          <w:rPr>
            <w:rFonts w:ascii="Public Sans" w:eastAsia="Public Sans" w:hAnsi="Public Sans" w:cs="Public Sans"/>
            <w:color w:val="1155CC"/>
            <w:u w:val="single"/>
          </w:rPr>
          <w:t xml:space="preserve">utive Order 14028: </w:t>
        </w:r>
      </w:hyperlink>
      <w:hyperlink r:id="rId23">
        <w:r>
          <w:rPr>
            <w:rFonts w:ascii="Public Sans" w:eastAsia="Public Sans" w:hAnsi="Public Sans" w:cs="Public Sans"/>
            <w:i/>
            <w:color w:val="1155CC"/>
            <w:u w:val="single"/>
          </w:rPr>
          <w:t>Improving the Nation's Cybersecurity</w:t>
        </w:r>
      </w:hyperlink>
      <w:r>
        <w:rPr>
          <w:rFonts w:ascii="Public Sans" w:eastAsia="Public Sans" w:hAnsi="Public Sans" w:cs="Public Sans"/>
        </w:rPr>
        <w:t xml:space="preserve"> instructs agencies to accelerate their cloud migrations in a manner that adopts Z</w:t>
      </w:r>
      <w:r>
        <w:rPr>
          <w:rFonts w:ascii="Public Sans" w:eastAsia="Public Sans" w:hAnsi="Public Sans" w:cs="Public Sans"/>
        </w:rPr>
        <w:t>ero Trust Architecture. ICAM is a critical enabler to the five pillars of zero trust.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080BDC" w14:paraId="08A362A3" w14:textId="77777777">
        <w:tc>
          <w:tcPr>
            <w:tcW w:w="2355" w:type="dxa"/>
            <w:shd w:val="clear" w:color="auto" w:fill="0579BD"/>
            <w:vAlign w:val="center"/>
          </w:tcPr>
          <w:p w14:paraId="61E86A1C" w14:textId="77777777" w:rsidR="00080BDC" w:rsidRDefault="00D7526C">
            <w:pPr>
              <w:spacing w:line="24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ZERO TRUST PILLAR</w:t>
            </w:r>
          </w:p>
        </w:tc>
        <w:tc>
          <w:tcPr>
            <w:tcW w:w="7005" w:type="dxa"/>
            <w:shd w:val="clear" w:color="auto" w:fill="0579BD"/>
            <w:vAlign w:val="center"/>
          </w:tcPr>
          <w:p w14:paraId="2C3BAE88" w14:textId="77777777" w:rsidR="00080BDC" w:rsidRDefault="00D7526C">
            <w:pPr>
              <w:spacing w:line="240" w:lineRule="auto"/>
              <w:jc w:val="center"/>
              <w:rPr>
                <w:rFonts w:ascii="Public Sans" w:eastAsia="Public Sans" w:hAnsi="Public Sans" w:cs="Public Sans"/>
                <w:b/>
                <w:color w:val="FFFFFF"/>
                <w:sz w:val="20"/>
                <w:szCs w:val="20"/>
              </w:rPr>
            </w:pPr>
            <w:r>
              <w:rPr>
                <w:rFonts w:ascii="Public Sans" w:eastAsia="Public Sans" w:hAnsi="Public Sans" w:cs="Public Sans"/>
                <w:b/>
                <w:color w:val="FFFFFF"/>
                <w:sz w:val="20"/>
                <w:szCs w:val="20"/>
              </w:rPr>
              <w:t>ICAM ENABLER</w:t>
            </w:r>
          </w:p>
        </w:tc>
      </w:tr>
      <w:tr w:rsidR="00080BDC" w14:paraId="79A39270" w14:textId="77777777">
        <w:tc>
          <w:tcPr>
            <w:tcW w:w="2355" w:type="dxa"/>
            <w:shd w:val="clear" w:color="auto" w:fill="auto"/>
            <w:tcMar>
              <w:top w:w="100" w:type="dxa"/>
              <w:left w:w="100" w:type="dxa"/>
              <w:bottom w:w="100" w:type="dxa"/>
              <w:right w:w="100" w:type="dxa"/>
            </w:tcMar>
            <w:vAlign w:val="center"/>
          </w:tcPr>
          <w:p w14:paraId="7F0BC8C6"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Identity</w:t>
            </w:r>
          </w:p>
        </w:tc>
        <w:tc>
          <w:tcPr>
            <w:tcW w:w="7005" w:type="dxa"/>
            <w:shd w:val="clear" w:color="auto" w:fill="auto"/>
            <w:tcMar>
              <w:top w:w="100" w:type="dxa"/>
              <w:left w:w="100" w:type="dxa"/>
              <w:bottom w:w="100" w:type="dxa"/>
              <w:right w:w="100" w:type="dxa"/>
            </w:tcMar>
            <w:vAlign w:val="center"/>
          </w:tcPr>
          <w:p w14:paraId="022251AA" w14:textId="77777777" w:rsidR="00080BDC" w:rsidRDefault="00D7526C">
            <w:pPr>
              <w:pBdr>
                <w:top w:val="nil"/>
                <w:left w:val="nil"/>
                <w:bottom w:val="nil"/>
                <w:right w:val="nil"/>
                <w:between w:val="nil"/>
              </w:pBdr>
              <w:spacing w:line="240" w:lineRule="auto"/>
              <w:rPr>
                <w:rFonts w:ascii="Public Sans" w:eastAsia="Public Sans" w:hAnsi="Public Sans" w:cs="Public Sans"/>
              </w:rPr>
            </w:pPr>
            <w:r>
              <w:rPr>
                <w:rFonts w:ascii="Public Sans" w:eastAsia="Public Sans" w:hAnsi="Public Sans" w:cs="Public Sans"/>
              </w:rPr>
              <w:t xml:space="preserve">ICAM is the identity pillar and </w:t>
            </w:r>
            <w:proofErr w:type="spellStart"/>
            <w:r>
              <w:rPr>
                <w:rFonts w:ascii="Public Sans" w:eastAsia="Public Sans" w:hAnsi="Public Sans" w:cs="Public Sans"/>
              </w:rPr>
              <w:t>ecompasses</w:t>
            </w:r>
            <w:proofErr w:type="spellEnd"/>
            <w:r>
              <w:rPr>
                <w:rFonts w:ascii="Public Sans" w:eastAsia="Public Sans" w:hAnsi="Public Sans" w:cs="Public Sans"/>
              </w:rPr>
              <w:t xml:space="preserve"> all digital identities, </w:t>
            </w:r>
            <w:proofErr w:type="gramStart"/>
            <w:r>
              <w:rPr>
                <w:rFonts w:ascii="Public Sans" w:eastAsia="Public Sans" w:hAnsi="Public Sans" w:cs="Public Sans"/>
              </w:rPr>
              <w:t>people</w:t>
            </w:r>
            <w:proofErr w:type="gramEnd"/>
            <w:r>
              <w:rPr>
                <w:rFonts w:ascii="Public Sans" w:eastAsia="Public Sans" w:hAnsi="Public Sans" w:cs="Public Sans"/>
              </w:rPr>
              <w:t xml:space="preserve"> and machines, either managed by an agency or external users attempting to access agency resources.</w:t>
            </w:r>
          </w:p>
        </w:tc>
      </w:tr>
      <w:tr w:rsidR="00080BDC" w14:paraId="22C6E1DB" w14:textId="77777777">
        <w:tc>
          <w:tcPr>
            <w:tcW w:w="2355" w:type="dxa"/>
            <w:shd w:val="clear" w:color="auto" w:fill="auto"/>
            <w:tcMar>
              <w:top w:w="100" w:type="dxa"/>
              <w:left w:w="100" w:type="dxa"/>
              <w:bottom w:w="100" w:type="dxa"/>
              <w:right w:w="100" w:type="dxa"/>
            </w:tcMar>
            <w:vAlign w:val="center"/>
          </w:tcPr>
          <w:p w14:paraId="1335CEED"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Device</w:t>
            </w:r>
          </w:p>
        </w:tc>
        <w:tc>
          <w:tcPr>
            <w:tcW w:w="7005" w:type="dxa"/>
            <w:shd w:val="clear" w:color="auto" w:fill="auto"/>
            <w:tcMar>
              <w:top w:w="100" w:type="dxa"/>
              <w:left w:w="100" w:type="dxa"/>
              <w:bottom w:w="100" w:type="dxa"/>
              <w:right w:w="100" w:type="dxa"/>
            </w:tcMar>
            <w:vAlign w:val="center"/>
          </w:tcPr>
          <w:p w14:paraId="1250046F" w14:textId="77777777" w:rsidR="00080BDC" w:rsidRDefault="00D7526C">
            <w:pPr>
              <w:pBdr>
                <w:top w:val="nil"/>
                <w:left w:val="nil"/>
                <w:bottom w:val="nil"/>
                <w:right w:val="nil"/>
                <w:between w:val="nil"/>
              </w:pBdr>
              <w:spacing w:line="240" w:lineRule="auto"/>
              <w:rPr>
                <w:rFonts w:ascii="Public Sans" w:eastAsia="Public Sans" w:hAnsi="Public Sans" w:cs="Public Sans"/>
              </w:rPr>
            </w:pPr>
            <w:r>
              <w:rPr>
                <w:rFonts w:ascii="Public Sans" w:eastAsia="Public Sans" w:hAnsi="Public Sans" w:cs="Public Sans"/>
              </w:rPr>
              <w:t>Device identification and health attributes such as device type, operating system, operating system version, and location can aid authorization decisions at a policy enforcement point.</w:t>
            </w:r>
          </w:p>
        </w:tc>
      </w:tr>
      <w:tr w:rsidR="00080BDC" w14:paraId="645EE5B1" w14:textId="77777777">
        <w:tc>
          <w:tcPr>
            <w:tcW w:w="2355" w:type="dxa"/>
            <w:shd w:val="clear" w:color="auto" w:fill="auto"/>
            <w:tcMar>
              <w:top w:w="100" w:type="dxa"/>
              <w:left w:w="100" w:type="dxa"/>
              <w:bottom w:w="100" w:type="dxa"/>
              <w:right w:w="100" w:type="dxa"/>
            </w:tcMar>
            <w:vAlign w:val="center"/>
          </w:tcPr>
          <w:p w14:paraId="42D345A2"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Network</w:t>
            </w:r>
          </w:p>
        </w:tc>
        <w:tc>
          <w:tcPr>
            <w:tcW w:w="7005" w:type="dxa"/>
            <w:shd w:val="clear" w:color="auto" w:fill="auto"/>
            <w:tcMar>
              <w:top w:w="100" w:type="dxa"/>
              <w:left w:w="100" w:type="dxa"/>
              <w:bottom w:w="100" w:type="dxa"/>
              <w:right w:w="100" w:type="dxa"/>
            </w:tcMar>
            <w:vAlign w:val="center"/>
          </w:tcPr>
          <w:p w14:paraId="3E231EBC" w14:textId="77777777" w:rsidR="00080BDC" w:rsidRDefault="00D7526C">
            <w:pPr>
              <w:pBdr>
                <w:top w:val="nil"/>
                <w:left w:val="nil"/>
                <w:bottom w:val="nil"/>
                <w:right w:val="nil"/>
                <w:between w:val="nil"/>
              </w:pBdr>
              <w:spacing w:line="240" w:lineRule="auto"/>
              <w:rPr>
                <w:rFonts w:ascii="Public Sans" w:eastAsia="Public Sans" w:hAnsi="Public Sans" w:cs="Public Sans"/>
              </w:rPr>
            </w:pPr>
            <w:r>
              <w:rPr>
                <w:rFonts w:ascii="Public Sans" w:eastAsia="Public Sans" w:hAnsi="Public Sans" w:cs="Public Sans"/>
              </w:rPr>
              <w:t xml:space="preserve">Agencies can deploy forward or reverse proxy to act as policy enforcement points and apply access policies in real-time to both </w:t>
            </w:r>
            <w:proofErr w:type="gramStart"/>
            <w:r>
              <w:rPr>
                <w:rFonts w:ascii="Public Sans" w:eastAsia="Public Sans" w:hAnsi="Public Sans" w:cs="Public Sans"/>
              </w:rPr>
              <w:t>government</w:t>
            </w:r>
            <w:proofErr w:type="gramEnd"/>
            <w:r>
              <w:rPr>
                <w:rFonts w:ascii="Public Sans" w:eastAsia="Public Sans" w:hAnsi="Public Sans" w:cs="Public Sans"/>
              </w:rPr>
              <w:t xml:space="preserve"> furnished and bring your own devices.</w:t>
            </w:r>
          </w:p>
        </w:tc>
      </w:tr>
      <w:tr w:rsidR="00080BDC" w14:paraId="1DB93ED9" w14:textId="77777777">
        <w:tc>
          <w:tcPr>
            <w:tcW w:w="2355" w:type="dxa"/>
            <w:shd w:val="clear" w:color="auto" w:fill="auto"/>
            <w:tcMar>
              <w:top w:w="100" w:type="dxa"/>
              <w:left w:w="100" w:type="dxa"/>
              <w:bottom w:w="100" w:type="dxa"/>
              <w:right w:w="100" w:type="dxa"/>
            </w:tcMar>
            <w:vAlign w:val="center"/>
          </w:tcPr>
          <w:p w14:paraId="279E9783"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Application</w:t>
            </w:r>
          </w:p>
        </w:tc>
        <w:tc>
          <w:tcPr>
            <w:tcW w:w="7005" w:type="dxa"/>
            <w:shd w:val="clear" w:color="auto" w:fill="auto"/>
            <w:tcMar>
              <w:top w:w="100" w:type="dxa"/>
              <w:left w:w="100" w:type="dxa"/>
              <w:bottom w:w="100" w:type="dxa"/>
              <w:right w:w="100" w:type="dxa"/>
            </w:tcMar>
            <w:vAlign w:val="center"/>
          </w:tcPr>
          <w:p w14:paraId="0A2738C3" w14:textId="77777777" w:rsidR="00080BDC" w:rsidRDefault="00D7526C">
            <w:pPr>
              <w:pBdr>
                <w:top w:val="nil"/>
                <w:left w:val="nil"/>
                <w:bottom w:val="nil"/>
                <w:right w:val="nil"/>
                <w:between w:val="nil"/>
              </w:pBdr>
              <w:spacing w:line="240" w:lineRule="auto"/>
              <w:rPr>
                <w:rFonts w:ascii="Public Sans" w:eastAsia="Public Sans" w:hAnsi="Public Sans" w:cs="Public Sans"/>
              </w:rPr>
            </w:pPr>
            <w:r>
              <w:rPr>
                <w:rFonts w:ascii="Public Sans" w:eastAsia="Public Sans" w:hAnsi="Public Sans" w:cs="Public Sans"/>
              </w:rPr>
              <w:t>Application access is integrated with an SSO tool to centralize access, policy enforcement, and monitoring.</w:t>
            </w:r>
          </w:p>
        </w:tc>
      </w:tr>
      <w:tr w:rsidR="00080BDC" w14:paraId="522AFA61" w14:textId="77777777">
        <w:tc>
          <w:tcPr>
            <w:tcW w:w="2355" w:type="dxa"/>
            <w:shd w:val="clear" w:color="auto" w:fill="auto"/>
            <w:tcMar>
              <w:top w:w="100" w:type="dxa"/>
              <w:left w:w="100" w:type="dxa"/>
              <w:bottom w:w="100" w:type="dxa"/>
              <w:right w:w="100" w:type="dxa"/>
            </w:tcMar>
            <w:vAlign w:val="center"/>
          </w:tcPr>
          <w:p w14:paraId="66ACD289" w14:textId="77777777" w:rsidR="00080BDC" w:rsidRDefault="00D7526C">
            <w:pPr>
              <w:pBdr>
                <w:top w:val="nil"/>
                <w:left w:val="nil"/>
                <w:bottom w:val="nil"/>
                <w:right w:val="nil"/>
                <w:between w:val="nil"/>
              </w:pBdr>
              <w:spacing w:line="240" w:lineRule="auto"/>
              <w:jc w:val="center"/>
              <w:rPr>
                <w:rFonts w:ascii="Public Sans" w:eastAsia="Public Sans" w:hAnsi="Public Sans" w:cs="Public Sans"/>
              </w:rPr>
            </w:pPr>
            <w:r>
              <w:rPr>
                <w:rFonts w:ascii="Public Sans" w:eastAsia="Public Sans" w:hAnsi="Public Sans" w:cs="Public Sans"/>
              </w:rPr>
              <w:t>Data</w:t>
            </w:r>
          </w:p>
        </w:tc>
        <w:tc>
          <w:tcPr>
            <w:tcW w:w="7005" w:type="dxa"/>
            <w:shd w:val="clear" w:color="auto" w:fill="auto"/>
            <w:tcMar>
              <w:top w:w="100" w:type="dxa"/>
              <w:left w:w="100" w:type="dxa"/>
              <w:bottom w:w="100" w:type="dxa"/>
              <w:right w:w="100" w:type="dxa"/>
            </w:tcMar>
            <w:vAlign w:val="center"/>
          </w:tcPr>
          <w:p w14:paraId="0F15CB75" w14:textId="77777777" w:rsidR="00080BDC" w:rsidRDefault="00D7526C">
            <w:pPr>
              <w:pBdr>
                <w:top w:val="nil"/>
                <w:left w:val="nil"/>
                <w:bottom w:val="nil"/>
                <w:right w:val="nil"/>
                <w:between w:val="nil"/>
              </w:pBdr>
              <w:spacing w:line="240" w:lineRule="auto"/>
              <w:rPr>
                <w:rFonts w:ascii="Public Sans" w:eastAsia="Public Sans" w:hAnsi="Public Sans" w:cs="Public Sans"/>
              </w:rPr>
            </w:pPr>
            <w:r>
              <w:rPr>
                <w:rFonts w:ascii="Public Sans" w:eastAsia="Public Sans" w:hAnsi="Public Sans" w:cs="Public Sans"/>
              </w:rPr>
              <w:t xml:space="preserve">A data tagging strategy can help segment and implement fine-grained access (e.g. all private </w:t>
            </w:r>
            <w:proofErr w:type="gramStart"/>
            <w:r>
              <w:rPr>
                <w:rFonts w:ascii="Public Sans" w:eastAsia="Public Sans" w:hAnsi="Public Sans" w:cs="Public Sans"/>
              </w:rPr>
              <w:t>data  can</w:t>
            </w:r>
            <w:proofErr w:type="gramEnd"/>
            <w:r>
              <w:rPr>
                <w:rFonts w:ascii="Public Sans" w:eastAsia="Public Sans" w:hAnsi="Public Sans" w:cs="Public Sans"/>
              </w:rPr>
              <w:t xml:space="preserve"> only be read by human resources group u</w:t>
            </w:r>
            <w:r>
              <w:rPr>
                <w:rFonts w:ascii="Public Sans" w:eastAsia="Public Sans" w:hAnsi="Public Sans" w:cs="Public Sans"/>
              </w:rPr>
              <w:t>sers). This outcome is more achievable with modern cloud security and data loss prevention tools.</w:t>
            </w:r>
          </w:p>
        </w:tc>
      </w:tr>
    </w:tbl>
    <w:p w14:paraId="55D441E4" w14:textId="77777777" w:rsidR="00080BDC" w:rsidRDefault="00D7526C">
      <w:pPr>
        <w:spacing w:after="120" w:line="360" w:lineRule="auto"/>
        <w:jc w:val="center"/>
        <w:rPr>
          <w:rFonts w:ascii="Public Sans" w:eastAsia="Public Sans" w:hAnsi="Public Sans" w:cs="Public Sans"/>
        </w:rPr>
      </w:pPr>
      <w:r>
        <w:rPr>
          <w:rFonts w:ascii="Public Sans" w:eastAsia="Public Sans" w:hAnsi="Public Sans" w:cs="Public Sans"/>
        </w:rPr>
        <w:t>Table 4. ICAM Enablers for Zero Trust</w:t>
      </w:r>
    </w:p>
    <w:p w14:paraId="4AF09BD3" w14:textId="77777777" w:rsidR="00080BDC" w:rsidRDefault="00080BDC">
      <w:pPr>
        <w:spacing w:after="120" w:line="360" w:lineRule="auto"/>
        <w:ind w:left="720"/>
        <w:rPr>
          <w:rFonts w:ascii="Public Sans" w:eastAsia="Public Sans" w:hAnsi="Public Sans" w:cs="Public Sans"/>
        </w:rPr>
      </w:pPr>
    </w:p>
    <w:p w14:paraId="0B96B8E2" w14:textId="77777777" w:rsidR="00080BDC" w:rsidRDefault="00D7526C">
      <w:pPr>
        <w:pStyle w:val="Heading2"/>
        <w:spacing w:line="360" w:lineRule="auto"/>
        <w:rPr>
          <w:rFonts w:ascii="Public Sans" w:eastAsia="Public Sans" w:hAnsi="Public Sans" w:cs="Public Sans"/>
        </w:rPr>
      </w:pPr>
      <w:bookmarkStart w:id="13" w:name="_i768dyam9n5y" w:colFirst="0" w:colLast="0"/>
      <w:bookmarkEnd w:id="13"/>
      <w:r>
        <w:rPr>
          <w:rFonts w:ascii="Public Sans" w:eastAsia="Public Sans" w:hAnsi="Public Sans" w:cs="Public Sans"/>
        </w:rPr>
        <w:lastRenderedPageBreak/>
        <w:t>Step 2. Identify a Plan and Success Factors</w:t>
      </w:r>
    </w:p>
    <w:p w14:paraId="303F77AA"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The first step in any journey is identifying the destination. Your agency can take one of two approaches.</w:t>
      </w:r>
    </w:p>
    <w:p w14:paraId="0DDE8C21" w14:textId="77777777" w:rsidR="00080BDC" w:rsidRDefault="00D7526C">
      <w:pPr>
        <w:numPr>
          <w:ilvl w:val="0"/>
          <w:numId w:val="20"/>
        </w:numPr>
        <w:spacing w:line="360" w:lineRule="auto"/>
        <w:rPr>
          <w:rFonts w:ascii="Public Sans" w:eastAsia="Public Sans" w:hAnsi="Public Sans" w:cs="Public Sans"/>
        </w:rPr>
      </w:pPr>
      <w:r>
        <w:rPr>
          <w:rFonts w:ascii="Public Sans" w:eastAsia="Public Sans" w:hAnsi="Public Sans" w:cs="Public Sans"/>
          <w:b/>
        </w:rPr>
        <w:t>Incremental</w:t>
      </w:r>
      <w:r>
        <w:rPr>
          <w:rFonts w:ascii="Public Sans" w:eastAsia="Public Sans" w:hAnsi="Public Sans" w:cs="Public Sans"/>
        </w:rPr>
        <w:t xml:space="preserve"> - Identify single services to test and deploy based on identified goals, metrics, and outcomes. When that service is successful, repeat wi</w:t>
      </w:r>
      <w:r>
        <w:rPr>
          <w:rFonts w:ascii="Public Sans" w:eastAsia="Public Sans" w:hAnsi="Public Sans" w:cs="Public Sans"/>
        </w:rPr>
        <w:t xml:space="preserve">th another service. The </w:t>
      </w:r>
      <w:proofErr w:type="gramStart"/>
      <w:r>
        <w:rPr>
          <w:rFonts w:ascii="Public Sans" w:eastAsia="Public Sans" w:hAnsi="Public Sans" w:cs="Public Sans"/>
        </w:rPr>
        <w:t>advantages</w:t>
      </w:r>
      <w:proofErr w:type="gramEnd"/>
      <w:r>
        <w:rPr>
          <w:rFonts w:ascii="Public Sans" w:eastAsia="Public Sans" w:hAnsi="Public Sans" w:cs="Public Sans"/>
        </w:rPr>
        <w:t xml:space="preserve"> of this approach is waiting for cloud capabilities or tools that are mature enough to meet your agency’s needs. </w:t>
      </w:r>
    </w:p>
    <w:p w14:paraId="2DB27986" w14:textId="77777777" w:rsidR="00080BDC" w:rsidRDefault="00D7526C">
      <w:pPr>
        <w:numPr>
          <w:ilvl w:val="0"/>
          <w:numId w:val="20"/>
        </w:numPr>
        <w:spacing w:after="120" w:line="360" w:lineRule="auto"/>
        <w:rPr>
          <w:rFonts w:ascii="Public Sans" w:eastAsia="Public Sans" w:hAnsi="Public Sans" w:cs="Public Sans"/>
        </w:rPr>
      </w:pPr>
      <w:r>
        <w:rPr>
          <w:rFonts w:ascii="Public Sans" w:eastAsia="Public Sans" w:hAnsi="Public Sans" w:cs="Public Sans"/>
          <w:b/>
        </w:rPr>
        <w:t>Full Migration</w:t>
      </w:r>
      <w:r>
        <w:rPr>
          <w:rFonts w:ascii="Public Sans" w:eastAsia="Public Sans" w:hAnsi="Public Sans" w:cs="Public Sans"/>
        </w:rPr>
        <w:t xml:space="preserve"> - Identify comparable cloud identity services and incrementally or migrate services from </w:t>
      </w:r>
      <w:proofErr w:type="gramStart"/>
      <w:r>
        <w:rPr>
          <w:rFonts w:ascii="Public Sans" w:eastAsia="Public Sans" w:hAnsi="Public Sans" w:cs="Public Sans"/>
        </w:rPr>
        <w:t>on-p</w:t>
      </w:r>
      <w:r>
        <w:rPr>
          <w:rFonts w:ascii="Public Sans" w:eastAsia="Public Sans" w:hAnsi="Public Sans" w:cs="Public Sans"/>
        </w:rPr>
        <w:t>remise</w:t>
      </w:r>
      <w:proofErr w:type="gramEnd"/>
      <w:r>
        <w:rPr>
          <w:rFonts w:ascii="Public Sans" w:eastAsia="Public Sans" w:hAnsi="Public Sans" w:cs="Public Sans"/>
        </w:rPr>
        <w:t xml:space="preserve"> to the cloud providers.</w:t>
      </w:r>
    </w:p>
    <w:p w14:paraId="32ECD19D"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The </w:t>
      </w:r>
      <w:hyperlink r:id="rId24">
        <w:r>
          <w:rPr>
            <w:rFonts w:ascii="Public Sans" w:eastAsia="Public Sans" w:hAnsi="Public Sans" w:cs="Public Sans"/>
            <w:color w:val="1155CC"/>
            <w:u w:val="single"/>
          </w:rPr>
          <w:t>ICAM Practice Areas and Services Framework</w:t>
        </w:r>
      </w:hyperlink>
      <w:r>
        <w:rPr>
          <w:rFonts w:ascii="Public Sans" w:eastAsia="Public Sans" w:hAnsi="Public Sans" w:cs="Public Sans"/>
        </w:rPr>
        <w:t xml:space="preserve"> is a great starting point to map business requirements to technical solutions. The ICAM Governance Framework </w:t>
      </w:r>
      <w:r>
        <w:rPr>
          <w:rFonts w:ascii="Public Sans" w:eastAsia="Public Sans" w:hAnsi="Public Sans" w:cs="Public Sans"/>
        </w:rPr>
        <w:t>is also a great resource to identify ICAM capabilities, integration points, and enterprise governance examples and templates.</w:t>
      </w:r>
    </w:p>
    <w:p w14:paraId="423235E6" w14:textId="77777777" w:rsidR="00080BDC" w:rsidRDefault="00D7526C">
      <w:pPr>
        <w:spacing w:before="255" w:line="360" w:lineRule="auto"/>
        <w:ind w:left="100" w:right="100"/>
        <w:jc w:val="center"/>
        <w:rPr>
          <w:rFonts w:ascii="Calibri" w:eastAsia="Calibri" w:hAnsi="Calibri" w:cs="Calibri"/>
          <w:color w:val="1B1B1B"/>
          <w:sz w:val="25"/>
          <w:szCs w:val="25"/>
        </w:rPr>
      </w:pPr>
      <w:r>
        <w:rPr>
          <w:rFonts w:ascii="Calibri" w:eastAsia="Calibri" w:hAnsi="Calibri" w:cs="Calibri"/>
          <w:noProof/>
          <w:color w:val="1B1B1B"/>
          <w:sz w:val="25"/>
          <w:szCs w:val="25"/>
        </w:rPr>
        <w:drawing>
          <wp:inline distT="0" distB="0" distL="0" distR="0" wp14:anchorId="582B33E6" wp14:editId="0C72D327">
            <wp:extent cx="4616450" cy="384088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616450" cy="3840886"/>
                    </a:xfrm>
                    <a:prstGeom prst="rect">
                      <a:avLst/>
                    </a:prstGeom>
                    <a:ln/>
                  </pic:spPr>
                </pic:pic>
              </a:graphicData>
            </a:graphic>
          </wp:inline>
        </w:drawing>
      </w:r>
    </w:p>
    <w:p w14:paraId="1B4A856F" w14:textId="77777777" w:rsidR="00080BDC" w:rsidRDefault="00D7526C">
      <w:pPr>
        <w:spacing w:before="255" w:line="360" w:lineRule="auto"/>
        <w:ind w:left="100" w:right="100"/>
        <w:jc w:val="center"/>
        <w:rPr>
          <w:rFonts w:ascii="Public Sans" w:eastAsia="Public Sans" w:hAnsi="Public Sans" w:cs="Public Sans"/>
          <w:color w:val="1B1B1B"/>
        </w:rPr>
      </w:pPr>
      <w:r>
        <w:rPr>
          <w:rFonts w:ascii="Public Sans" w:eastAsia="Public Sans" w:hAnsi="Public Sans" w:cs="Public Sans"/>
          <w:color w:val="1B1B1B"/>
        </w:rPr>
        <w:t>Figure 02. FICAM Services Framework</w:t>
      </w:r>
    </w:p>
    <w:tbl>
      <w:tblPr>
        <w:tblStyle w:val="a3"/>
        <w:tblW w:w="9360" w:type="dxa"/>
        <w:tblLayout w:type="fixed"/>
        <w:tblLook w:val="0600" w:firstRow="0" w:lastRow="0" w:firstColumn="0" w:lastColumn="0" w:noHBand="1" w:noVBand="1"/>
      </w:tblPr>
      <w:tblGrid>
        <w:gridCol w:w="945"/>
        <w:gridCol w:w="8415"/>
      </w:tblGrid>
      <w:tr w:rsidR="00080BDC" w14:paraId="658AEB64"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14EDB4BD"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lastRenderedPageBreak/>
              <w:drawing>
                <wp:inline distT="114300" distB="114300" distL="114300" distR="114300" wp14:anchorId="2C1B356B" wp14:editId="2ADD10D4">
                  <wp:extent cx="442913" cy="4429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7E3B8016"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Myth Busted - It's Cloud or Nothing</w:t>
            </w:r>
          </w:p>
          <w:p w14:paraId="4BADCC7E" w14:textId="77777777" w:rsidR="00080BDC" w:rsidRDefault="00D7526C">
            <w:pPr>
              <w:spacing w:after="120" w:line="360" w:lineRule="auto"/>
              <w:rPr>
                <w:rFonts w:ascii="Public Sans" w:eastAsia="Public Sans" w:hAnsi="Public Sans" w:cs="Public Sans"/>
                <w:b/>
              </w:rPr>
            </w:pPr>
            <w:proofErr w:type="gramStart"/>
            <w:r>
              <w:rPr>
                <w:rFonts w:ascii="Public Sans" w:eastAsia="Public Sans" w:hAnsi="Public Sans" w:cs="Public Sans"/>
              </w:rPr>
              <w:t>The majority of</w:t>
            </w:r>
            <w:proofErr w:type="gramEnd"/>
            <w:r>
              <w:rPr>
                <w:rFonts w:ascii="Public Sans" w:eastAsia="Public Sans" w:hAnsi="Public Sans" w:cs="Public Sans"/>
              </w:rPr>
              <w:t xml:space="preserve"> agencies are operating ICAM in a hybrid cloud environment.</w:t>
            </w:r>
          </w:p>
        </w:tc>
      </w:tr>
    </w:tbl>
    <w:p w14:paraId="1D755191" w14:textId="77777777" w:rsidR="00080BDC" w:rsidRDefault="00080BDC">
      <w:pPr>
        <w:spacing w:after="120" w:line="360" w:lineRule="auto"/>
        <w:rPr>
          <w:rFonts w:ascii="Public Sans" w:eastAsia="Public Sans" w:hAnsi="Public Sans" w:cs="Public Sans"/>
        </w:rPr>
      </w:pPr>
    </w:p>
    <w:p w14:paraId="38C6F347" w14:textId="77777777" w:rsidR="00080BDC" w:rsidRDefault="00D7526C">
      <w:pPr>
        <w:pStyle w:val="Heading3"/>
        <w:spacing w:line="360" w:lineRule="auto"/>
        <w:rPr>
          <w:rFonts w:ascii="Public Sans" w:eastAsia="Public Sans" w:hAnsi="Public Sans" w:cs="Public Sans"/>
          <w:sz w:val="26"/>
          <w:szCs w:val="26"/>
        </w:rPr>
      </w:pPr>
      <w:bookmarkStart w:id="14" w:name="_phdbj6rm2gya" w:colFirst="0" w:colLast="0"/>
      <w:bookmarkEnd w:id="14"/>
      <w:r>
        <w:rPr>
          <w:rFonts w:ascii="Public Sans" w:eastAsia="Public Sans" w:hAnsi="Public Sans" w:cs="Public Sans"/>
          <w:sz w:val="26"/>
          <w:szCs w:val="26"/>
        </w:rPr>
        <w:t>Cloud ICAM Strategy and Goals</w:t>
      </w:r>
    </w:p>
    <w:p w14:paraId="436FCF32"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A Cloud ICAM strategy and goals help an organization work in a concerted manner. An example pairing of a strategy to a goal is to identify how to con</w:t>
      </w:r>
      <w:r>
        <w:rPr>
          <w:rFonts w:ascii="Public Sans" w:eastAsia="Public Sans" w:hAnsi="Public Sans" w:cs="Public Sans"/>
        </w:rPr>
        <w:t xml:space="preserve">solidate identity services (strategy) </w:t>
      </w:r>
      <w:proofErr w:type="gramStart"/>
      <w:r>
        <w:rPr>
          <w:rFonts w:ascii="Public Sans" w:eastAsia="Public Sans" w:hAnsi="Public Sans" w:cs="Public Sans"/>
        </w:rPr>
        <w:t>in order to</w:t>
      </w:r>
      <w:proofErr w:type="gramEnd"/>
      <w:r>
        <w:rPr>
          <w:rFonts w:ascii="Public Sans" w:eastAsia="Public Sans" w:hAnsi="Public Sans" w:cs="Public Sans"/>
        </w:rPr>
        <w:t xml:space="preserve"> prevent capability sprawl (goal). It is possible that the ICAM Policy and Strategy are the same document for ease of management or based on the size of the agency. Large agencies may have separate strategie</w:t>
      </w:r>
      <w:r>
        <w:rPr>
          <w:rFonts w:ascii="Public Sans" w:eastAsia="Public Sans" w:hAnsi="Public Sans" w:cs="Public Sans"/>
        </w:rPr>
        <w:t xml:space="preserve">s for modernization, security, and ICAM while smaller agencies may decide to combine them into a single document. Use the ICAM Services Framework to identify ICAM services. There are five core services with </w:t>
      </w:r>
      <w:proofErr w:type="gramStart"/>
      <w:r>
        <w:rPr>
          <w:rFonts w:ascii="Public Sans" w:eastAsia="Public Sans" w:hAnsi="Public Sans" w:cs="Public Sans"/>
        </w:rPr>
        <w:t>a number of</w:t>
      </w:r>
      <w:proofErr w:type="gramEnd"/>
      <w:r>
        <w:rPr>
          <w:rFonts w:ascii="Public Sans" w:eastAsia="Public Sans" w:hAnsi="Public Sans" w:cs="Public Sans"/>
        </w:rPr>
        <w:t xml:space="preserve"> sub-services. The FICAM Architecture </w:t>
      </w:r>
      <w:r>
        <w:rPr>
          <w:rFonts w:ascii="Public Sans" w:eastAsia="Public Sans" w:hAnsi="Public Sans" w:cs="Public Sans"/>
        </w:rPr>
        <w:t>also provides a component example for typical services and how they align with the FICAM Architecture.</w:t>
      </w:r>
    </w:p>
    <w:p w14:paraId="336C9A4A" w14:textId="77777777" w:rsidR="00080BDC" w:rsidRDefault="00080BDC">
      <w:pPr>
        <w:spacing w:after="120" w:line="360" w:lineRule="auto"/>
        <w:rPr>
          <w:rFonts w:ascii="Public Sans" w:eastAsia="Public Sans" w:hAnsi="Public Sans" w:cs="Public Sans"/>
        </w:rPr>
      </w:pPr>
    </w:p>
    <w:p w14:paraId="6867DCA7" w14:textId="77777777" w:rsidR="00080BDC" w:rsidRDefault="00D7526C">
      <w:pPr>
        <w:spacing w:after="1" w:line="360" w:lineRule="auto"/>
        <w:ind w:left="45" w:right="100" w:hanging="360"/>
        <w:jc w:val="center"/>
        <w:rPr>
          <w:rFonts w:ascii="Calibri" w:eastAsia="Calibri" w:hAnsi="Calibri" w:cs="Calibri"/>
          <w:sz w:val="23"/>
          <w:szCs w:val="23"/>
        </w:rPr>
      </w:pPr>
      <w:r>
        <w:rPr>
          <w:rFonts w:ascii="Calibri" w:eastAsia="Calibri" w:hAnsi="Calibri" w:cs="Calibri"/>
          <w:noProof/>
          <w:sz w:val="23"/>
          <w:szCs w:val="23"/>
        </w:rPr>
        <w:drawing>
          <wp:inline distT="0" distB="0" distL="0" distR="0" wp14:anchorId="7DDB6F60" wp14:editId="664CB853">
            <wp:extent cx="5938062" cy="32607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38062" cy="3260725"/>
                    </a:xfrm>
                    <a:prstGeom prst="rect">
                      <a:avLst/>
                    </a:prstGeom>
                    <a:ln/>
                  </pic:spPr>
                </pic:pic>
              </a:graphicData>
            </a:graphic>
          </wp:inline>
        </w:drawing>
      </w:r>
    </w:p>
    <w:p w14:paraId="7388CF5A" w14:textId="77777777" w:rsidR="00080BDC" w:rsidRDefault="00D7526C">
      <w:pPr>
        <w:spacing w:after="1" w:line="360" w:lineRule="auto"/>
        <w:ind w:right="100"/>
        <w:jc w:val="center"/>
        <w:rPr>
          <w:rFonts w:ascii="Public Sans" w:eastAsia="Public Sans" w:hAnsi="Public Sans" w:cs="Public Sans"/>
        </w:rPr>
      </w:pPr>
      <w:r>
        <w:rPr>
          <w:rFonts w:ascii="Public Sans" w:eastAsia="Public Sans" w:hAnsi="Public Sans" w:cs="Public Sans"/>
        </w:rPr>
        <w:t>Figure 03. FICAM System Components</w:t>
      </w:r>
    </w:p>
    <w:p w14:paraId="6287A3FB" w14:textId="77777777" w:rsidR="00080BDC" w:rsidRDefault="00080BDC">
      <w:pPr>
        <w:spacing w:after="1" w:line="360" w:lineRule="auto"/>
        <w:ind w:right="100"/>
        <w:jc w:val="center"/>
        <w:rPr>
          <w:rFonts w:ascii="Calibri" w:eastAsia="Calibri" w:hAnsi="Calibri" w:cs="Calibri"/>
          <w:sz w:val="23"/>
          <w:szCs w:val="23"/>
        </w:rPr>
      </w:pPr>
    </w:p>
    <w:tbl>
      <w:tblPr>
        <w:tblStyle w:val="a4"/>
        <w:tblW w:w="9645" w:type="dxa"/>
        <w:tblInd w:w="120" w:type="dxa"/>
        <w:tblBorders>
          <w:top w:val="single" w:sz="8" w:space="0" w:color="565C65"/>
          <w:left w:val="single" w:sz="8" w:space="0" w:color="565C65"/>
          <w:bottom w:val="single" w:sz="8" w:space="0" w:color="565C65"/>
          <w:right w:val="single" w:sz="8" w:space="0" w:color="565C65"/>
          <w:insideH w:val="single" w:sz="8" w:space="0" w:color="565C65"/>
          <w:insideV w:val="single" w:sz="8" w:space="0" w:color="565C65"/>
        </w:tblBorders>
        <w:tblLayout w:type="fixed"/>
        <w:tblLook w:val="0000" w:firstRow="0" w:lastRow="0" w:firstColumn="0" w:lastColumn="0" w:noHBand="0" w:noVBand="0"/>
      </w:tblPr>
      <w:tblGrid>
        <w:gridCol w:w="1815"/>
        <w:gridCol w:w="2670"/>
        <w:gridCol w:w="5160"/>
      </w:tblGrid>
      <w:tr w:rsidR="00080BDC" w14:paraId="4298BD26" w14:textId="77777777">
        <w:trPr>
          <w:trHeight w:val="675"/>
        </w:trPr>
        <w:tc>
          <w:tcPr>
            <w:tcW w:w="1815" w:type="dxa"/>
            <w:shd w:val="clear" w:color="auto" w:fill="0579BD"/>
          </w:tcPr>
          <w:p w14:paraId="08AAD0CB" w14:textId="77777777" w:rsidR="00080BDC" w:rsidRDefault="00080BDC">
            <w:pPr>
              <w:spacing w:line="240" w:lineRule="auto"/>
              <w:ind w:left="720" w:right="100" w:hanging="360"/>
              <w:rPr>
                <w:rFonts w:ascii="Public Sans" w:eastAsia="Public Sans" w:hAnsi="Public Sans" w:cs="Public Sans"/>
                <w:b/>
                <w:color w:val="FFFFFF"/>
              </w:rPr>
            </w:pPr>
          </w:p>
          <w:p w14:paraId="1C18B1D9" w14:textId="77777777" w:rsidR="00080BDC" w:rsidRDefault="00D7526C">
            <w:pPr>
              <w:spacing w:line="240" w:lineRule="auto"/>
              <w:ind w:left="245" w:right="100"/>
              <w:rPr>
                <w:rFonts w:ascii="Public Sans" w:eastAsia="Public Sans" w:hAnsi="Public Sans" w:cs="Public Sans"/>
                <w:b/>
                <w:color w:val="FFFFFF"/>
              </w:rPr>
            </w:pPr>
            <w:r>
              <w:rPr>
                <w:rFonts w:ascii="Public Sans" w:eastAsia="Public Sans" w:hAnsi="Public Sans" w:cs="Public Sans"/>
                <w:b/>
                <w:color w:val="FFFFFF"/>
              </w:rPr>
              <w:t>Core Service</w:t>
            </w:r>
          </w:p>
        </w:tc>
        <w:tc>
          <w:tcPr>
            <w:tcW w:w="2670" w:type="dxa"/>
            <w:shd w:val="clear" w:color="auto" w:fill="0579BD"/>
          </w:tcPr>
          <w:p w14:paraId="7A6B8AD9" w14:textId="77777777" w:rsidR="00080BDC" w:rsidRDefault="00D7526C">
            <w:pPr>
              <w:spacing w:before="150" w:line="240" w:lineRule="auto"/>
              <w:ind w:left="244" w:right="100"/>
              <w:rPr>
                <w:rFonts w:ascii="Public Sans" w:eastAsia="Public Sans" w:hAnsi="Public Sans" w:cs="Public Sans"/>
                <w:b/>
                <w:color w:val="FFFFFF"/>
              </w:rPr>
            </w:pPr>
            <w:r>
              <w:rPr>
                <w:rFonts w:ascii="Public Sans" w:eastAsia="Public Sans" w:hAnsi="Public Sans" w:cs="Public Sans"/>
                <w:b/>
                <w:color w:val="FFFFFF"/>
              </w:rPr>
              <w:t>Business Requirement</w:t>
            </w:r>
          </w:p>
        </w:tc>
        <w:tc>
          <w:tcPr>
            <w:tcW w:w="5160" w:type="dxa"/>
            <w:shd w:val="clear" w:color="auto" w:fill="0579BD"/>
          </w:tcPr>
          <w:p w14:paraId="0ABAAFCE" w14:textId="77777777" w:rsidR="00080BDC" w:rsidRDefault="00080BDC">
            <w:pPr>
              <w:spacing w:line="240" w:lineRule="auto"/>
              <w:ind w:left="720" w:right="100" w:hanging="540"/>
              <w:rPr>
                <w:rFonts w:ascii="Public Sans" w:eastAsia="Public Sans" w:hAnsi="Public Sans" w:cs="Public Sans"/>
                <w:b/>
                <w:color w:val="FFFFFF"/>
              </w:rPr>
            </w:pPr>
          </w:p>
          <w:p w14:paraId="36F726D0" w14:textId="77777777" w:rsidR="00080BDC" w:rsidRDefault="00D7526C">
            <w:pPr>
              <w:spacing w:line="240" w:lineRule="auto"/>
              <w:ind w:left="245" w:right="100" w:hanging="65"/>
              <w:rPr>
                <w:rFonts w:ascii="Public Sans" w:eastAsia="Public Sans" w:hAnsi="Public Sans" w:cs="Public Sans"/>
                <w:b/>
                <w:color w:val="FFFFFF"/>
              </w:rPr>
            </w:pPr>
            <w:r>
              <w:rPr>
                <w:rFonts w:ascii="Public Sans" w:eastAsia="Public Sans" w:hAnsi="Public Sans" w:cs="Public Sans"/>
                <w:b/>
                <w:color w:val="FFFFFF"/>
              </w:rPr>
              <w:t>Cloud Option</w:t>
            </w:r>
          </w:p>
        </w:tc>
      </w:tr>
      <w:tr w:rsidR="00080BDC" w14:paraId="13ED7A33" w14:textId="77777777">
        <w:trPr>
          <w:trHeight w:val="2130"/>
        </w:trPr>
        <w:tc>
          <w:tcPr>
            <w:tcW w:w="1815" w:type="dxa"/>
            <w:tcBorders>
              <w:bottom w:val="single" w:sz="4" w:space="0" w:color="565C65"/>
            </w:tcBorders>
            <w:tcMar>
              <w:top w:w="144" w:type="dxa"/>
              <w:left w:w="144" w:type="dxa"/>
              <w:bottom w:w="144" w:type="dxa"/>
              <w:right w:w="144" w:type="dxa"/>
            </w:tcMar>
            <w:vAlign w:val="center"/>
          </w:tcPr>
          <w:p w14:paraId="789D2E7F" w14:textId="77777777" w:rsidR="00080BDC" w:rsidRDefault="00D7526C">
            <w:pPr>
              <w:spacing w:line="240" w:lineRule="auto"/>
              <w:ind w:right="100"/>
              <w:rPr>
                <w:rFonts w:ascii="Public Sans" w:eastAsia="Public Sans" w:hAnsi="Public Sans" w:cs="Public Sans"/>
                <w:color w:val="1B1B1B"/>
              </w:rPr>
            </w:pPr>
            <w:r>
              <w:rPr>
                <w:rFonts w:ascii="Public Sans" w:eastAsia="Public Sans" w:hAnsi="Public Sans" w:cs="Public Sans"/>
                <w:color w:val="1B1B1B"/>
              </w:rPr>
              <w:t>Identity Management</w:t>
            </w:r>
          </w:p>
        </w:tc>
        <w:tc>
          <w:tcPr>
            <w:tcW w:w="2670" w:type="dxa"/>
            <w:tcBorders>
              <w:bottom w:val="single" w:sz="4" w:space="0" w:color="565C65"/>
            </w:tcBorders>
            <w:vAlign w:val="center"/>
          </w:tcPr>
          <w:p w14:paraId="410DBA38" w14:textId="77777777" w:rsidR="00080BDC" w:rsidRDefault="00D7526C">
            <w:pPr>
              <w:spacing w:line="240" w:lineRule="auto"/>
              <w:ind w:right="100"/>
              <w:rPr>
                <w:rFonts w:ascii="Public Sans" w:eastAsia="Public Sans" w:hAnsi="Public Sans" w:cs="Public Sans"/>
              </w:rPr>
            </w:pPr>
            <w:r>
              <w:rPr>
                <w:rFonts w:ascii="Public Sans" w:eastAsia="Public Sans" w:hAnsi="Public Sans" w:cs="Public Sans"/>
                <w:color w:val="1B1B1B"/>
              </w:rPr>
              <w:t>Establish and manage identities for all users.</w:t>
            </w:r>
          </w:p>
        </w:tc>
        <w:tc>
          <w:tcPr>
            <w:tcW w:w="5160" w:type="dxa"/>
            <w:tcBorders>
              <w:bottom w:val="single" w:sz="4" w:space="0" w:color="565C65"/>
            </w:tcBorders>
            <w:vAlign w:val="center"/>
          </w:tcPr>
          <w:p w14:paraId="46ADC864" w14:textId="77777777" w:rsidR="00080BDC" w:rsidRDefault="00D7526C">
            <w:pPr>
              <w:spacing w:before="150" w:line="240" w:lineRule="auto"/>
              <w:ind w:right="100"/>
              <w:rPr>
                <w:rFonts w:ascii="Public Sans" w:eastAsia="Public Sans" w:hAnsi="Public Sans" w:cs="Public Sans"/>
              </w:rPr>
            </w:pPr>
            <w:r>
              <w:rPr>
                <w:rFonts w:ascii="Public Sans" w:eastAsia="Public Sans" w:hAnsi="Public Sans" w:cs="Public Sans"/>
                <w:color w:val="1B1B1B"/>
              </w:rPr>
              <w:t xml:space="preserve">A majority of Cloud Identity tools come with directory services or can leverage an </w:t>
            </w:r>
            <w:proofErr w:type="gramStart"/>
            <w:r>
              <w:rPr>
                <w:rFonts w:ascii="Public Sans" w:eastAsia="Public Sans" w:hAnsi="Public Sans" w:cs="Public Sans"/>
                <w:color w:val="1B1B1B"/>
              </w:rPr>
              <w:t>on-premise</w:t>
            </w:r>
            <w:proofErr w:type="gramEnd"/>
            <w:r>
              <w:rPr>
                <w:rFonts w:ascii="Public Sans" w:eastAsia="Public Sans" w:hAnsi="Public Sans" w:cs="Public Sans"/>
                <w:color w:val="1B1B1B"/>
              </w:rPr>
              <w:t xml:space="preserve"> directory.</w:t>
            </w:r>
            <w:r>
              <w:rPr>
                <w:rFonts w:ascii="Public Sans" w:eastAsia="Public Sans" w:hAnsi="Public Sans" w:cs="Public Sans"/>
              </w:rPr>
              <w:t xml:space="preserve"> </w:t>
            </w:r>
            <w:r>
              <w:rPr>
                <w:rFonts w:ascii="Public Sans" w:eastAsia="Public Sans" w:hAnsi="Public Sans" w:cs="Public Sans"/>
                <w:color w:val="1B1B1B"/>
              </w:rPr>
              <w:t>Virtual Directories are another option to merge identity information for specific application needs (</w:t>
            </w:r>
            <w:proofErr w:type="gramStart"/>
            <w:r>
              <w:rPr>
                <w:rFonts w:ascii="Public Sans" w:eastAsia="Public Sans" w:hAnsi="Public Sans" w:cs="Public Sans"/>
                <w:color w:val="1B1B1B"/>
              </w:rPr>
              <w:t>e.g</w:t>
            </w:r>
            <w:r>
              <w:rPr>
                <w:rFonts w:ascii="Public Sans" w:eastAsia="Public Sans" w:hAnsi="Public Sans" w:cs="Public Sans"/>
                <w:color w:val="1B1B1B"/>
              </w:rPr>
              <w:t>.</w:t>
            </w:r>
            <w:proofErr w:type="gramEnd"/>
            <w:r>
              <w:rPr>
                <w:rFonts w:ascii="Public Sans" w:eastAsia="Public Sans" w:hAnsi="Public Sans" w:cs="Public Sans"/>
                <w:color w:val="1B1B1B"/>
              </w:rPr>
              <w:t xml:space="preserve"> most applications may use email while others use a different combination or a User Principal Name). FedRAMP accredited remote identity proofing and supervised remote identity proofing services are also available.</w:t>
            </w:r>
          </w:p>
        </w:tc>
      </w:tr>
      <w:tr w:rsidR="00080BDC" w14:paraId="768F0652" w14:textId="77777777">
        <w:trPr>
          <w:trHeight w:val="2160"/>
        </w:trPr>
        <w:tc>
          <w:tcPr>
            <w:tcW w:w="1815" w:type="dxa"/>
            <w:tcBorders>
              <w:top w:val="single" w:sz="4" w:space="0" w:color="565C65"/>
              <w:left w:val="single" w:sz="4" w:space="0" w:color="565C65"/>
              <w:bottom w:val="single" w:sz="4" w:space="0" w:color="000000"/>
              <w:right w:val="single" w:sz="4" w:space="0" w:color="565C65"/>
            </w:tcBorders>
            <w:vAlign w:val="center"/>
          </w:tcPr>
          <w:p w14:paraId="1875B026" w14:textId="77777777" w:rsidR="00080BDC" w:rsidRDefault="00D7526C">
            <w:pPr>
              <w:spacing w:before="150" w:line="240" w:lineRule="auto"/>
              <w:ind w:left="245" w:right="100"/>
              <w:rPr>
                <w:rFonts w:ascii="Public Sans" w:eastAsia="Public Sans" w:hAnsi="Public Sans" w:cs="Public Sans"/>
              </w:rPr>
            </w:pPr>
            <w:r>
              <w:rPr>
                <w:rFonts w:ascii="Public Sans" w:eastAsia="Public Sans" w:hAnsi="Public Sans" w:cs="Public Sans"/>
                <w:color w:val="1B1B1B"/>
              </w:rPr>
              <w:t>Credential Management</w:t>
            </w:r>
          </w:p>
        </w:tc>
        <w:tc>
          <w:tcPr>
            <w:tcW w:w="2670" w:type="dxa"/>
            <w:tcBorders>
              <w:top w:val="single" w:sz="4" w:space="0" w:color="565C65"/>
              <w:left w:val="single" w:sz="4" w:space="0" w:color="565C65"/>
              <w:bottom w:val="single" w:sz="4" w:space="0" w:color="000000"/>
              <w:right w:val="single" w:sz="4" w:space="0" w:color="565C65"/>
            </w:tcBorders>
            <w:vAlign w:val="center"/>
          </w:tcPr>
          <w:p w14:paraId="75F36F6D" w14:textId="77777777" w:rsidR="00080BDC" w:rsidRDefault="00D7526C">
            <w:pPr>
              <w:spacing w:before="150" w:line="240" w:lineRule="auto"/>
              <w:ind w:right="100"/>
              <w:rPr>
                <w:rFonts w:ascii="Public Sans" w:eastAsia="Public Sans" w:hAnsi="Public Sans" w:cs="Public Sans"/>
              </w:rPr>
            </w:pPr>
            <w:r>
              <w:rPr>
                <w:rFonts w:ascii="Public Sans" w:eastAsia="Public Sans" w:hAnsi="Public Sans" w:cs="Public Sans"/>
                <w:color w:val="1B1B1B"/>
              </w:rPr>
              <w:t>Promote interopera</w:t>
            </w:r>
            <w:r>
              <w:rPr>
                <w:rFonts w:ascii="Public Sans" w:eastAsia="Public Sans" w:hAnsi="Public Sans" w:cs="Public Sans"/>
                <w:color w:val="1B1B1B"/>
              </w:rPr>
              <w:t>bility and efficiency across the federal government by buying and building ICAM solutions that use open, commercially- adopted standards.</w:t>
            </w:r>
          </w:p>
        </w:tc>
        <w:tc>
          <w:tcPr>
            <w:tcW w:w="5160" w:type="dxa"/>
            <w:tcBorders>
              <w:top w:val="single" w:sz="4" w:space="0" w:color="565C65"/>
              <w:left w:val="single" w:sz="4" w:space="0" w:color="565C65"/>
              <w:bottom w:val="single" w:sz="4" w:space="0" w:color="000000"/>
              <w:right w:val="single" w:sz="4" w:space="0" w:color="565C65"/>
            </w:tcBorders>
            <w:vAlign w:val="center"/>
          </w:tcPr>
          <w:p w14:paraId="1706AFB2" w14:textId="77777777" w:rsidR="00080BDC" w:rsidRDefault="00D7526C">
            <w:pPr>
              <w:spacing w:before="150" w:line="240" w:lineRule="auto"/>
              <w:ind w:right="100"/>
              <w:rPr>
                <w:rFonts w:ascii="Public Sans" w:eastAsia="Public Sans" w:hAnsi="Public Sans" w:cs="Public Sans"/>
              </w:rPr>
            </w:pPr>
            <w:r>
              <w:rPr>
                <w:rFonts w:ascii="Public Sans" w:eastAsia="Public Sans" w:hAnsi="Public Sans" w:cs="Public Sans"/>
                <w:color w:val="1B1B1B"/>
              </w:rPr>
              <w:t>Leverage cloud services or application frameworks that use modern authenticators that meet NIST Special Publication 80</w:t>
            </w:r>
            <w:r>
              <w:rPr>
                <w:rFonts w:ascii="Public Sans" w:eastAsia="Public Sans" w:hAnsi="Public Sans" w:cs="Public Sans"/>
                <w:color w:val="1B1B1B"/>
              </w:rPr>
              <w:t xml:space="preserve">0-63-3 Authenticator Assurance level 2 or higher. This may include one-time pin authenticator mobile applications, Web Authentication or </w:t>
            </w:r>
            <w:proofErr w:type="spellStart"/>
            <w:r>
              <w:rPr>
                <w:rFonts w:ascii="Public Sans" w:eastAsia="Public Sans" w:hAnsi="Public Sans" w:cs="Public Sans"/>
                <w:color w:val="1B1B1B"/>
              </w:rPr>
              <w:t>WebAuthN</w:t>
            </w:r>
            <w:proofErr w:type="spellEnd"/>
            <w:r>
              <w:rPr>
                <w:rFonts w:ascii="Public Sans" w:eastAsia="Public Sans" w:hAnsi="Public Sans" w:cs="Public Sans"/>
                <w:color w:val="1B1B1B"/>
              </w:rPr>
              <w:t>, or other secondary authenticators mentioned in your policy.</w:t>
            </w:r>
          </w:p>
        </w:tc>
      </w:tr>
      <w:tr w:rsidR="00080BDC" w14:paraId="42C07D55" w14:textId="77777777">
        <w:trPr>
          <w:trHeight w:val="705"/>
        </w:trPr>
        <w:tc>
          <w:tcPr>
            <w:tcW w:w="1815" w:type="dxa"/>
            <w:tcMar>
              <w:top w:w="144" w:type="dxa"/>
              <w:left w:w="144" w:type="dxa"/>
              <w:bottom w:w="144" w:type="dxa"/>
              <w:right w:w="144" w:type="dxa"/>
            </w:tcMar>
            <w:vAlign w:val="center"/>
          </w:tcPr>
          <w:p w14:paraId="67F25CA4" w14:textId="77777777" w:rsidR="00080BDC" w:rsidRDefault="00D7526C">
            <w:pPr>
              <w:spacing w:before="150" w:line="240" w:lineRule="auto"/>
              <w:ind w:right="100"/>
              <w:rPr>
                <w:rFonts w:ascii="Public Sans" w:eastAsia="Public Sans" w:hAnsi="Public Sans" w:cs="Public Sans"/>
              </w:rPr>
            </w:pPr>
            <w:r>
              <w:rPr>
                <w:rFonts w:ascii="Public Sans" w:eastAsia="Public Sans" w:hAnsi="Public Sans" w:cs="Public Sans"/>
                <w:color w:val="1B1B1B"/>
              </w:rPr>
              <w:t>Access Management</w:t>
            </w:r>
          </w:p>
        </w:tc>
        <w:tc>
          <w:tcPr>
            <w:tcW w:w="2670" w:type="dxa"/>
            <w:vAlign w:val="center"/>
          </w:tcPr>
          <w:p w14:paraId="57D8EC4C" w14:textId="77777777" w:rsidR="00080BDC" w:rsidRDefault="00D7526C">
            <w:pPr>
              <w:spacing w:before="142" w:line="240" w:lineRule="auto"/>
              <w:ind w:right="100"/>
              <w:rPr>
                <w:rFonts w:ascii="Public Sans" w:eastAsia="Public Sans" w:hAnsi="Public Sans" w:cs="Public Sans"/>
              </w:rPr>
            </w:pPr>
            <w:r>
              <w:rPr>
                <w:rFonts w:ascii="Public Sans" w:eastAsia="Public Sans" w:hAnsi="Public Sans" w:cs="Public Sans"/>
                <w:color w:val="1B1B1B"/>
              </w:rPr>
              <w:t>Adopt and use cloud-ready systems that provide an efficient and secure way to access resources.</w:t>
            </w:r>
          </w:p>
        </w:tc>
        <w:tc>
          <w:tcPr>
            <w:tcW w:w="5160" w:type="dxa"/>
            <w:vAlign w:val="center"/>
          </w:tcPr>
          <w:p w14:paraId="37EE0EF4" w14:textId="77777777" w:rsidR="00080BDC" w:rsidRDefault="00D7526C">
            <w:pPr>
              <w:spacing w:before="1" w:line="240" w:lineRule="auto"/>
              <w:ind w:right="100"/>
              <w:rPr>
                <w:rFonts w:ascii="Public Sans" w:eastAsia="Public Sans" w:hAnsi="Public Sans" w:cs="Public Sans"/>
              </w:rPr>
            </w:pPr>
            <w:proofErr w:type="gramStart"/>
            <w:r>
              <w:rPr>
                <w:rFonts w:ascii="Public Sans" w:eastAsia="Public Sans" w:hAnsi="Public Sans" w:cs="Public Sans"/>
                <w:color w:val="1B1B1B"/>
              </w:rPr>
              <w:t>The majority of</w:t>
            </w:r>
            <w:proofErr w:type="gramEnd"/>
            <w:r>
              <w:rPr>
                <w:rFonts w:ascii="Public Sans" w:eastAsia="Public Sans" w:hAnsi="Public Sans" w:cs="Public Sans"/>
                <w:color w:val="1B1B1B"/>
              </w:rPr>
              <w:t xml:space="preserve"> cloud identity services are access management tools for either enterprise, citizen, or privileged access management.</w:t>
            </w:r>
          </w:p>
        </w:tc>
      </w:tr>
      <w:tr w:rsidR="00080BDC" w14:paraId="51AE3A7D" w14:textId="77777777">
        <w:trPr>
          <w:trHeight w:val="270"/>
        </w:trPr>
        <w:tc>
          <w:tcPr>
            <w:tcW w:w="1815" w:type="dxa"/>
            <w:tcMar>
              <w:top w:w="144" w:type="dxa"/>
              <w:left w:w="144" w:type="dxa"/>
              <w:bottom w:w="144" w:type="dxa"/>
              <w:right w:w="144" w:type="dxa"/>
            </w:tcMar>
            <w:vAlign w:val="center"/>
          </w:tcPr>
          <w:p w14:paraId="6D9505C9" w14:textId="77777777" w:rsidR="00080BDC" w:rsidRDefault="00D7526C">
            <w:pPr>
              <w:spacing w:before="276" w:line="240" w:lineRule="auto"/>
              <w:ind w:right="100"/>
              <w:rPr>
                <w:rFonts w:ascii="Public Sans" w:eastAsia="Public Sans" w:hAnsi="Public Sans" w:cs="Public Sans"/>
              </w:rPr>
            </w:pPr>
            <w:r>
              <w:rPr>
                <w:rFonts w:ascii="Public Sans" w:eastAsia="Public Sans" w:hAnsi="Public Sans" w:cs="Public Sans"/>
                <w:color w:val="1B1B1B"/>
              </w:rPr>
              <w:t>Governance</w:t>
            </w:r>
          </w:p>
        </w:tc>
        <w:tc>
          <w:tcPr>
            <w:tcW w:w="2670" w:type="dxa"/>
            <w:vAlign w:val="center"/>
          </w:tcPr>
          <w:p w14:paraId="090BDD0B" w14:textId="77777777" w:rsidR="00080BDC" w:rsidRDefault="00D7526C">
            <w:pPr>
              <w:spacing w:before="142" w:line="240" w:lineRule="auto"/>
              <w:ind w:right="100"/>
              <w:rPr>
                <w:rFonts w:ascii="Public Sans" w:eastAsia="Public Sans" w:hAnsi="Public Sans" w:cs="Public Sans"/>
              </w:rPr>
            </w:pPr>
            <w:r>
              <w:rPr>
                <w:rFonts w:ascii="Public Sans" w:eastAsia="Public Sans" w:hAnsi="Public Sans" w:cs="Public Sans"/>
                <w:color w:val="1B1B1B"/>
              </w:rPr>
              <w:t>Monitor and respond to user behavior and events by using data as a strategic asset to make adaptive and risk- based decisions.</w:t>
            </w:r>
          </w:p>
        </w:tc>
        <w:tc>
          <w:tcPr>
            <w:tcW w:w="5160" w:type="dxa"/>
            <w:vAlign w:val="center"/>
          </w:tcPr>
          <w:p w14:paraId="272BAD90" w14:textId="77777777" w:rsidR="00080BDC" w:rsidRDefault="00D7526C">
            <w:pPr>
              <w:spacing w:before="1" w:line="240" w:lineRule="auto"/>
              <w:ind w:right="100"/>
              <w:rPr>
                <w:rFonts w:ascii="Public Sans" w:eastAsia="Public Sans" w:hAnsi="Public Sans" w:cs="Public Sans"/>
              </w:rPr>
            </w:pPr>
            <w:r>
              <w:rPr>
                <w:rFonts w:ascii="Public Sans" w:eastAsia="Public Sans" w:hAnsi="Public Sans" w:cs="Public Sans"/>
                <w:color w:val="1B1B1B"/>
              </w:rPr>
              <w:t>Ensure your cloud ICAM services can export logs to support user behavior analytics. A part of technical identity governance is pe</w:t>
            </w:r>
            <w:r>
              <w:rPr>
                <w:rFonts w:ascii="Public Sans" w:eastAsia="Public Sans" w:hAnsi="Public Sans" w:cs="Public Sans"/>
                <w:color w:val="1B1B1B"/>
              </w:rPr>
              <w:t>rforming access certifications and agnostic ICAM analytics for role mining, provisioning and de-provisioning automation, and account discovery.</w:t>
            </w:r>
          </w:p>
        </w:tc>
      </w:tr>
      <w:tr w:rsidR="00080BDC" w14:paraId="2E6EE92E" w14:textId="77777777">
        <w:tc>
          <w:tcPr>
            <w:tcW w:w="1815" w:type="dxa"/>
            <w:tcMar>
              <w:top w:w="144" w:type="dxa"/>
              <w:left w:w="144" w:type="dxa"/>
              <w:bottom w:w="144" w:type="dxa"/>
              <w:right w:w="144" w:type="dxa"/>
            </w:tcMar>
            <w:vAlign w:val="center"/>
          </w:tcPr>
          <w:p w14:paraId="2406AAB3" w14:textId="77777777" w:rsidR="00080BDC" w:rsidRDefault="00D7526C">
            <w:pPr>
              <w:spacing w:before="1" w:line="240" w:lineRule="auto"/>
              <w:ind w:right="100"/>
              <w:rPr>
                <w:rFonts w:ascii="Public Sans" w:eastAsia="Public Sans" w:hAnsi="Public Sans" w:cs="Public Sans"/>
              </w:rPr>
            </w:pPr>
            <w:r>
              <w:rPr>
                <w:rFonts w:ascii="Public Sans" w:eastAsia="Public Sans" w:hAnsi="Public Sans" w:cs="Public Sans"/>
                <w:color w:val="1B1B1B"/>
              </w:rPr>
              <w:t>Federation</w:t>
            </w:r>
          </w:p>
        </w:tc>
        <w:tc>
          <w:tcPr>
            <w:tcW w:w="2670" w:type="dxa"/>
            <w:vAlign w:val="center"/>
          </w:tcPr>
          <w:p w14:paraId="2ECF4DF9" w14:textId="77777777" w:rsidR="00080BDC" w:rsidRDefault="00D7526C">
            <w:pPr>
              <w:spacing w:before="142" w:line="240" w:lineRule="auto"/>
              <w:ind w:right="100"/>
              <w:rPr>
                <w:rFonts w:ascii="Public Sans" w:eastAsia="Public Sans" w:hAnsi="Public Sans" w:cs="Public Sans"/>
              </w:rPr>
            </w:pPr>
            <w:r>
              <w:rPr>
                <w:rFonts w:ascii="Public Sans" w:eastAsia="Public Sans" w:hAnsi="Public Sans" w:cs="Public Sans"/>
                <w:color w:val="1B1B1B"/>
              </w:rPr>
              <w:t>Leverage federated solutions to accept identity and authentication assertions made by other agency a</w:t>
            </w:r>
            <w:r>
              <w:rPr>
                <w:rFonts w:ascii="Public Sans" w:eastAsia="Public Sans" w:hAnsi="Public Sans" w:cs="Public Sans"/>
                <w:color w:val="1B1B1B"/>
              </w:rPr>
              <w:t>nd mission partners when efficient.</w:t>
            </w:r>
          </w:p>
        </w:tc>
        <w:tc>
          <w:tcPr>
            <w:tcW w:w="5160" w:type="dxa"/>
            <w:vAlign w:val="center"/>
          </w:tcPr>
          <w:p w14:paraId="61EF2518" w14:textId="77777777" w:rsidR="00080BDC" w:rsidRDefault="00D7526C">
            <w:pPr>
              <w:spacing w:before="150" w:line="240" w:lineRule="auto"/>
              <w:ind w:left="90" w:right="100"/>
              <w:rPr>
                <w:rFonts w:ascii="Public Sans" w:eastAsia="Public Sans" w:hAnsi="Public Sans" w:cs="Public Sans"/>
              </w:rPr>
            </w:pPr>
            <w:r>
              <w:rPr>
                <w:rFonts w:ascii="Public Sans" w:eastAsia="Public Sans" w:hAnsi="Public Sans" w:cs="Public Sans"/>
                <w:color w:val="1B1B1B"/>
              </w:rPr>
              <w:t xml:space="preserve">Federated access is usually implemented through a SSO tool. As part of federation, you may decide to operate an </w:t>
            </w:r>
            <w:proofErr w:type="spellStart"/>
            <w:r>
              <w:rPr>
                <w:rFonts w:ascii="Public Sans" w:eastAsia="Public Sans" w:hAnsi="Public Sans" w:cs="Public Sans"/>
                <w:color w:val="1B1B1B"/>
              </w:rPr>
              <w:t>oAuth</w:t>
            </w:r>
            <w:proofErr w:type="spellEnd"/>
            <w:r>
              <w:rPr>
                <w:rFonts w:ascii="Public Sans" w:eastAsia="Public Sans" w:hAnsi="Public Sans" w:cs="Public Sans"/>
                <w:color w:val="1B1B1B"/>
              </w:rPr>
              <w:t xml:space="preserve"> service for authorization tokens. A key part of some federations are legal agreements for identity pat</w:t>
            </w:r>
            <w:r>
              <w:rPr>
                <w:rFonts w:ascii="Public Sans" w:eastAsia="Public Sans" w:hAnsi="Public Sans" w:cs="Public Sans"/>
                <w:color w:val="1B1B1B"/>
              </w:rPr>
              <w:t>tern reciprocity.</w:t>
            </w:r>
          </w:p>
        </w:tc>
      </w:tr>
    </w:tbl>
    <w:p w14:paraId="6FF44CEB" w14:textId="77777777" w:rsidR="00080BDC" w:rsidRDefault="00D7526C">
      <w:pPr>
        <w:spacing w:line="360" w:lineRule="auto"/>
        <w:ind w:left="720" w:right="100" w:hanging="360"/>
        <w:jc w:val="center"/>
        <w:rPr>
          <w:rFonts w:ascii="Public Sans" w:eastAsia="Public Sans" w:hAnsi="Public Sans" w:cs="Public Sans"/>
        </w:rPr>
      </w:pPr>
      <w:r>
        <w:rPr>
          <w:rFonts w:ascii="Public Sans" w:eastAsia="Public Sans" w:hAnsi="Public Sans" w:cs="Public Sans"/>
        </w:rPr>
        <w:t>Table 5. Cloud Identity Strategic Goals</w:t>
      </w:r>
    </w:p>
    <w:p w14:paraId="0A37D0F4" w14:textId="77777777" w:rsidR="00080BDC" w:rsidRDefault="00080BDC">
      <w:pPr>
        <w:spacing w:after="120" w:line="360" w:lineRule="auto"/>
        <w:rPr>
          <w:rFonts w:ascii="Public Sans" w:eastAsia="Public Sans" w:hAnsi="Public Sans" w:cs="Public Sans"/>
        </w:rPr>
      </w:pPr>
    </w:p>
    <w:p w14:paraId="1A57E49A" w14:textId="77777777" w:rsidR="00080BDC" w:rsidRDefault="00D7526C">
      <w:pPr>
        <w:pStyle w:val="Heading3"/>
        <w:spacing w:line="360" w:lineRule="auto"/>
        <w:rPr>
          <w:rFonts w:ascii="Public Sans" w:eastAsia="Public Sans" w:hAnsi="Public Sans" w:cs="Public Sans"/>
          <w:sz w:val="26"/>
          <w:szCs w:val="26"/>
        </w:rPr>
      </w:pPr>
      <w:bookmarkStart w:id="15" w:name="_9ial1ojqwtnq" w:colFirst="0" w:colLast="0"/>
      <w:bookmarkEnd w:id="15"/>
      <w:r>
        <w:rPr>
          <w:rFonts w:ascii="Public Sans" w:eastAsia="Public Sans" w:hAnsi="Public Sans" w:cs="Public Sans"/>
          <w:sz w:val="26"/>
          <w:szCs w:val="26"/>
        </w:rPr>
        <w:lastRenderedPageBreak/>
        <w:t>Cloud Identity Starting Point</w:t>
      </w:r>
    </w:p>
    <w:p w14:paraId="38E9B81F"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The most common first use of cloud identity is access management or a SSO tool for enterprise use cases and federation.</w:t>
      </w:r>
    </w:p>
    <w:p w14:paraId="79493E5F"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Here are a couple points to consider as you define your Cloud Identity strategy.</w:t>
      </w:r>
    </w:p>
    <w:p w14:paraId="09EABCCC" w14:textId="77777777" w:rsidR="00080BDC" w:rsidRDefault="00D7526C">
      <w:pPr>
        <w:numPr>
          <w:ilvl w:val="0"/>
          <w:numId w:val="5"/>
        </w:numPr>
        <w:spacing w:line="360" w:lineRule="auto"/>
        <w:rPr>
          <w:rFonts w:ascii="Public Sans" w:eastAsia="Public Sans" w:hAnsi="Public Sans" w:cs="Public Sans"/>
        </w:rPr>
      </w:pPr>
      <w:r>
        <w:rPr>
          <w:rFonts w:ascii="Public Sans" w:eastAsia="Public Sans" w:hAnsi="Public Sans" w:cs="Public Sans"/>
        </w:rPr>
        <w:t>Most cloud applications implement role-based access. Pl</w:t>
      </w:r>
      <w:r>
        <w:rPr>
          <w:rFonts w:ascii="Public Sans" w:eastAsia="Public Sans" w:hAnsi="Public Sans" w:cs="Public Sans"/>
        </w:rPr>
        <w:t>an to understand and implement consistent role-based access through your access management tools.</w:t>
      </w:r>
    </w:p>
    <w:p w14:paraId="0D59A25F" w14:textId="77777777" w:rsidR="00080BDC" w:rsidRDefault="00D7526C">
      <w:pPr>
        <w:numPr>
          <w:ilvl w:val="0"/>
          <w:numId w:val="5"/>
        </w:numPr>
        <w:spacing w:line="360" w:lineRule="auto"/>
        <w:rPr>
          <w:rFonts w:ascii="Public Sans" w:eastAsia="Public Sans" w:hAnsi="Public Sans" w:cs="Public Sans"/>
        </w:rPr>
      </w:pPr>
      <w:r>
        <w:rPr>
          <w:rFonts w:ascii="Public Sans" w:eastAsia="Public Sans" w:hAnsi="Public Sans" w:cs="Public Sans"/>
        </w:rPr>
        <w:t xml:space="preserve">Your agency may already use Cloud Identity services. It may only be a matter of identifying a primary service and then reducing duplicate services already in </w:t>
      </w:r>
      <w:r>
        <w:rPr>
          <w:rFonts w:ascii="Public Sans" w:eastAsia="Public Sans" w:hAnsi="Public Sans" w:cs="Public Sans"/>
        </w:rPr>
        <w:t>place.</w:t>
      </w:r>
    </w:p>
    <w:p w14:paraId="42B6DC32" w14:textId="77777777" w:rsidR="00080BDC" w:rsidRDefault="00D7526C">
      <w:pPr>
        <w:numPr>
          <w:ilvl w:val="0"/>
          <w:numId w:val="5"/>
        </w:numPr>
        <w:spacing w:line="360" w:lineRule="auto"/>
        <w:rPr>
          <w:rFonts w:ascii="Public Sans" w:eastAsia="Public Sans" w:hAnsi="Public Sans" w:cs="Public Sans"/>
        </w:rPr>
      </w:pPr>
      <w:r>
        <w:rPr>
          <w:rFonts w:ascii="Public Sans" w:eastAsia="Public Sans" w:hAnsi="Public Sans" w:cs="Public Sans"/>
        </w:rPr>
        <w:t>A key aspect of leveraging cloud identity services is application compatibility. Not all applications are written equally and may implement identity patterns differently (</w:t>
      </w:r>
      <w:proofErr w:type="gramStart"/>
      <w:r>
        <w:rPr>
          <w:rFonts w:ascii="Public Sans" w:eastAsia="Public Sans" w:hAnsi="Public Sans" w:cs="Public Sans"/>
        </w:rPr>
        <w:t>e.g.</w:t>
      </w:r>
      <w:proofErr w:type="gramEnd"/>
      <w:r>
        <w:rPr>
          <w:rFonts w:ascii="Public Sans" w:eastAsia="Public Sans" w:hAnsi="Public Sans" w:cs="Public Sans"/>
        </w:rPr>
        <w:t xml:space="preserve"> some applications may allow provisioning in an assertion while others may</w:t>
      </w:r>
      <w:r>
        <w:rPr>
          <w:rFonts w:ascii="Public Sans" w:eastAsia="Public Sans" w:hAnsi="Public Sans" w:cs="Public Sans"/>
        </w:rPr>
        <w:t xml:space="preserve"> not). Use the </w:t>
      </w:r>
      <w:hyperlink r:id="rId28">
        <w:r>
          <w:rPr>
            <w:rFonts w:ascii="Public Sans" w:eastAsia="Public Sans" w:hAnsi="Public Sans" w:cs="Public Sans"/>
            <w:color w:val="1155CC"/>
            <w:u w:val="single"/>
          </w:rPr>
          <w:t>Single Sign-On Playbook</w:t>
        </w:r>
      </w:hyperlink>
      <w:r>
        <w:rPr>
          <w:rFonts w:ascii="Public Sans" w:eastAsia="Public Sans" w:hAnsi="Public Sans" w:cs="Public Sans"/>
        </w:rPr>
        <w:t xml:space="preserve"> as a cloud access planning guide.</w:t>
      </w:r>
    </w:p>
    <w:p w14:paraId="7C2A4127" w14:textId="77777777" w:rsidR="00080BDC" w:rsidRDefault="00D7526C">
      <w:pPr>
        <w:numPr>
          <w:ilvl w:val="0"/>
          <w:numId w:val="5"/>
        </w:numPr>
        <w:spacing w:line="360" w:lineRule="auto"/>
        <w:rPr>
          <w:rFonts w:ascii="Public Sans" w:eastAsia="Public Sans" w:hAnsi="Public Sans" w:cs="Public Sans"/>
        </w:rPr>
      </w:pPr>
      <w:r>
        <w:rPr>
          <w:rFonts w:ascii="Public Sans" w:eastAsia="Public Sans" w:hAnsi="Public Sans" w:cs="Public Sans"/>
        </w:rPr>
        <w:t xml:space="preserve">With the increase in internet traffic, account for additional monitoring and log analysis in your Security </w:t>
      </w:r>
      <w:r>
        <w:rPr>
          <w:rFonts w:ascii="Public Sans" w:eastAsia="Public Sans" w:hAnsi="Public Sans" w:cs="Public Sans"/>
        </w:rPr>
        <w:t>Information and Event Monitoring.</w:t>
      </w:r>
    </w:p>
    <w:p w14:paraId="7C1270F2" w14:textId="77777777" w:rsidR="00080BDC" w:rsidRDefault="00D7526C">
      <w:pPr>
        <w:numPr>
          <w:ilvl w:val="0"/>
          <w:numId w:val="5"/>
        </w:numPr>
        <w:spacing w:line="360" w:lineRule="auto"/>
        <w:rPr>
          <w:rFonts w:ascii="Public Sans" w:eastAsia="Public Sans" w:hAnsi="Public Sans" w:cs="Public Sans"/>
        </w:rPr>
      </w:pPr>
      <w:r>
        <w:rPr>
          <w:rFonts w:ascii="Public Sans" w:eastAsia="Public Sans" w:hAnsi="Public Sans" w:cs="Public Sans"/>
        </w:rPr>
        <w:t xml:space="preserve">One of the main differences between </w:t>
      </w:r>
      <w:proofErr w:type="gramStart"/>
      <w:r>
        <w:rPr>
          <w:rFonts w:ascii="Public Sans" w:eastAsia="Public Sans" w:hAnsi="Public Sans" w:cs="Public Sans"/>
        </w:rPr>
        <w:t>on-premise</w:t>
      </w:r>
      <w:proofErr w:type="gramEnd"/>
      <w:r>
        <w:rPr>
          <w:rFonts w:ascii="Public Sans" w:eastAsia="Public Sans" w:hAnsi="Public Sans" w:cs="Public Sans"/>
        </w:rPr>
        <w:t xml:space="preserve"> ICAM and cloud ICAM is the need to steer and monitor device traffic to apply authentication and authorization decisions. </w:t>
      </w:r>
      <w:r>
        <w:rPr>
          <w:rFonts w:ascii="Public Sans" w:eastAsia="Public Sans" w:hAnsi="Public Sans" w:cs="Public Sans"/>
          <w:b/>
        </w:rPr>
        <w:t xml:space="preserve">Device management and ability to deploy device agents </w:t>
      </w:r>
      <w:r>
        <w:rPr>
          <w:rFonts w:ascii="Public Sans" w:eastAsia="Public Sans" w:hAnsi="Public Sans" w:cs="Public Sans"/>
          <w:b/>
        </w:rPr>
        <w:t xml:space="preserve">is a key Cloud Identity pattern to monitor and assess traffic agnostic of the network or connection. </w:t>
      </w:r>
      <w:hyperlink r:id="rId29">
        <w:r>
          <w:rPr>
            <w:rFonts w:ascii="Public Sans" w:eastAsia="Public Sans" w:hAnsi="Public Sans" w:cs="Public Sans"/>
            <w:color w:val="1155CC"/>
            <w:u w:val="single"/>
          </w:rPr>
          <w:t>Executive Order 14028</w:t>
        </w:r>
      </w:hyperlink>
      <w:r>
        <w:rPr>
          <w:rFonts w:ascii="Public Sans" w:eastAsia="Public Sans" w:hAnsi="Public Sans" w:cs="Public Sans"/>
        </w:rPr>
        <w:t xml:space="preserve"> identifies comprehensive security monitoring as a key component of Zero Trust Architecture. Steering is dependent on </w:t>
      </w:r>
      <w:r>
        <w:rPr>
          <w:rFonts w:ascii="Public Sans" w:eastAsia="Public Sans" w:hAnsi="Public Sans" w:cs="Public Sans"/>
        </w:rPr>
        <w:t>how a device is configured to reach a website through a Trusted Internet Connection approved method such as a Virtual Private Network, Virtual Desktop Interface, a Cloud Access Security Broker or Secure Edge solution, or some type of direct connection thro</w:t>
      </w:r>
      <w:r>
        <w:rPr>
          <w:rFonts w:ascii="Public Sans" w:eastAsia="Public Sans" w:hAnsi="Public Sans" w:cs="Public Sans"/>
        </w:rPr>
        <w:t>ugh a forward or reverse proxy.</w:t>
      </w:r>
    </w:p>
    <w:p w14:paraId="6A83F6D0" w14:textId="77777777" w:rsidR="00080BDC" w:rsidRDefault="00D7526C">
      <w:pPr>
        <w:numPr>
          <w:ilvl w:val="0"/>
          <w:numId w:val="5"/>
        </w:numPr>
        <w:spacing w:after="120" w:line="360" w:lineRule="auto"/>
        <w:rPr>
          <w:rFonts w:ascii="Public Sans" w:eastAsia="Public Sans" w:hAnsi="Public Sans" w:cs="Public Sans"/>
        </w:rPr>
      </w:pPr>
      <w:r>
        <w:rPr>
          <w:rFonts w:ascii="Public Sans" w:eastAsia="Public Sans" w:hAnsi="Public Sans" w:cs="Public Sans"/>
        </w:rPr>
        <w:t xml:space="preserve">Consider federating all types of human access. It is very common to have </w:t>
      </w:r>
      <w:proofErr w:type="gramStart"/>
      <w:r>
        <w:rPr>
          <w:rFonts w:ascii="Public Sans" w:eastAsia="Public Sans" w:hAnsi="Public Sans" w:cs="Public Sans"/>
        </w:rPr>
        <w:t>Personal  Identity</w:t>
      </w:r>
      <w:proofErr w:type="gramEnd"/>
      <w:r>
        <w:rPr>
          <w:rFonts w:ascii="Public Sans" w:eastAsia="Public Sans" w:hAnsi="Public Sans" w:cs="Public Sans"/>
        </w:rPr>
        <w:t xml:space="preserve"> Verification-enabled enterprise applications after the 2015 cyber sprint. The more modern approach is to federate access with your S</w:t>
      </w:r>
      <w:r>
        <w:rPr>
          <w:rFonts w:ascii="Public Sans" w:eastAsia="Public Sans" w:hAnsi="Public Sans" w:cs="Public Sans"/>
        </w:rPr>
        <w:t>SO to allow a greater variety of modern authenticators and centralizing access management.</w:t>
      </w:r>
    </w:p>
    <w:p w14:paraId="63A06FFD" w14:textId="77777777" w:rsidR="00080BDC" w:rsidRDefault="00080BDC">
      <w:pPr>
        <w:spacing w:after="120" w:line="360" w:lineRule="auto"/>
        <w:ind w:left="720"/>
        <w:rPr>
          <w:rFonts w:ascii="Public Sans" w:eastAsia="Public Sans" w:hAnsi="Public Sans" w:cs="Public Sans"/>
        </w:rPr>
      </w:pPr>
    </w:p>
    <w:tbl>
      <w:tblPr>
        <w:tblStyle w:val="a5"/>
        <w:tblW w:w="9360" w:type="dxa"/>
        <w:tblLayout w:type="fixed"/>
        <w:tblLook w:val="0600" w:firstRow="0" w:lastRow="0" w:firstColumn="0" w:lastColumn="0" w:noHBand="1" w:noVBand="1"/>
      </w:tblPr>
      <w:tblGrid>
        <w:gridCol w:w="945"/>
        <w:gridCol w:w="8415"/>
      </w:tblGrid>
      <w:tr w:rsidR="00080BDC" w14:paraId="20313CC9"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1CF5225E"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lastRenderedPageBreak/>
              <w:drawing>
                <wp:inline distT="114300" distB="114300" distL="114300" distR="114300" wp14:anchorId="28482B22" wp14:editId="73AB8F2A">
                  <wp:extent cx="442913" cy="44291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03342161"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 xml:space="preserve">Myth Busted - </w:t>
            </w:r>
            <w:proofErr w:type="gramStart"/>
            <w:r>
              <w:rPr>
                <w:rFonts w:ascii="Public Sans" w:eastAsia="Public Sans" w:hAnsi="Public Sans" w:cs="Public Sans"/>
                <w:b/>
              </w:rPr>
              <w:t>On-premise</w:t>
            </w:r>
            <w:proofErr w:type="gramEnd"/>
            <w:r>
              <w:rPr>
                <w:rFonts w:ascii="Public Sans" w:eastAsia="Public Sans" w:hAnsi="Public Sans" w:cs="Public Sans"/>
                <w:b/>
              </w:rPr>
              <w:t xml:space="preserve"> is More Secure than Cloud</w:t>
            </w:r>
          </w:p>
          <w:p w14:paraId="01F146AE" w14:textId="77777777" w:rsidR="00080BDC" w:rsidRDefault="00D7526C">
            <w:pPr>
              <w:spacing w:after="120" w:line="360" w:lineRule="auto"/>
              <w:rPr>
                <w:rFonts w:ascii="Public Sans" w:eastAsia="Public Sans" w:hAnsi="Public Sans" w:cs="Public Sans"/>
                <w:b/>
              </w:rPr>
            </w:pPr>
            <w:proofErr w:type="gramStart"/>
            <w:r>
              <w:rPr>
                <w:rFonts w:ascii="Public Sans" w:eastAsia="Public Sans" w:hAnsi="Public Sans" w:cs="Public Sans"/>
              </w:rPr>
              <w:t>On-premise</w:t>
            </w:r>
            <w:proofErr w:type="gramEnd"/>
            <w:r>
              <w:rPr>
                <w:rFonts w:ascii="Public Sans" w:eastAsia="Public Sans" w:hAnsi="Public Sans" w:cs="Public Sans"/>
              </w:rPr>
              <w:t xml:space="preserve"> resources and services are just as vulnerable as cloud services. While the ubiquity of access required for cloud services may create more security challenges, cloud services can be more secure because they usually leverage faster update and patc</w:t>
            </w:r>
            <w:r>
              <w:rPr>
                <w:rFonts w:ascii="Public Sans" w:eastAsia="Public Sans" w:hAnsi="Public Sans" w:cs="Public Sans"/>
              </w:rPr>
              <w:t xml:space="preserve">hing cycles than </w:t>
            </w:r>
            <w:proofErr w:type="gramStart"/>
            <w:r>
              <w:rPr>
                <w:rFonts w:ascii="Public Sans" w:eastAsia="Public Sans" w:hAnsi="Public Sans" w:cs="Public Sans"/>
              </w:rPr>
              <w:t>on-premise</w:t>
            </w:r>
            <w:proofErr w:type="gramEnd"/>
            <w:r>
              <w:rPr>
                <w:rFonts w:ascii="Public Sans" w:eastAsia="Public Sans" w:hAnsi="Public Sans" w:cs="Public Sans"/>
              </w:rPr>
              <w:t xml:space="preserve"> applications. </w:t>
            </w:r>
          </w:p>
        </w:tc>
      </w:tr>
    </w:tbl>
    <w:p w14:paraId="1BF59EA5" w14:textId="77777777" w:rsidR="00080BDC" w:rsidRDefault="00080BDC">
      <w:pPr>
        <w:spacing w:after="120" w:line="360" w:lineRule="auto"/>
        <w:rPr>
          <w:rFonts w:ascii="Public Sans" w:eastAsia="Public Sans" w:hAnsi="Public Sans" w:cs="Public Sans"/>
        </w:rPr>
      </w:pPr>
    </w:p>
    <w:p w14:paraId="38D3D18B" w14:textId="77777777" w:rsidR="00080BDC" w:rsidRDefault="00D7526C">
      <w:pPr>
        <w:pStyle w:val="Heading3"/>
        <w:spacing w:line="360" w:lineRule="auto"/>
        <w:rPr>
          <w:rFonts w:ascii="Public Sans" w:eastAsia="Public Sans" w:hAnsi="Public Sans" w:cs="Public Sans"/>
          <w:sz w:val="26"/>
          <w:szCs w:val="26"/>
        </w:rPr>
      </w:pPr>
      <w:bookmarkStart w:id="16" w:name="_ynpnx31j08rf" w:colFirst="0" w:colLast="0"/>
      <w:bookmarkEnd w:id="16"/>
      <w:r>
        <w:rPr>
          <w:rFonts w:ascii="Public Sans" w:eastAsia="Public Sans" w:hAnsi="Public Sans" w:cs="Public Sans"/>
          <w:sz w:val="26"/>
          <w:szCs w:val="26"/>
        </w:rPr>
        <w:t>Establish Quantifiable Metrics</w:t>
      </w:r>
    </w:p>
    <w:p w14:paraId="311AA4C7"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An agency should then establish quantifiable metrics so that any member of the migration team can objectively identify success and failure. Agencies should tailor their metrics to </w:t>
      </w:r>
      <w:r>
        <w:rPr>
          <w:rFonts w:ascii="Public Sans" w:eastAsia="Public Sans" w:hAnsi="Public Sans" w:cs="Public Sans"/>
        </w:rPr>
        <w:t>address unique operational challenges. Some example metrics include:</w:t>
      </w:r>
    </w:p>
    <w:p w14:paraId="6630339E" w14:textId="77777777" w:rsidR="00080BDC" w:rsidRDefault="00D7526C">
      <w:pPr>
        <w:numPr>
          <w:ilvl w:val="0"/>
          <w:numId w:val="22"/>
        </w:numPr>
        <w:spacing w:line="360" w:lineRule="auto"/>
        <w:rPr>
          <w:rFonts w:ascii="Public Sans" w:eastAsia="Public Sans" w:hAnsi="Public Sans" w:cs="Public Sans"/>
        </w:rPr>
      </w:pPr>
      <w:r>
        <w:rPr>
          <w:rFonts w:ascii="Public Sans" w:eastAsia="Public Sans" w:hAnsi="Public Sans" w:cs="Public Sans"/>
        </w:rPr>
        <w:t>The length of time to deprovision an account</w:t>
      </w:r>
    </w:p>
    <w:p w14:paraId="62391F9E" w14:textId="77777777" w:rsidR="00080BDC" w:rsidRDefault="00D7526C">
      <w:pPr>
        <w:numPr>
          <w:ilvl w:val="0"/>
          <w:numId w:val="22"/>
        </w:numPr>
        <w:spacing w:line="360" w:lineRule="auto"/>
        <w:rPr>
          <w:rFonts w:ascii="Public Sans" w:eastAsia="Public Sans" w:hAnsi="Public Sans" w:cs="Public Sans"/>
        </w:rPr>
      </w:pPr>
      <w:r>
        <w:rPr>
          <w:rFonts w:ascii="Public Sans" w:eastAsia="Public Sans" w:hAnsi="Public Sans" w:cs="Public Sans"/>
        </w:rPr>
        <w:t>The number of orphaned accounts</w:t>
      </w:r>
    </w:p>
    <w:p w14:paraId="447EEDD4" w14:textId="77777777" w:rsidR="00080BDC" w:rsidRDefault="00D7526C">
      <w:pPr>
        <w:numPr>
          <w:ilvl w:val="0"/>
          <w:numId w:val="22"/>
        </w:numPr>
        <w:spacing w:line="360" w:lineRule="auto"/>
        <w:rPr>
          <w:rFonts w:ascii="Public Sans" w:eastAsia="Public Sans" w:hAnsi="Public Sans" w:cs="Public Sans"/>
        </w:rPr>
      </w:pPr>
      <w:r>
        <w:rPr>
          <w:rFonts w:ascii="Public Sans" w:eastAsia="Public Sans" w:hAnsi="Public Sans" w:cs="Public Sans"/>
        </w:rPr>
        <w:t>The number of applications integrated</w:t>
      </w:r>
    </w:p>
    <w:p w14:paraId="5476BA67" w14:textId="77777777" w:rsidR="00080BDC" w:rsidRDefault="00D7526C">
      <w:pPr>
        <w:numPr>
          <w:ilvl w:val="0"/>
          <w:numId w:val="22"/>
        </w:numPr>
        <w:spacing w:line="360" w:lineRule="auto"/>
        <w:rPr>
          <w:rFonts w:ascii="Public Sans" w:eastAsia="Public Sans" w:hAnsi="Public Sans" w:cs="Public Sans"/>
        </w:rPr>
      </w:pPr>
      <w:r>
        <w:rPr>
          <w:rFonts w:ascii="Public Sans" w:eastAsia="Public Sans" w:hAnsi="Public Sans" w:cs="Public Sans"/>
        </w:rPr>
        <w:t>The number of identity processes, and</w:t>
      </w:r>
    </w:p>
    <w:p w14:paraId="69D9D9D5" w14:textId="77777777" w:rsidR="00080BDC" w:rsidRDefault="00D7526C">
      <w:pPr>
        <w:numPr>
          <w:ilvl w:val="0"/>
          <w:numId w:val="22"/>
        </w:numPr>
        <w:spacing w:after="120" w:line="360" w:lineRule="auto"/>
        <w:rPr>
          <w:rFonts w:ascii="Public Sans" w:eastAsia="Public Sans" w:hAnsi="Public Sans" w:cs="Public Sans"/>
        </w:rPr>
      </w:pPr>
      <w:r>
        <w:rPr>
          <w:rFonts w:ascii="Public Sans" w:eastAsia="Public Sans" w:hAnsi="Public Sans" w:cs="Public Sans"/>
        </w:rPr>
        <w:t>The number of manual processes aut</w:t>
      </w:r>
      <w:r>
        <w:rPr>
          <w:rFonts w:ascii="Public Sans" w:eastAsia="Public Sans" w:hAnsi="Public Sans" w:cs="Public Sans"/>
        </w:rPr>
        <w:t>omated.</w:t>
      </w:r>
    </w:p>
    <w:p w14:paraId="6586A71B"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Use your agency’s operational value, or the rate of transactions </w:t>
      </w:r>
      <w:proofErr w:type="gramStart"/>
      <w:r>
        <w:rPr>
          <w:rFonts w:ascii="Public Sans" w:eastAsia="Public Sans" w:hAnsi="Public Sans" w:cs="Public Sans"/>
        </w:rPr>
        <w:t>in a given</w:t>
      </w:r>
      <w:proofErr w:type="gramEnd"/>
      <w:r>
        <w:rPr>
          <w:rFonts w:ascii="Public Sans" w:eastAsia="Public Sans" w:hAnsi="Public Sans" w:cs="Public Sans"/>
        </w:rPr>
        <w:t xml:space="preserve"> time period, to identify where you want to set operations efficiency improvement goals. For example, if you have an operational metric of 24 hours to provision an account, </w:t>
      </w:r>
      <w:r>
        <w:rPr>
          <w:rFonts w:ascii="Public Sans" w:eastAsia="Public Sans" w:hAnsi="Public Sans" w:cs="Public Sans"/>
        </w:rPr>
        <w:t>an efficiency improvement would be to reduce that by 10%. Align chosen metrics to federal policy and agency mission objectives, to help translate improvement in metrics to progress in meeting overarching agency goals. For example, identify before migration</w:t>
      </w:r>
      <w:r>
        <w:rPr>
          <w:rFonts w:ascii="Public Sans" w:eastAsia="Public Sans" w:hAnsi="Public Sans" w:cs="Public Sans"/>
        </w:rPr>
        <w:t xml:space="preserve"> which metrics would, if improved, show evidence of compliance with federal mandates, like Cloud Smart, and which others would show evidence of operational improvements, like faster review cycles. Include your metrics within your strategy.</w:t>
      </w:r>
    </w:p>
    <w:p w14:paraId="79C591C5" w14:textId="77777777" w:rsidR="00080BDC" w:rsidRDefault="00080BDC">
      <w:pPr>
        <w:spacing w:after="120" w:line="360" w:lineRule="auto"/>
        <w:rPr>
          <w:rFonts w:ascii="Public Sans" w:eastAsia="Public Sans" w:hAnsi="Public Sans" w:cs="Public Sans"/>
        </w:rPr>
      </w:pPr>
    </w:p>
    <w:tbl>
      <w:tblPr>
        <w:tblStyle w:val="a6"/>
        <w:tblW w:w="9360" w:type="dxa"/>
        <w:tblLayout w:type="fixed"/>
        <w:tblLook w:val="0600" w:firstRow="0" w:lastRow="0" w:firstColumn="0" w:lastColumn="0" w:noHBand="1" w:noVBand="1"/>
      </w:tblPr>
      <w:tblGrid>
        <w:gridCol w:w="945"/>
        <w:gridCol w:w="8415"/>
      </w:tblGrid>
      <w:tr w:rsidR="00080BDC" w14:paraId="514538A5" w14:textId="77777777">
        <w:trPr>
          <w:trHeight w:val="2490"/>
        </w:trPr>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2B76200A"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lastRenderedPageBreak/>
              <w:drawing>
                <wp:inline distT="114300" distB="114300" distL="114300" distR="114300" wp14:anchorId="17A039F8" wp14:editId="78DC8E5F">
                  <wp:extent cx="442913" cy="44291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6DB7E1A4"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 xml:space="preserve">Budgeting </w:t>
            </w:r>
            <w:proofErr w:type="spellStart"/>
            <w:r>
              <w:rPr>
                <w:rFonts w:ascii="Public Sans" w:eastAsia="Public Sans" w:hAnsi="Public Sans" w:cs="Public Sans"/>
                <w:b/>
              </w:rPr>
              <w:t>IDaaS</w:t>
            </w:r>
            <w:proofErr w:type="spellEnd"/>
          </w:p>
          <w:p w14:paraId="425851C1" w14:textId="77777777" w:rsidR="00080BDC" w:rsidRDefault="00D7526C">
            <w:pPr>
              <w:spacing w:after="120" w:line="360" w:lineRule="auto"/>
              <w:rPr>
                <w:rFonts w:ascii="Public Sans" w:eastAsia="Public Sans" w:hAnsi="Public Sans" w:cs="Public Sans"/>
                <w:b/>
              </w:rPr>
            </w:pPr>
            <w:r>
              <w:rPr>
                <w:rFonts w:ascii="Public Sans" w:eastAsia="Public Sans" w:hAnsi="Public Sans" w:cs="Public Sans"/>
              </w:rPr>
              <w:t xml:space="preserve">Most Cloud Identity products are priced by number of users, number of authentications, number of integrated applications, or per application connector. Have this information ready when talking with an </w:t>
            </w:r>
            <w:proofErr w:type="spellStart"/>
            <w:r>
              <w:rPr>
                <w:rFonts w:ascii="Public Sans" w:eastAsia="Public Sans" w:hAnsi="Public Sans" w:cs="Public Sans"/>
              </w:rPr>
              <w:t>IDaaS</w:t>
            </w:r>
            <w:proofErr w:type="spellEnd"/>
            <w:r>
              <w:rPr>
                <w:rFonts w:ascii="Public Sans" w:eastAsia="Public Sans" w:hAnsi="Public Sans" w:cs="Public Sans"/>
              </w:rPr>
              <w:t xml:space="preserve"> vendor. These data points are als</w:t>
            </w:r>
            <w:r>
              <w:rPr>
                <w:rFonts w:ascii="Public Sans" w:eastAsia="Public Sans" w:hAnsi="Public Sans" w:cs="Public Sans"/>
              </w:rPr>
              <w:t>o collected as part of a Digital Identity Risk Assessment.</w:t>
            </w:r>
          </w:p>
        </w:tc>
      </w:tr>
    </w:tbl>
    <w:p w14:paraId="679B027B" w14:textId="77777777" w:rsidR="00080BDC" w:rsidRDefault="00080BDC">
      <w:pPr>
        <w:spacing w:after="120" w:line="360" w:lineRule="auto"/>
        <w:rPr>
          <w:rFonts w:ascii="Public Sans" w:eastAsia="Public Sans" w:hAnsi="Public Sans" w:cs="Public Sans"/>
        </w:rPr>
      </w:pPr>
    </w:p>
    <w:p w14:paraId="40BB2225" w14:textId="77777777" w:rsidR="00080BDC" w:rsidRDefault="00D7526C">
      <w:pPr>
        <w:pStyle w:val="Heading3"/>
        <w:spacing w:line="360" w:lineRule="auto"/>
        <w:rPr>
          <w:rFonts w:ascii="Public Sans" w:eastAsia="Public Sans" w:hAnsi="Public Sans" w:cs="Public Sans"/>
          <w:sz w:val="26"/>
          <w:szCs w:val="26"/>
        </w:rPr>
      </w:pPr>
      <w:bookmarkStart w:id="17" w:name="_u96vo8djgd89" w:colFirst="0" w:colLast="0"/>
      <w:bookmarkEnd w:id="17"/>
      <w:r>
        <w:rPr>
          <w:rFonts w:ascii="Public Sans" w:eastAsia="Public Sans" w:hAnsi="Public Sans" w:cs="Public Sans"/>
          <w:sz w:val="26"/>
          <w:szCs w:val="26"/>
        </w:rPr>
        <w:t>Cloud ICAM Policy</w:t>
      </w:r>
    </w:p>
    <w:p w14:paraId="6619A9C6"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While the Cloud ICAM Strategy states the path to achieve an outcome, the cloud ICAM Policy sets the boundaries to achieve the strategy. It is very likely your agency may already</w:t>
      </w:r>
      <w:r>
        <w:rPr>
          <w:rFonts w:ascii="Public Sans" w:eastAsia="Public Sans" w:hAnsi="Public Sans" w:cs="Public Sans"/>
        </w:rPr>
        <w:t xml:space="preserve"> use some Cloud Identity services. Your cloud identity infrastructure should fit within your agency vision for cloud services, modernization, and cybersecurity efforts. Within those broader agency policies, there should be specific </w:t>
      </w:r>
      <w:proofErr w:type="gramStart"/>
      <w:r>
        <w:rPr>
          <w:rFonts w:ascii="Public Sans" w:eastAsia="Public Sans" w:hAnsi="Public Sans" w:cs="Public Sans"/>
        </w:rPr>
        <w:t>call-outs</w:t>
      </w:r>
      <w:proofErr w:type="gramEnd"/>
      <w:r>
        <w:rPr>
          <w:rFonts w:ascii="Public Sans" w:eastAsia="Public Sans" w:hAnsi="Public Sans" w:cs="Public Sans"/>
        </w:rPr>
        <w:t xml:space="preserve"> of how identit</w:t>
      </w:r>
      <w:r>
        <w:rPr>
          <w:rFonts w:ascii="Public Sans" w:eastAsia="Public Sans" w:hAnsi="Public Sans" w:cs="Public Sans"/>
        </w:rPr>
        <w:t xml:space="preserve">y supports those efforts and potentially goals or objectives in accomplishing your agency’s mission. If it does not, recommend changes to highlight how ICAM supports your agency mission and business </w:t>
      </w:r>
      <w:proofErr w:type="gramStart"/>
      <w:r>
        <w:rPr>
          <w:rFonts w:ascii="Public Sans" w:eastAsia="Public Sans" w:hAnsi="Public Sans" w:cs="Public Sans"/>
        </w:rPr>
        <w:t>processes..</w:t>
      </w:r>
      <w:proofErr w:type="gramEnd"/>
      <w:r>
        <w:rPr>
          <w:rFonts w:ascii="Public Sans" w:eastAsia="Public Sans" w:hAnsi="Public Sans" w:cs="Public Sans"/>
        </w:rPr>
        <w:t xml:space="preserve"> The four main strategies or policies to ident</w:t>
      </w:r>
      <w:r>
        <w:rPr>
          <w:rFonts w:ascii="Public Sans" w:eastAsia="Public Sans" w:hAnsi="Public Sans" w:cs="Public Sans"/>
        </w:rPr>
        <w:t xml:space="preserve">ify are cybersecurity, modernization, cloud, and a Chief Information or Information Security Officer’s policy or vision (if it exists). For example, In the </w:t>
      </w:r>
      <w:hyperlink r:id="rId30">
        <w:r>
          <w:rPr>
            <w:rFonts w:ascii="Public Sans" w:eastAsia="Public Sans" w:hAnsi="Public Sans" w:cs="Public Sans"/>
            <w:color w:val="1155CC"/>
            <w:u w:val="single"/>
          </w:rPr>
          <w:t>Department of Defense Modernization Strategy</w:t>
        </w:r>
      </w:hyperlink>
      <w:r>
        <w:rPr>
          <w:rFonts w:ascii="Public Sans" w:eastAsia="Public Sans" w:hAnsi="Public Sans" w:cs="Public Sans"/>
        </w:rPr>
        <w:t xml:space="preserve"> they’ve incorporated deploying an end-to-end ICAM infrastructure as an objective of their evolving cybersecurity goal. The Defense Department then wrote an </w:t>
      </w:r>
      <w:hyperlink r:id="rId31">
        <w:r>
          <w:rPr>
            <w:rFonts w:ascii="Public Sans" w:eastAsia="Public Sans" w:hAnsi="Public Sans" w:cs="Public Sans"/>
            <w:color w:val="1155CC"/>
            <w:u w:val="single"/>
          </w:rPr>
          <w:t>ICAM Reference Design</w:t>
        </w:r>
      </w:hyperlink>
      <w:r>
        <w:rPr>
          <w:rFonts w:ascii="Public Sans" w:eastAsia="Public Sans" w:hAnsi="Public Sans" w:cs="Public Sans"/>
        </w:rPr>
        <w:t xml:space="preserve"> to support the objective. With this executive direction and support from Step 1, craft an agency policy to emphasize or reduce the following points.</w:t>
      </w:r>
    </w:p>
    <w:p w14:paraId="019303F3" w14:textId="77777777" w:rsidR="00080BDC" w:rsidRDefault="00D7526C">
      <w:pPr>
        <w:numPr>
          <w:ilvl w:val="0"/>
          <w:numId w:val="1"/>
        </w:numPr>
        <w:spacing w:line="360" w:lineRule="auto"/>
        <w:rPr>
          <w:rFonts w:ascii="Public Sans" w:eastAsia="Public Sans" w:hAnsi="Public Sans" w:cs="Public Sans"/>
        </w:rPr>
      </w:pPr>
      <w:r>
        <w:rPr>
          <w:rFonts w:ascii="Public Sans" w:eastAsia="Public Sans" w:hAnsi="Public Sans" w:cs="Public Sans"/>
          <w:b/>
        </w:rPr>
        <w:t>Prevent Capability Sprawl or Duplication</w:t>
      </w:r>
      <w:r>
        <w:rPr>
          <w:rFonts w:ascii="Public Sans" w:eastAsia="Public Sans" w:hAnsi="Public Sans" w:cs="Public Sans"/>
        </w:rPr>
        <w:t xml:space="preserve"> - With the ubiquity of identity and variety of IT mission applica</w:t>
      </w:r>
      <w:r>
        <w:rPr>
          <w:rFonts w:ascii="Public Sans" w:eastAsia="Public Sans" w:hAnsi="Public Sans" w:cs="Public Sans"/>
        </w:rPr>
        <w:t>tions, duplicative ICAM services with an agency could be pervasive. An agency policy should identify authoritative enterprise ICAM services. Part of this exercise could include identifying mission application ICAM services to promote as an enterprise servi</w:t>
      </w:r>
      <w:r>
        <w:rPr>
          <w:rFonts w:ascii="Public Sans" w:eastAsia="Public Sans" w:hAnsi="Public Sans" w:cs="Public Sans"/>
        </w:rPr>
        <w:t>ce or identifying duplicate services among your general support systems as well as mission applications within your Chief Information Officer’s Federal Information Technology Acquisition Reform Act authority. Identifying and communicating enterprise ICAM s</w:t>
      </w:r>
      <w:r>
        <w:rPr>
          <w:rFonts w:ascii="Public Sans" w:eastAsia="Public Sans" w:hAnsi="Public Sans" w:cs="Public Sans"/>
        </w:rPr>
        <w:t xml:space="preserve">ervices will help reduce new ICAM acquisitions for existing services. </w:t>
      </w:r>
    </w:p>
    <w:p w14:paraId="000B2DCA" w14:textId="77777777" w:rsidR="00080BDC" w:rsidRDefault="00D7526C">
      <w:pPr>
        <w:numPr>
          <w:ilvl w:val="0"/>
          <w:numId w:val="1"/>
        </w:numPr>
        <w:spacing w:line="360" w:lineRule="auto"/>
        <w:rPr>
          <w:rFonts w:ascii="Public Sans" w:eastAsia="Public Sans" w:hAnsi="Public Sans" w:cs="Public Sans"/>
        </w:rPr>
      </w:pPr>
      <w:r>
        <w:rPr>
          <w:rFonts w:ascii="Public Sans" w:eastAsia="Public Sans" w:hAnsi="Public Sans" w:cs="Public Sans"/>
          <w:b/>
        </w:rPr>
        <w:lastRenderedPageBreak/>
        <w:t xml:space="preserve">Centralize ICAM Services to Create an Enterprise ICAM Capability - </w:t>
      </w:r>
      <w:r>
        <w:rPr>
          <w:rFonts w:ascii="Public Sans" w:eastAsia="Public Sans" w:hAnsi="Public Sans" w:cs="Public Sans"/>
        </w:rPr>
        <w:t>Identify Authoritative ICAM Services that align with the FICAM Services Framework. An authoritative identity source wi</w:t>
      </w:r>
      <w:r>
        <w:rPr>
          <w:rFonts w:ascii="Public Sans" w:eastAsia="Public Sans" w:hAnsi="Public Sans" w:cs="Public Sans"/>
        </w:rPr>
        <w:t xml:space="preserve">thin an agency is a repository of accurate information that feeds into your directory services. It may contain data sources which can or </w:t>
      </w:r>
      <w:proofErr w:type="spellStart"/>
      <w:r>
        <w:rPr>
          <w:rFonts w:ascii="Public Sans" w:eastAsia="Public Sans" w:hAnsi="Public Sans" w:cs="Public Sans"/>
        </w:rPr>
        <w:t>can not</w:t>
      </w:r>
      <w:proofErr w:type="spellEnd"/>
      <w:r>
        <w:rPr>
          <w:rFonts w:ascii="Public Sans" w:eastAsia="Public Sans" w:hAnsi="Public Sans" w:cs="Public Sans"/>
        </w:rPr>
        <w:t xml:space="preserve"> be edited by a user. For example, a user can update their phone number but not their clearance status. Along wi</w:t>
      </w:r>
      <w:r>
        <w:rPr>
          <w:rFonts w:ascii="Public Sans" w:eastAsia="Public Sans" w:hAnsi="Public Sans" w:cs="Public Sans"/>
        </w:rPr>
        <w:t xml:space="preserve">th authoritative identity sources, identify authoritative authenticators and access tools for workforce and external user SSO. A Personal Identity Verification (PIV) smart card is the required primary means of authentication, a secondary authenticator may </w:t>
      </w:r>
      <w:r>
        <w:rPr>
          <w:rFonts w:ascii="Public Sans" w:eastAsia="Public Sans" w:hAnsi="Public Sans" w:cs="Public Sans"/>
        </w:rPr>
        <w:t>be issued and bound to the same directory record and offer comparable security.</w:t>
      </w:r>
    </w:p>
    <w:p w14:paraId="47E84DD0" w14:textId="77777777" w:rsidR="00080BDC" w:rsidRDefault="00D7526C">
      <w:pPr>
        <w:numPr>
          <w:ilvl w:val="0"/>
          <w:numId w:val="1"/>
        </w:numPr>
        <w:spacing w:line="360" w:lineRule="auto"/>
        <w:rPr>
          <w:rFonts w:ascii="Public Sans" w:eastAsia="Public Sans" w:hAnsi="Public Sans" w:cs="Public Sans"/>
        </w:rPr>
      </w:pPr>
      <w:r>
        <w:rPr>
          <w:rFonts w:ascii="Public Sans" w:eastAsia="Public Sans" w:hAnsi="Public Sans" w:cs="Public Sans"/>
          <w:b/>
        </w:rPr>
        <w:t xml:space="preserve">Identify Core Services to Maintain </w:t>
      </w:r>
      <w:proofErr w:type="gramStart"/>
      <w:r>
        <w:rPr>
          <w:rFonts w:ascii="Public Sans" w:eastAsia="Public Sans" w:hAnsi="Public Sans" w:cs="Public Sans"/>
          <w:b/>
        </w:rPr>
        <w:t>On-Premise</w:t>
      </w:r>
      <w:proofErr w:type="gramEnd"/>
      <w:r>
        <w:rPr>
          <w:rFonts w:ascii="Public Sans" w:eastAsia="Public Sans" w:hAnsi="Public Sans" w:cs="Public Sans"/>
        </w:rPr>
        <w:t xml:space="preserve"> - Continuity of operations may require a back-up method for continued on-premise operation of ICAM services. Some core services su</w:t>
      </w:r>
      <w:r>
        <w:rPr>
          <w:rFonts w:ascii="Public Sans" w:eastAsia="Public Sans" w:hAnsi="Public Sans" w:cs="Public Sans"/>
        </w:rPr>
        <w:t xml:space="preserve">ch as directories or specific types of access tools should remain </w:t>
      </w:r>
      <w:proofErr w:type="gramStart"/>
      <w:r>
        <w:rPr>
          <w:rFonts w:ascii="Public Sans" w:eastAsia="Public Sans" w:hAnsi="Public Sans" w:cs="Public Sans"/>
        </w:rPr>
        <w:t>on-premise</w:t>
      </w:r>
      <w:proofErr w:type="gramEnd"/>
      <w:r>
        <w:rPr>
          <w:rFonts w:ascii="Public Sans" w:eastAsia="Public Sans" w:hAnsi="Public Sans" w:cs="Public Sans"/>
        </w:rPr>
        <w:t xml:space="preserve">. Agencies have found that even though they operate services </w:t>
      </w:r>
      <w:proofErr w:type="gramStart"/>
      <w:r>
        <w:rPr>
          <w:rFonts w:ascii="Public Sans" w:eastAsia="Public Sans" w:hAnsi="Public Sans" w:cs="Public Sans"/>
        </w:rPr>
        <w:t>on-premise</w:t>
      </w:r>
      <w:proofErr w:type="gramEnd"/>
      <w:r>
        <w:rPr>
          <w:rFonts w:ascii="Public Sans" w:eastAsia="Public Sans" w:hAnsi="Public Sans" w:cs="Public Sans"/>
        </w:rPr>
        <w:t>, they most often have to replicate data to a cloud service anyway. Keep this in mind.</w:t>
      </w:r>
    </w:p>
    <w:p w14:paraId="35FE0914" w14:textId="77777777" w:rsidR="00080BDC" w:rsidRDefault="00D7526C">
      <w:pPr>
        <w:numPr>
          <w:ilvl w:val="0"/>
          <w:numId w:val="1"/>
        </w:numPr>
        <w:spacing w:line="360" w:lineRule="auto"/>
        <w:rPr>
          <w:rFonts w:ascii="Public Sans" w:eastAsia="Public Sans" w:hAnsi="Public Sans" w:cs="Public Sans"/>
        </w:rPr>
      </w:pPr>
      <w:r>
        <w:rPr>
          <w:rFonts w:ascii="Public Sans" w:eastAsia="Public Sans" w:hAnsi="Public Sans" w:cs="Public Sans"/>
          <w:b/>
        </w:rPr>
        <w:t xml:space="preserve">People and Non-Person </w:t>
      </w:r>
      <w:r>
        <w:rPr>
          <w:rFonts w:ascii="Public Sans" w:eastAsia="Public Sans" w:hAnsi="Public Sans" w:cs="Public Sans"/>
          <w:b/>
        </w:rPr>
        <w:t>Entities</w:t>
      </w:r>
      <w:r>
        <w:rPr>
          <w:rFonts w:ascii="Public Sans" w:eastAsia="Public Sans" w:hAnsi="Public Sans" w:cs="Public Sans"/>
        </w:rPr>
        <w:t xml:space="preserve"> - Incorporate ICAM for people and NPEs, otherwise known as Machine Identities, within your strategy or policy. NPEs are the multitude of devices (or any non-human identity) on your network or the internet that need an identity or credential to per</w:t>
      </w:r>
      <w:r>
        <w:rPr>
          <w:rFonts w:ascii="Public Sans" w:eastAsia="Public Sans" w:hAnsi="Public Sans" w:cs="Public Sans"/>
        </w:rPr>
        <w:t xml:space="preserve">form their function. Their identities and credentials should be managed in a </w:t>
      </w:r>
      <w:proofErr w:type="gramStart"/>
      <w:r>
        <w:rPr>
          <w:rFonts w:ascii="Public Sans" w:eastAsia="Public Sans" w:hAnsi="Public Sans" w:cs="Public Sans"/>
        </w:rPr>
        <w:t>similar</w:t>
      </w:r>
      <w:proofErr w:type="gramEnd"/>
      <w:r>
        <w:rPr>
          <w:rFonts w:ascii="Public Sans" w:eastAsia="Public Sans" w:hAnsi="Public Sans" w:cs="Public Sans"/>
        </w:rPr>
        <w:t xml:space="preserve"> yet slightly different pattern based on the type of device or NPE. For example, use the </w:t>
      </w:r>
      <w:hyperlink r:id="rId32">
        <w:r>
          <w:rPr>
            <w:rFonts w:ascii="Public Sans" w:eastAsia="Public Sans" w:hAnsi="Public Sans" w:cs="Public Sans"/>
            <w:color w:val="1155CC"/>
            <w:u w:val="single"/>
          </w:rPr>
          <w:t>Digital Worker Identity Playbook</w:t>
        </w:r>
      </w:hyperlink>
      <w:r>
        <w:rPr>
          <w:rFonts w:ascii="Public Sans" w:eastAsia="Public Sans" w:hAnsi="Public Sans" w:cs="Public Sans"/>
        </w:rPr>
        <w:t xml:space="preserve"> to assess and mitigate the risk of using automated technologies.</w:t>
      </w:r>
    </w:p>
    <w:p w14:paraId="6DAF0FCA" w14:textId="77777777" w:rsidR="00080BDC" w:rsidRDefault="00D7526C">
      <w:pPr>
        <w:numPr>
          <w:ilvl w:val="0"/>
          <w:numId w:val="1"/>
        </w:numPr>
        <w:spacing w:after="120" w:line="360" w:lineRule="auto"/>
        <w:rPr>
          <w:rFonts w:ascii="Public Sans" w:eastAsia="Public Sans" w:hAnsi="Public Sans" w:cs="Public Sans"/>
        </w:rPr>
      </w:pPr>
      <w:r>
        <w:rPr>
          <w:rFonts w:ascii="Public Sans" w:eastAsia="Public Sans" w:hAnsi="Public Sans" w:cs="Public Sans"/>
          <w:b/>
        </w:rPr>
        <w:t>Require Digital Identity Risk Assessments</w:t>
      </w:r>
      <w:r>
        <w:rPr>
          <w:rFonts w:ascii="Public Sans" w:eastAsia="Public Sans" w:hAnsi="Public Sans" w:cs="Public Sans"/>
        </w:rPr>
        <w:t xml:space="preserve"> - A Digital Identity Risk Assessment identifies the risk of user transactions within a Federal Information Secur</w:t>
      </w:r>
      <w:r>
        <w:rPr>
          <w:rFonts w:ascii="Public Sans" w:eastAsia="Public Sans" w:hAnsi="Public Sans" w:cs="Public Sans"/>
        </w:rPr>
        <w:t xml:space="preserve">ity Modernization Act boundary. Agencies are required to perform assessments as stated in </w:t>
      </w:r>
      <w:hyperlink r:id="rId33">
        <w:r>
          <w:rPr>
            <w:rFonts w:ascii="Public Sans" w:eastAsia="Public Sans" w:hAnsi="Public Sans" w:cs="Public Sans"/>
            <w:color w:val="1155CC"/>
            <w:u w:val="single"/>
          </w:rPr>
          <w:t>Office of Management and Budget Memo 19-17</w:t>
        </w:r>
      </w:hyperlink>
      <w:r>
        <w:rPr>
          <w:rFonts w:ascii="Public Sans" w:eastAsia="Public Sans" w:hAnsi="Public Sans" w:cs="Public Sans"/>
        </w:rPr>
        <w:t>. If your agency doesn’t have a Digital</w:t>
      </w:r>
      <w:r>
        <w:rPr>
          <w:rFonts w:ascii="Public Sans" w:eastAsia="Public Sans" w:hAnsi="Public Sans" w:cs="Public Sans"/>
        </w:rPr>
        <w:t xml:space="preserve"> Identity Risk Assessment policy or process, consider using the </w:t>
      </w:r>
      <w:hyperlink r:id="rId34">
        <w:r>
          <w:rPr>
            <w:rFonts w:ascii="Public Sans" w:eastAsia="Public Sans" w:hAnsi="Public Sans" w:cs="Public Sans"/>
            <w:color w:val="1155CC"/>
            <w:u w:val="single"/>
          </w:rPr>
          <w:t>Digital Identity Risk Assessment Playbook</w:t>
        </w:r>
      </w:hyperlink>
      <w:r>
        <w:rPr>
          <w:rFonts w:ascii="Public Sans" w:eastAsia="Public Sans" w:hAnsi="Public Sans" w:cs="Public Sans"/>
        </w:rPr>
        <w:t>.</w:t>
      </w:r>
      <w:r>
        <w:br w:type="page"/>
      </w:r>
    </w:p>
    <w:p w14:paraId="6FFDBC2E" w14:textId="77777777" w:rsidR="00080BDC" w:rsidRDefault="00D7526C">
      <w:pPr>
        <w:pStyle w:val="Heading2"/>
        <w:spacing w:line="360" w:lineRule="auto"/>
        <w:rPr>
          <w:rFonts w:ascii="Public Sans" w:eastAsia="Public Sans" w:hAnsi="Public Sans" w:cs="Public Sans"/>
        </w:rPr>
      </w:pPr>
      <w:bookmarkStart w:id="18" w:name="_iyraerdpiulf" w:colFirst="0" w:colLast="0"/>
      <w:bookmarkEnd w:id="18"/>
      <w:r>
        <w:rPr>
          <w:rFonts w:ascii="Public Sans" w:eastAsia="Public Sans" w:hAnsi="Public Sans" w:cs="Public Sans"/>
        </w:rPr>
        <w:lastRenderedPageBreak/>
        <w:t>Step 3. Architecture Considerations</w:t>
      </w:r>
    </w:p>
    <w:p w14:paraId="74291E07"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Many agencies face similar challeng</w:t>
      </w:r>
      <w:r>
        <w:rPr>
          <w:rFonts w:ascii="Public Sans" w:eastAsia="Public Sans" w:hAnsi="Public Sans" w:cs="Public Sans"/>
        </w:rPr>
        <w:t>es when extending ICAM services to the cloud. This section includes architectural considerations aligned with the Federal ICAM (FICAM) Services Framework. Cloud Identity architecture should include all aspects of ICAM for a comprehensive enterprise capabil</w:t>
      </w:r>
      <w:r>
        <w:rPr>
          <w:rFonts w:ascii="Public Sans" w:eastAsia="Public Sans" w:hAnsi="Public Sans" w:cs="Public Sans"/>
        </w:rPr>
        <w:t>ity. One of the main benefits of using Cloud Identity tools is the ability to automate more processes by leveraging programmatic interfaces and open standards for authorization such as OAuth.</w:t>
      </w:r>
    </w:p>
    <w:p w14:paraId="6871F358" w14:textId="77777777" w:rsidR="00080BDC" w:rsidRDefault="00080BDC">
      <w:pPr>
        <w:spacing w:after="120" w:line="360" w:lineRule="auto"/>
        <w:rPr>
          <w:rFonts w:ascii="Public Sans" w:eastAsia="Public Sans" w:hAnsi="Public Sans" w:cs="Public Sans"/>
        </w:rPr>
      </w:pPr>
    </w:p>
    <w:p w14:paraId="76915A19" w14:textId="77777777" w:rsidR="00080BDC" w:rsidRDefault="00D7526C">
      <w:pPr>
        <w:pStyle w:val="Heading3"/>
        <w:spacing w:line="360" w:lineRule="auto"/>
        <w:rPr>
          <w:rFonts w:ascii="Public Sans" w:eastAsia="Public Sans" w:hAnsi="Public Sans" w:cs="Public Sans"/>
          <w:sz w:val="26"/>
          <w:szCs w:val="26"/>
        </w:rPr>
      </w:pPr>
      <w:bookmarkStart w:id="19" w:name="_htdew1ybrthn" w:colFirst="0" w:colLast="0"/>
      <w:bookmarkEnd w:id="19"/>
      <w:r>
        <w:rPr>
          <w:rFonts w:ascii="Public Sans" w:eastAsia="Public Sans" w:hAnsi="Public Sans" w:cs="Public Sans"/>
          <w:sz w:val="26"/>
          <w:szCs w:val="26"/>
        </w:rPr>
        <w:t>Identity Management</w:t>
      </w:r>
    </w:p>
    <w:p w14:paraId="413A56D6" w14:textId="77777777" w:rsidR="00080BDC" w:rsidRDefault="00D7526C">
      <w:pPr>
        <w:numPr>
          <w:ilvl w:val="0"/>
          <w:numId w:val="3"/>
        </w:numPr>
        <w:spacing w:line="360" w:lineRule="auto"/>
        <w:rPr>
          <w:rFonts w:ascii="Public Sans" w:eastAsia="Public Sans" w:hAnsi="Public Sans" w:cs="Public Sans"/>
          <w:b/>
        </w:rPr>
      </w:pPr>
      <w:r>
        <w:rPr>
          <w:rFonts w:ascii="Public Sans" w:eastAsia="Public Sans" w:hAnsi="Public Sans" w:cs="Public Sans"/>
          <w:b/>
        </w:rPr>
        <w:t xml:space="preserve">Role Management </w:t>
      </w:r>
      <w:r>
        <w:rPr>
          <w:rFonts w:ascii="Public Sans" w:eastAsia="Public Sans" w:hAnsi="Public Sans" w:cs="Public Sans"/>
        </w:rPr>
        <w:t>- Most cloud applications and platforms implement role-based access. Manage permissions by group rather than individual. Base groups on roles such as government admin, contractor admin, contributor, or reader. All users in a group inherit the same permissi</w:t>
      </w:r>
      <w:r>
        <w:rPr>
          <w:rFonts w:ascii="Public Sans" w:eastAsia="Public Sans" w:hAnsi="Public Sans" w:cs="Public Sans"/>
        </w:rPr>
        <w:t>ons. Entitlement management is as easy as removing the user from that group or role.</w:t>
      </w:r>
    </w:p>
    <w:p w14:paraId="76221CFE" w14:textId="77777777" w:rsidR="00080BDC" w:rsidRDefault="00D7526C">
      <w:pPr>
        <w:numPr>
          <w:ilvl w:val="0"/>
          <w:numId w:val="3"/>
        </w:numPr>
        <w:spacing w:line="360" w:lineRule="auto"/>
        <w:rPr>
          <w:rFonts w:ascii="Public Sans" w:eastAsia="Public Sans" w:hAnsi="Public Sans" w:cs="Public Sans"/>
        </w:rPr>
      </w:pPr>
      <w:r>
        <w:rPr>
          <w:rFonts w:ascii="Public Sans" w:eastAsia="Public Sans" w:hAnsi="Public Sans" w:cs="Public Sans"/>
          <w:b/>
        </w:rPr>
        <w:t>Accurate Directory Information</w:t>
      </w:r>
      <w:r>
        <w:rPr>
          <w:rFonts w:ascii="Public Sans" w:eastAsia="Public Sans" w:hAnsi="Public Sans" w:cs="Public Sans"/>
        </w:rPr>
        <w:t xml:space="preserve"> - Before starting a cloud identity project, make sure your directory information is accurate. You will replicate your </w:t>
      </w:r>
      <w:proofErr w:type="gramStart"/>
      <w:r>
        <w:rPr>
          <w:rFonts w:ascii="Public Sans" w:eastAsia="Public Sans" w:hAnsi="Public Sans" w:cs="Public Sans"/>
        </w:rPr>
        <w:t>on-premise</w:t>
      </w:r>
      <w:proofErr w:type="gramEnd"/>
      <w:r>
        <w:rPr>
          <w:rFonts w:ascii="Public Sans" w:eastAsia="Public Sans" w:hAnsi="Public Sans" w:cs="Public Sans"/>
        </w:rPr>
        <w:t xml:space="preserve"> directories</w:t>
      </w:r>
      <w:r>
        <w:rPr>
          <w:rFonts w:ascii="Public Sans" w:eastAsia="Public Sans" w:hAnsi="Public Sans" w:cs="Public Sans"/>
        </w:rPr>
        <w:t xml:space="preserve"> to a cloud directory and it is better to do this action before, rather than after replication.</w:t>
      </w:r>
    </w:p>
    <w:p w14:paraId="15BF2088" w14:textId="77777777" w:rsidR="00080BDC" w:rsidRDefault="00D7526C">
      <w:pPr>
        <w:numPr>
          <w:ilvl w:val="0"/>
          <w:numId w:val="3"/>
        </w:numPr>
        <w:spacing w:line="360" w:lineRule="auto"/>
        <w:rPr>
          <w:rFonts w:ascii="Public Sans" w:eastAsia="Public Sans" w:hAnsi="Public Sans" w:cs="Public Sans"/>
        </w:rPr>
      </w:pPr>
      <w:r>
        <w:rPr>
          <w:rFonts w:ascii="Public Sans" w:eastAsia="Public Sans" w:hAnsi="Public Sans" w:cs="Public Sans"/>
          <w:b/>
        </w:rPr>
        <w:t>Automating Identity</w:t>
      </w:r>
      <w:r>
        <w:rPr>
          <w:rFonts w:ascii="Public Sans" w:eastAsia="Public Sans" w:hAnsi="Public Sans" w:cs="Public Sans"/>
        </w:rPr>
        <w:t xml:space="preserve"> - One unique feature of </w:t>
      </w:r>
      <w:proofErr w:type="spellStart"/>
      <w:r>
        <w:rPr>
          <w:rFonts w:ascii="Public Sans" w:eastAsia="Public Sans" w:hAnsi="Public Sans" w:cs="Public Sans"/>
        </w:rPr>
        <w:t>IDaaS</w:t>
      </w:r>
      <w:proofErr w:type="spellEnd"/>
      <w:r>
        <w:rPr>
          <w:rFonts w:ascii="Public Sans" w:eastAsia="Public Sans" w:hAnsi="Public Sans" w:cs="Public Sans"/>
        </w:rPr>
        <w:t xml:space="preserve"> is the potential to automate a lot of manual or scripted processes. </w:t>
      </w:r>
      <w:proofErr w:type="spellStart"/>
      <w:r>
        <w:rPr>
          <w:rFonts w:ascii="Public Sans" w:eastAsia="Public Sans" w:hAnsi="Public Sans" w:cs="Public Sans"/>
        </w:rPr>
        <w:t>LIfecycle</w:t>
      </w:r>
      <w:proofErr w:type="spellEnd"/>
      <w:r>
        <w:rPr>
          <w:rFonts w:ascii="Public Sans" w:eastAsia="Public Sans" w:hAnsi="Public Sans" w:cs="Public Sans"/>
        </w:rPr>
        <w:t xml:space="preserve"> management, often referred to as</w:t>
      </w:r>
      <w:r>
        <w:rPr>
          <w:rFonts w:ascii="Public Sans" w:eastAsia="Public Sans" w:hAnsi="Public Sans" w:cs="Public Sans"/>
        </w:rPr>
        <w:t xml:space="preserve"> the joiner-mover-leaver process, should be leveraged to its fullest. For example, just because a user is removed from a directory or access tool, that account may still exist in an application. Leverage automated lifecycle management processes that enable</w:t>
      </w:r>
      <w:r>
        <w:rPr>
          <w:rFonts w:ascii="Public Sans" w:eastAsia="Public Sans" w:hAnsi="Public Sans" w:cs="Public Sans"/>
        </w:rPr>
        <w:t xml:space="preserve"> lifecycle management actions simultaneously or a manual workflow integrated with an IT Service Management to track and audit processes. </w:t>
      </w:r>
      <w:hyperlink r:id="rId35">
        <w:r>
          <w:rPr>
            <w:rFonts w:ascii="Public Sans" w:eastAsia="Public Sans" w:hAnsi="Public Sans" w:cs="Public Sans"/>
            <w:color w:val="1155CC"/>
            <w:u w:val="single"/>
          </w:rPr>
          <w:t>System for Cross-domain Identity Management</w:t>
        </w:r>
      </w:hyperlink>
      <w:r>
        <w:rPr>
          <w:rFonts w:ascii="Public Sans" w:eastAsia="Public Sans" w:hAnsi="Public Sans" w:cs="Public Sans"/>
        </w:rPr>
        <w:t xml:space="preserve"> is an open standard and com</w:t>
      </w:r>
      <w:r>
        <w:rPr>
          <w:rFonts w:ascii="Public Sans" w:eastAsia="Public Sans" w:hAnsi="Public Sans" w:cs="Public Sans"/>
        </w:rPr>
        <w:t xml:space="preserve">mon pattern in </w:t>
      </w:r>
      <w:proofErr w:type="spellStart"/>
      <w:r>
        <w:rPr>
          <w:rFonts w:ascii="Public Sans" w:eastAsia="Public Sans" w:hAnsi="Public Sans" w:cs="Public Sans"/>
        </w:rPr>
        <w:t>IDaaS</w:t>
      </w:r>
      <w:proofErr w:type="spellEnd"/>
      <w:r>
        <w:rPr>
          <w:rFonts w:ascii="Public Sans" w:eastAsia="Public Sans" w:hAnsi="Public Sans" w:cs="Public Sans"/>
        </w:rPr>
        <w:t xml:space="preserve"> to automate user provisioning.</w:t>
      </w:r>
    </w:p>
    <w:p w14:paraId="604FB661" w14:textId="77777777" w:rsidR="00080BDC" w:rsidRDefault="00D7526C">
      <w:pPr>
        <w:numPr>
          <w:ilvl w:val="0"/>
          <w:numId w:val="3"/>
        </w:numPr>
        <w:spacing w:line="360" w:lineRule="auto"/>
        <w:rPr>
          <w:rFonts w:ascii="Public Sans" w:eastAsia="Public Sans" w:hAnsi="Public Sans" w:cs="Public Sans"/>
        </w:rPr>
      </w:pPr>
      <w:r>
        <w:rPr>
          <w:rFonts w:ascii="Public Sans" w:eastAsia="Public Sans" w:hAnsi="Public Sans" w:cs="Public Sans"/>
          <w:b/>
        </w:rPr>
        <w:t>Virtual Directory</w:t>
      </w:r>
      <w:r>
        <w:rPr>
          <w:rFonts w:ascii="Public Sans" w:eastAsia="Public Sans" w:hAnsi="Public Sans" w:cs="Public Sans"/>
        </w:rPr>
        <w:t xml:space="preserve"> - Not all cloud application access is equal. Consider using a virtual directory that can create unique personas based on existing directory information for specific applications. For exa</w:t>
      </w:r>
      <w:r>
        <w:rPr>
          <w:rFonts w:ascii="Public Sans" w:eastAsia="Public Sans" w:hAnsi="Public Sans" w:cs="Public Sans"/>
        </w:rPr>
        <w:t xml:space="preserve">mple, if an application requires a specific attribute such as citizenship and that attribute is not contained in the existing record, you can use a virtual directory to combine two identity sources to create the attribute </w:t>
      </w:r>
      <w:r>
        <w:rPr>
          <w:rFonts w:ascii="Public Sans" w:eastAsia="Public Sans" w:hAnsi="Public Sans" w:cs="Public Sans"/>
        </w:rPr>
        <w:lastRenderedPageBreak/>
        <w:t>configuration you need for an acce</w:t>
      </w:r>
      <w:r>
        <w:rPr>
          <w:rFonts w:ascii="Public Sans" w:eastAsia="Public Sans" w:hAnsi="Public Sans" w:cs="Public Sans"/>
        </w:rPr>
        <w:t>ss decision.</w:t>
      </w:r>
    </w:p>
    <w:p w14:paraId="6D14912F" w14:textId="77777777" w:rsidR="00080BDC" w:rsidRDefault="00D7526C">
      <w:pPr>
        <w:numPr>
          <w:ilvl w:val="0"/>
          <w:numId w:val="3"/>
        </w:numPr>
        <w:spacing w:after="120" w:line="360" w:lineRule="auto"/>
        <w:rPr>
          <w:rFonts w:ascii="Public Sans" w:eastAsia="Public Sans" w:hAnsi="Public Sans" w:cs="Public Sans"/>
        </w:rPr>
      </w:pPr>
      <w:r>
        <w:rPr>
          <w:rFonts w:ascii="Public Sans" w:eastAsia="Public Sans" w:hAnsi="Public Sans" w:cs="Public Sans"/>
          <w:b/>
        </w:rPr>
        <w:t>Machine Identity Management</w:t>
      </w:r>
      <w:r>
        <w:rPr>
          <w:rFonts w:ascii="Public Sans" w:eastAsia="Public Sans" w:hAnsi="Public Sans" w:cs="Public Sans"/>
        </w:rPr>
        <w:t xml:space="preserve"> - </w:t>
      </w:r>
      <w:proofErr w:type="gramStart"/>
      <w:r>
        <w:rPr>
          <w:rFonts w:ascii="Public Sans" w:eastAsia="Public Sans" w:hAnsi="Public Sans" w:cs="Public Sans"/>
        </w:rPr>
        <w:t>Similar to</w:t>
      </w:r>
      <w:proofErr w:type="gramEnd"/>
      <w:r>
        <w:rPr>
          <w:rFonts w:ascii="Public Sans" w:eastAsia="Public Sans" w:hAnsi="Public Sans" w:cs="Public Sans"/>
        </w:rPr>
        <w:t xml:space="preserve"> not all application access is equal, neither are machine identities. Each type of device or digital worker may require a different configuration or type of management. A good initial step is to get an i</w:t>
      </w:r>
      <w:r>
        <w:rPr>
          <w:rFonts w:ascii="Public Sans" w:eastAsia="Public Sans" w:hAnsi="Public Sans" w:cs="Public Sans"/>
        </w:rPr>
        <w:t xml:space="preserve">dea of the variety of devices and methods of identity. This can include service accounts, Application Programming Interface tokens, secure shell keys, </w:t>
      </w:r>
      <w:proofErr w:type="spellStart"/>
      <w:r>
        <w:rPr>
          <w:rFonts w:ascii="Public Sans" w:eastAsia="Public Sans" w:hAnsi="Public Sans" w:cs="Public Sans"/>
        </w:rPr>
        <w:t>DevOp</w:t>
      </w:r>
      <w:proofErr w:type="spellEnd"/>
      <w:r>
        <w:rPr>
          <w:rFonts w:ascii="Public Sans" w:eastAsia="Public Sans" w:hAnsi="Public Sans" w:cs="Public Sans"/>
        </w:rPr>
        <w:t xml:space="preserve"> secrets, and device Public Key Infrastructure certificates. Then you can move on to identify the hi</w:t>
      </w:r>
      <w:r>
        <w:rPr>
          <w:rFonts w:ascii="Public Sans" w:eastAsia="Public Sans" w:hAnsi="Public Sans" w:cs="Public Sans"/>
        </w:rPr>
        <w:t>ghest risk devices and a method to secure their identity.</w:t>
      </w:r>
    </w:p>
    <w:tbl>
      <w:tblPr>
        <w:tblStyle w:val="a7"/>
        <w:tblW w:w="9360" w:type="dxa"/>
        <w:tblLayout w:type="fixed"/>
        <w:tblLook w:val="0600" w:firstRow="0" w:lastRow="0" w:firstColumn="0" w:lastColumn="0" w:noHBand="1" w:noVBand="1"/>
      </w:tblPr>
      <w:tblGrid>
        <w:gridCol w:w="945"/>
        <w:gridCol w:w="8415"/>
      </w:tblGrid>
      <w:tr w:rsidR="00080BDC" w14:paraId="79DC063F"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4912B222"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drawing>
                <wp:inline distT="114300" distB="114300" distL="114300" distR="114300" wp14:anchorId="404EC3F4" wp14:editId="28C041C8">
                  <wp:extent cx="442913" cy="44291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6D489824"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Governance Challenge - Enforcing Least Privilege</w:t>
            </w:r>
          </w:p>
          <w:p w14:paraId="15019C76" w14:textId="77777777" w:rsidR="00080BDC" w:rsidRDefault="00D7526C">
            <w:pPr>
              <w:spacing w:after="120" w:line="360" w:lineRule="auto"/>
              <w:rPr>
                <w:rFonts w:ascii="Public Sans" w:eastAsia="Public Sans" w:hAnsi="Public Sans" w:cs="Public Sans"/>
                <w:b/>
              </w:rPr>
            </w:pPr>
            <w:r>
              <w:rPr>
                <w:rFonts w:ascii="Public Sans" w:eastAsia="Public Sans" w:hAnsi="Public Sans" w:cs="Public Sans"/>
              </w:rPr>
              <w:t xml:space="preserve">Least privilege is granting only the privileges necessary to perform a task. For example, if someone is assigned responsibility to manage user </w:t>
            </w:r>
            <w:proofErr w:type="gramStart"/>
            <w:r>
              <w:rPr>
                <w:rFonts w:ascii="Public Sans" w:eastAsia="Public Sans" w:hAnsi="Public Sans" w:cs="Public Sans"/>
              </w:rPr>
              <w:t>passwords</w:t>
            </w:r>
            <w:proofErr w:type="gramEnd"/>
            <w:r>
              <w:rPr>
                <w:rFonts w:ascii="Public Sans" w:eastAsia="Public Sans" w:hAnsi="Public Sans" w:cs="Public Sans"/>
              </w:rPr>
              <w:t xml:space="preserve"> they should not be assigned a role that also manages resources. This may require some testing to determ</w:t>
            </w:r>
            <w:r>
              <w:rPr>
                <w:rFonts w:ascii="Public Sans" w:eastAsia="Public Sans" w:hAnsi="Public Sans" w:cs="Public Sans"/>
              </w:rPr>
              <w:t>ine the appropriate mix of privileges to complete a task. Gather 30 days of user activity to analyze what permissions are necessary and then create a role or group- based on that group. Some platforms may support privilege check-out for short instances whe</w:t>
            </w:r>
            <w:r>
              <w:rPr>
                <w:rFonts w:ascii="Public Sans" w:eastAsia="Public Sans" w:hAnsi="Public Sans" w:cs="Public Sans"/>
              </w:rPr>
              <w:t>n a higher privilege is needed.</w:t>
            </w:r>
          </w:p>
        </w:tc>
      </w:tr>
    </w:tbl>
    <w:p w14:paraId="08E8A59D" w14:textId="77777777" w:rsidR="00080BDC" w:rsidRDefault="00080BDC">
      <w:pPr>
        <w:spacing w:after="120" w:line="360" w:lineRule="auto"/>
        <w:rPr>
          <w:rFonts w:ascii="Public Sans" w:eastAsia="Public Sans" w:hAnsi="Public Sans" w:cs="Public Sans"/>
        </w:rPr>
      </w:pPr>
    </w:p>
    <w:p w14:paraId="60261BED" w14:textId="77777777" w:rsidR="00080BDC" w:rsidRDefault="00D7526C">
      <w:pPr>
        <w:pStyle w:val="Heading3"/>
        <w:spacing w:line="360" w:lineRule="auto"/>
        <w:rPr>
          <w:rFonts w:ascii="Public Sans" w:eastAsia="Public Sans" w:hAnsi="Public Sans" w:cs="Public Sans"/>
          <w:sz w:val="26"/>
          <w:szCs w:val="26"/>
        </w:rPr>
      </w:pPr>
      <w:bookmarkStart w:id="20" w:name="_24pi2ohwstfe" w:colFirst="0" w:colLast="0"/>
      <w:bookmarkEnd w:id="20"/>
      <w:r>
        <w:rPr>
          <w:rFonts w:ascii="Public Sans" w:eastAsia="Public Sans" w:hAnsi="Public Sans" w:cs="Public Sans"/>
          <w:sz w:val="26"/>
          <w:szCs w:val="26"/>
        </w:rPr>
        <w:t>Credential Management</w:t>
      </w:r>
    </w:p>
    <w:p w14:paraId="310A2D2A" w14:textId="77777777" w:rsidR="00080BDC" w:rsidRDefault="00D7526C">
      <w:pPr>
        <w:numPr>
          <w:ilvl w:val="0"/>
          <w:numId w:val="6"/>
        </w:numPr>
        <w:spacing w:line="360" w:lineRule="auto"/>
        <w:rPr>
          <w:rFonts w:ascii="Public Sans" w:eastAsia="Public Sans" w:hAnsi="Public Sans" w:cs="Public Sans"/>
        </w:rPr>
      </w:pPr>
      <w:r>
        <w:rPr>
          <w:rFonts w:ascii="Public Sans" w:eastAsia="Public Sans" w:hAnsi="Public Sans" w:cs="Public Sans"/>
          <w:b/>
        </w:rPr>
        <w:t>Use the best authenticator for the use case</w:t>
      </w:r>
      <w:r>
        <w:rPr>
          <w:rFonts w:ascii="Public Sans" w:eastAsia="Public Sans" w:hAnsi="Public Sans" w:cs="Public Sans"/>
        </w:rPr>
        <w:t xml:space="preserve"> - One of the advantages of using modern software is using modern authenticators. Every federal employee and contractor </w:t>
      </w:r>
      <w:proofErr w:type="gramStart"/>
      <w:r>
        <w:rPr>
          <w:rFonts w:ascii="Public Sans" w:eastAsia="Public Sans" w:hAnsi="Public Sans" w:cs="Public Sans"/>
        </w:rPr>
        <w:t>is</w:t>
      </w:r>
      <w:proofErr w:type="gramEnd"/>
      <w:r>
        <w:rPr>
          <w:rFonts w:ascii="Public Sans" w:eastAsia="Public Sans" w:hAnsi="Public Sans" w:cs="Public Sans"/>
        </w:rPr>
        <w:t xml:space="preserve"> required to have a PIV card, but i</w:t>
      </w:r>
      <w:r>
        <w:rPr>
          <w:rFonts w:ascii="Public Sans" w:eastAsia="Public Sans" w:hAnsi="Public Sans" w:cs="Public Sans"/>
        </w:rPr>
        <w:t>t may not fit every use case. Secondary authenticators may be issued and bound to the same directory record and offer comparable security. Use the Digital Identity Risk Assessment process to identify a minimum authenticator assurance level based on the use</w:t>
      </w:r>
      <w:r>
        <w:rPr>
          <w:rFonts w:ascii="Public Sans" w:eastAsia="Public Sans" w:hAnsi="Public Sans" w:cs="Public Sans"/>
        </w:rPr>
        <w:t xml:space="preserve">r transaction risk. See this National Security Agency fact sheet on </w:t>
      </w:r>
      <w:hyperlink r:id="rId36">
        <w:r>
          <w:rPr>
            <w:rFonts w:ascii="Public Sans" w:eastAsia="Public Sans" w:hAnsi="Public Sans" w:cs="Public Sans"/>
            <w:color w:val="1155CC"/>
            <w:u w:val="single"/>
          </w:rPr>
          <w:t>potential secondary authenticator options</w:t>
        </w:r>
      </w:hyperlink>
      <w:r>
        <w:rPr>
          <w:rFonts w:ascii="Public Sans" w:eastAsia="Public Sans" w:hAnsi="Public Sans" w:cs="Public Sans"/>
        </w:rPr>
        <w:t>.</w:t>
      </w:r>
    </w:p>
    <w:p w14:paraId="6E736478" w14:textId="77777777" w:rsidR="00080BDC" w:rsidRDefault="00D7526C">
      <w:pPr>
        <w:numPr>
          <w:ilvl w:val="0"/>
          <w:numId w:val="6"/>
        </w:numPr>
        <w:spacing w:line="360" w:lineRule="auto"/>
        <w:rPr>
          <w:rFonts w:ascii="Public Sans" w:eastAsia="Public Sans" w:hAnsi="Public Sans" w:cs="Public Sans"/>
        </w:rPr>
      </w:pPr>
      <w:r>
        <w:rPr>
          <w:rFonts w:ascii="Public Sans" w:eastAsia="Public Sans" w:hAnsi="Public Sans" w:cs="Public Sans"/>
          <w:b/>
        </w:rPr>
        <w:t>Machine Credentialing</w:t>
      </w:r>
      <w:r>
        <w:rPr>
          <w:rFonts w:ascii="Public Sans" w:eastAsia="Public Sans" w:hAnsi="Public Sans" w:cs="Public Sans"/>
        </w:rPr>
        <w:t xml:space="preserve"> - Agencies should make a risk decision about managing non-person credentials including if, how, and when to enforce more stringent controls. Machine credentials should be managed in a </w:t>
      </w:r>
      <w:proofErr w:type="gramStart"/>
      <w:r>
        <w:rPr>
          <w:rFonts w:ascii="Public Sans" w:eastAsia="Public Sans" w:hAnsi="Public Sans" w:cs="Public Sans"/>
        </w:rPr>
        <w:t>similar</w:t>
      </w:r>
      <w:proofErr w:type="gramEnd"/>
      <w:r>
        <w:rPr>
          <w:rFonts w:ascii="Public Sans" w:eastAsia="Public Sans" w:hAnsi="Public Sans" w:cs="Public Sans"/>
        </w:rPr>
        <w:t xml:space="preserve"> yet slightly different pattern based on th</w:t>
      </w:r>
      <w:r>
        <w:rPr>
          <w:rFonts w:ascii="Public Sans" w:eastAsia="Public Sans" w:hAnsi="Public Sans" w:cs="Public Sans"/>
        </w:rPr>
        <w:t xml:space="preserve">e type of device or NPE. For example, DevOps use secrets (typically authentication credentials such as username/passwords, API tokens, etc.) which should be available when validly requested and approved, and this may include </w:t>
      </w:r>
      <w:r>
        <w:rPr>
          <w:rFonts w:ascii="Public Sans" w:eastAsia="Public Sans" w:hAnsi="Public Sans" w:cs="Public Sans"/>
        </w:rPr>
        <w:lastRenderedPageBreak/>
        <w:t>programmatic requests for a sec</w:t>
      </w:r>
      <w:r>
        <w:rPr>
          <w:rFonts w:ascii="Public Sans" w:eastAsia="Public Sans" w:hAnsi="Public Sans" w:cs="Public Sans"/>
        </w:rPr>
        <w:t>ret upon access request to a target system. The secrets must be rotated regularly to reduce the period an attacker who has acquired a secret can operate. Some secrets are ephemeral in nature and expire automatically. All secrets should be revocable so that</w:t>
      </w:r>
      <w:r>
        <w:rPr>
          <w:rFonts w:ascii="Public Sans" w:eastAsia="Public Sans" w:hAnsi="Public Sans" w:cs="Public Sans"/>
        </w:rPr>
        <w:t xml:space="preserve"> they can ensure they can’t be used after an attack on the secret is discovered.</w:t>
      </w:r>
    </w:p>
    <w:p w14:paraId="5BE242FB" w14:textId="77777777" w:rsidR="00080BDC" w:rsidRDefault="00D7526C">
      <w:pPr>
        <w:numPr>
          <w:ilvl w:val="0"/>
          <w:numId w:val="6"/>
        </w:numPr>
        <w:spacing w:line="360" w:lineRule="auto"/>
        <w:rPr>
          <w:rFonts w:ascii="Public Sans" w:eastAsia="Public Sans" w:hAnsi="Public Sans" w:cs="Public Sans"/>
        </w:rPr>
      </w:pPr>
      <w:r>
        <w:rPr>
          <w:rFonts w:ascii="Public Sans" w:eastAsia="Public Sans" w:hAnsi="Public Sans" w:cs="Public Sans"/>
          <w:b/>
        </w:rPr>
        <w:t>Passwords Are Inevitable</w:t>
      </w:r>
      <w:r>
        <w:rPr>
          <w:rFonts w:ascii="Public Sans" w:eastAsia="Public Sans" w:hAnsi="Public Sans" w:cs="Public Sans"/>
        </w:rPr>
        <w:t xml:space="preserve"> - Password (otherwise known as memorized secrets) use is inevitable. Follow </w:t>
      </w:r>
      <w:hyperlink r:id="rId37">
        <w:r>
          <w:rPr>
            <w:rFonts w:ascii="Public Sans" w:eastAsia="Public Sans" w:hAnsi="Public Sans" w:cs="Public Sans"/>
            <w:color w:val="1155CC"/>
            <w:u w:val="single"/>
          </w:rPr>
          <w:t>NIST Spe</w:t>
        </w:r>
        <w:r>
          <w:rPr>
            <w:rFonts w:ascii="Public Sans" w:eastAsia="Public Sans" w:hAnsi="Public Sans" w:cs="Public Sans"/>
            <w:color w:val="1155CC"/>
            <w:u w:val="single"/>
          </w:rPr>
          <w:t>cial Publication 800-63B</w:t>
        </w:r>
      </w:hyperlink>
      <w:r>
        <w:rPr>
          <w:rFonts w:ascii="Public Sans" w:eastAsia="Public Sans" w:hAnsi="Public Sans" w:cs="Public Sans"/>
        </w:rPr>
        <w:t xml:space="preserve"> guidelines for passwords such as:</w:t>
      </w:r>
    </w:p>
    <w:p w14:paraId="12308CE6" w14:textId="77777777" w:rsidR="00080BDC" w:rsidRDefault="00D7526C">
      <w:pPr>
        <w:numPr>
          <w:ilvl w:val="0"/>
          <w:numId w:val="2"/>
        </w:numPr>
        <w:spacing w:line="360" w:lineRule="auto"/>
        <w:rPr>
          <w:rFonts w:ascii="Public Sans" w:eastAsia="Public Sans" w:hAnsi="Public Sans" w:cs="Public Sans"/>
        </w:rPr>
      </w:pPr>
      <w:r>
        <w:rPr>
          <w:rFonts w:ascii="Public Sans" w:eastAsia="Public Sans" w:hAnsi="Public Sans" w:cs="Public Sans"/>
        </w:rPr>
        <w:t>Should be an alphanumeric between 8 to 64 characters</w:t>
      </w:r>
    </w:p>
    <w:p w14:paraId="6B9A14BD" w14:textId="77777777" w:rsidR="00080BDC" w:rsidRDefault="00D7526C">
      <w:pPr>
        <w:numPr>
          <w:ilvl w:val="0"/>
          <w:numId w:val="2"/>
        </w:numPr>
        <w:spacing w:line="360" w:lineRule="auto"/>
        <w:rPr>
          <w:rFonts w:ascii="Public Sans" w:eastAsia="Public Sans" w:hAnsi="Public Sans" w:cs="Public Sans"/>
        </w:rPr>
      </w:pPr>
      <w:r>
        <w:rPr>
          <w:rFonts w:ascii="Public Sans" w:eastAsia="Public Sans" w:hAnsi="Public Sans" w:cs="Public Sans"/>
        </w:rPr>
        <w:t>Shall be checked against breach corpuses, dictionary words, repetitive characters, or context-specific and denied</w:t>
      </w:r>
    </w:p>
    <w:p w14:paraId="111A97EA" w14:textId="77777777" w:rsidR="00080BDC" w:rsidRDefault="00D7526C">
      <w:pPr>
        <w:numPr>
          <w:ilvl w:val="0"/>
          <w:numId w:val="2"/>
        </w:numPr>
        <w:spacing w:line="360" w:lineRule="auto"/>
        <w:rPr>
          <w:rFonts w:ascii="Public Sans" w:eastAsia="Public Sans" w:hAnsi="Public Sans" w:cs="Public Sans"/>
        </w:rPr>
      </w:pPr>
      <w:r>
        <w:rPr>
          <w:rFonts w:ascii="Public Sans" w:eastAsia="Public Sans" w:hAnsi="Public Sans" w:cs="Public Sans"/>
        </w:rPr>
        <w:t>Should offer a password streng</w:t>
      </w:r>
      <w:r>
        <w:rPr>
          <w:rFonts w:ascii="Public Sans" w:eastAsia="Public Sans" w:hAnsi="Public Sans" w:cs="Public Sans"/>
        </w:rPr>
        <w:t>th meter</w:t>
      </w:r>
    </w:p>
    <w:p w14:paraId="4442AC39" w14:textId="77777777" w:rsidR="00080BDC" w:rsidRDefault="00D7526C">
      <w:pPr>
        <w:numPr>
          <w:ilvl w:val="0"/>
          <w:numId w:val="2"/>
        </w:numPr>
        <w:spacing w:line="360" w:lineRule="auto"/>
        <w:rPr>
          <w:rFonts w:ascii="Public Sans" w:eastAsia="Public Sans" w:hAnsi="Public Sans" w:cs="Public Sans"/>
        </w:rPr>
      </w:pPr>
      <w:r>
        <w:rPr>
          <w:rFonts w:ascii="Public Sans" w:eastAsia="Public Sans" w:hAnsi="Public Sans" w:cs="Public Sans"/>
        </w:rPr>
        <w:t>Shall limit the number of failed attempts before a lock-out or require a password reset.</w:t>
      </w:r>
    </w:p>
    <w:p w14:paraId="4CD5D3BC" w14:textId="77777777" w:rsidR="00080BDC" w:rsidRDefault="00D7526C">
      <w:pPr>
        <w:numPr>
          <w:ilvl w:val="0"/>
          <w:numId w:val="2"/>
        </w:numPr>
        <w:spacing w:line="360" w:lineRule="auto"/>
        <w:rPr>
          <w:rFonts w:ascii="Public Sans" w:eastAsia="Public Sans" w:hAnsi="Public Sans" w:cs="Public Sans"/>
        </w:rPr>
      </w:pPr>
      <w:r>
        <w:rPr>
          <w:rFonts w:ascii="Public Sans" w:eastAsia="Public Sans" w:hAnsi="Public Sans" w:cs="Public Sans"/>
        </w:rPr>
        <w:t>Should not require periodic password updates.</w:t>
      </w:r>
    </w:p>
    <w:p w14:paraId="4228A2A5" w14:textId="77777777" w:rsidR="00080BDC" w:rsidRDefault="00D7526C">
      <w:pPr>
        <w:numPr>
          <w:ilvl w:val="0"/>
          <w:numId w:val="2"/>
        </w:numPr>
        <w:spacing w:line="360" w:lineRule="auto"/>
        <w:rPr>
          <w:rFonts w:ascii="Public Sans" w:eastAsia="Public Sans" w:hAnsi="Public Sans" w:cs="Public Sans"/>
        </w:rPr>
      </w:pPr>
      <w:r>
        <w:rPr>
          <w:rFonts w:ascii="Public Sans" w:eastAsia="Public Sans" w:hAnsi="Public Sans" w:cs="Public Sans"/>
        </w:rPr>
        <w:t>Should be used as part of a multi-factor authenticator</w:t>
      </w:r>
    </w:p>
    <w:p w14:paraId="2BF47B7E" w14:textId="77777777" w:rsidR="00080BDC" w:rsidRDefault="00D7526C">
      <w:pPr>
        <w:numPr>
          <w:ilvl w:val="0"/>
          <w:numId w:val="2"/>
        </w:numPr>
        <w:spacing w:after="120" w:line="360" w:lineRule="auto"/>
        <w:rPr>
          <w:rFonts w:ascii="Public Sans" w:eastAsia="Public Sans" w:hAnsi="Public Sans" w:cs="Public Sans"/>
        </w:rPr>
      </w:pPr>
      <w:r>
        <w:rPr>
          <w:rFonts w:ascii="Public Sans" w:eastAsia="Public Sans" w:hAnsi="Public Sans" w:cs="Public Sans"/>
        </w:rPr>
        <w:t>Should support the use of a password manager through allo</w:t>
      </w:r>
      <w:r>
        <w:rPr>
          <w:rFonts w:ascii="Public Sans" w:eastAsia="Public Sans" w:hAnsi="Public Sans" w:cs="Public Sans"/>
        </w:rPr>
        <w:t>wing a cut- and-paste function</w:t>
      </w:r>
    </w:p>
    <w:tbl>
      <w:tblPr>
        <w:tblStyle w:val="a8"/>
        <w:tblW w:w="9360" w:type="dxa"/>
        <w:tblLayout w:type="fixed"/>
        <w:tblLook w:val="0600" w:firstRow="0" w:lastRow="0" w:firstColumn="0" w:lastColumn="0" w:noHBand="1" w:noVBand="1"/>
      </w:tblPr>
      <w:tblGrid>
        <w:gridCol w:w="945"/>
        <w:gridCol w:w="8415"/>
      </w:tblGrid>
      <w:tr w:rsidR="00080BDC" w14:paraId="5F1CF59C"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5D326BA9"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drawing>
                <wp:inline distT="114300" distB="114300" distL="114300" distR="114300" wp14:anchorId="72A85CD6" wp14:editId="3FFE6D03">
                  <wp:extent cx="442913" cy="4429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725918E5" w14:textId="77777777" w:rsidR="00080BDC" w:rsidRDefault="00D7526C">
            <w:pPr>
              <w:spacing w:after="200" w:line="360" w:lineRule="auto"/>
              <w:rPr>
                <w:rFonts w:ascii="Public Sans" w:eastAsia="Public Sans" w:hAnsi="Public Sans" w:cs="Public Sans"/>
              </w:rPr>
            </w:pPr>
            <w:r>
              <w:rPr>
                <w:rFonts w:ascii="Public Sans" w:eastAsia="Public Sans" w:hAnsi="Public Sans" w:cs="Public Sans"/>
                <w:b/>
              </w:rPr>
              <w:t xml:space="preserve">Rotate Access Keys, Not Passwords: </w:t>
            </w:r>
            <w:r>
              <w:rPr>
                <w:rFonts w:ascii="Public Sans" w:eastAsia="Public Sans" w:hAnsi="Public Sans" w:cs="Public Sans"/>
              </w:rPr>
              <w:t xml:space="preserve">NIST recommends agencies not require password rotation. Instead, programmatic access keys should be rotated and not embedded in unencrypted code. Where keys and secrets are used, consider </w:t>
            </w:r>
            <w:r>
              <w:rPr>
                <w:rFonts w:ascii="Public Sans" w:eastAsia="Public Sans" w:hAnsi="Public Sans" w:cs="Public Sans"/>
              </w:rPr>
              <w:t>using a secrets management tool.</w:t>
            </w:r>
          </w:p>
        </w:tc>
      </w:tr>
    </w:tbl>
    <w:p w14:paraId="75075B94" w14:textId="77777777" w:rsidR="00080BDC" w:rsidRDefault="00080BDC">
      <w:pPr>
        <w:widowControl/>
        <w:spacing w:after="200" w:line="360" w:lineRule="auto"/>
        <w:rPr>
          <w:rFonts w:ascii="Public Sans" w:eastAsia="Public Sans" w:hAnsi="Public Sans" w:cs="Public Sans"/>
          <w:b/>
        </w:rPr>
      </w:pPr>
    </w:p>
    <w:tbl>
      <w:tblPr>
        <w:tblStyle w:val="a9"/>
        <w:tblW w:w="9360" w:type="dxa"/>
        <w:tblLayout w:type="fixed"/>
        <w:tblLook w:val="0600" w:firstRow="0" w:lastRow="0" w:firstColumn="0" w:lastColumn="0" w:noHBand="1" w:noVBand="1"/>
      </w:tblPr>
      <w:tblGrid>
        <w:gridCol w:w="945"/>
        <w:gridCol w:w="8415"/>
      </w:tblGrid>
      <w:tr w:rsidR="00080BDC" w14:paraId="7F827F5B"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36512AE9"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drawing>
                <wp:inline distT="114300" distB="114300" distL="114300" distR="114300" wp14:anchorId="1EA8DBE4" wp14:editId="4F087E76">
                  <wp:extent cx="442913" cy="4429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62E80715"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Risk Management Challenge - Unique Credentials</w:t>
            </w:r>
          </w:p>
          <w:p w14:paraId="7A6493AE" w14:textId="77777777" w:rsidR="00080BDC" w:rsidRDefault="00D7526C">
            <w:pPr>
              <w:spacing w:after="120" w:line="360" w:lineRule="auto"/>
              <w:rPr>
                <w:rFonts w:ascii="Public Sans" w:eastAsia="Public Sans" w:hAnsi="Public Sans" w:cs="Public Sans"/>
                <w:b/>
              </w:rPr>
            </w:pPr>
            <w:r>
              <w:rPr>
                <w:rFonts w:ascii="Public Sans" w:eastAsia="Public Sans" w:hAnsi="Public Sans" w:cs="Public Sans"/>
              </w:rPr>
              <w:t>Credentials should be assigned on an individual basis and not shared. User audit logs can also help track the use of shared credentials. If a credential must be shared, NIST recommends requiring individual authentication to access the shared credential.</w:t>
            </w:r>
          </w:p>
        </w:tc>
      </w:tr>
    </w:tbl>
    <w:p w14:paraId="4C5CBDB8" w14:textId="77777777" w:rsidR="00080BDC" w:rsidRDefault="00080BDC">
      <w:pPr>
        <w:spacing w:after="120" w:line="360" w:lineRule="auto"/>
        <w:rPr>
          <w:rFonts w:ascii="Public Sans" w:eastAsia="Public Sans" w:hAnsi="Public Sans" w:cs="Public Sans"/>
        </w:rPr>
      </w:pPr>
    </w:p>
    <w:p w14:paraId="1CE718D5" w14:textId="77777777" w:rsidR="00080BDC" w:rsidRDefault="00D7526C">
      <w:pPr>
        <w:pStyle w:val="Heading3"/>
        <w:spacing w:line="360" w:lineRule="auto"/>
        <w:rPr>
          <w:rFonts w:ascii="Public Sans" w:eastAsia="Public Sans" w:hAnsi="Public Sans" w:cs="Public Sans"/>
          <w:sz w:val="26"/>
          <w:szCs w:val="26"/>
        </w:rPr>
      </w:pPr>
      <w:bookmarkStart w:id="21" w:name="_whloqx4wwdda" w:colFirst="0" w:colLast="0"/>
      <w:bookmarkEnd w:id="21"/>
      <w:r>
        <w:rPr>
          <w:rFonts w:ascii="Public Sans" w:eastAsia="Public Sans" w:hAnsi="Public Sans" w:cs="Public Sans"/>
          <w:sz w:val="26"/>
          <w:szCs w:val="26"/>
        </w:rPr>
        <w:lastRenderedPageBreak/>
        <w:t>Access Management</w:t>
      </w:r>
    </w:p>
    <w:p w14:paraId="68B066D0" w14:textId="77777777" w:rsidR="00080BDC" w:rsidRDefault="00D7526C">
      <w:pPr>
        <w:numPr>
          <w:ilvl w:val="0"/>
          <w:numId w:val="7"/>
        </w:numPr>
        <w:spacing w:line="360" w:lineRule="auto"/>
        <w:rPr>
          <w:rFonts w:ascii="Public Sans" w:eastAsia="Public Sans" w:hAnsi="Public Sans" w:cs="Public Sans"/>
        </w:rPr>
      </w:pPr>
      <w:r>
        <w:rPr>
          <w:rFonts w:ascii="Public Sans" w:eastAsia="Public Sans" w:hAnsi="Public Sans" w:cs="Public Sans"/>
          <w:b/>
        </w:rPr>
        <w:t xml:space="preserve">User Access to </w:t>
      </w:r>
      <w:proofErr w:type="spellStart"/>
      <w:r>
        <w:rPr>
          <w:rFonts w:ascii="Public Sans" w:eastAsia="Public Sans" w:hAnsi="Public Sans" w:cs="Public Sans"/>
          <w:b/>
        </w:rPr>
        <w:t>XaaS</w:t>
      </w:r>
      <w:proofErr w:type="spellEnd"/>
      <w:r>
        <w:rPr>
          <w:rFonts w:ascii="Public Sans" w:eastAsia="Public Sans" w:hAnsi="Public Sans" w:cs="Public Sans"/>
        </w:rPr>
        <w:t xml:space="preserve"> - Users must be able to connect to the cloud service. This means creating network paths for users coming from an agency network (direct or through Virtual Private Network) but also potentially for users not on an agenc</w:t>
      </w:r>
      <w:r>
        <w:rPr>
          <w:rFonts w:ascii="Public Sans" w:eastAsia="Public Sans" w:hAnsi="Public Sans" w:cs="Public Sans"/>
        </w:rPr>
        <w:t>y network. For example, Email as a Service login page is accessible off-network but requires SSO which is only accessible on network”.</w:t>
      </w:r>
    </w:p>
    <w:p w14:paraId="526525AF" w14:textId="77777777" w:rsidR="00080BDC" w:rsidRDefault="00D7526C">
      <w:pPr>
        <w:numPr>
          <w:ilvl w:val="0"/>
          <w:numId w:val="7"/>
        </w:numPr>
        <w:spacing w:line="360" w:lineRule="auto"/>
        <w:rPr>
          <w:rFonts w:ascii="Public Sans" w:eastAsia="Public Sans" w:hAnsi="Public Sans" w:cs="Public Sans"/>
        </w:rPr>
      </w:pPr>
      <w:r>
        <w:rPr>
          <w:rFonts w:ascii="Public Sans" w:eastAsia="Public Sans" w:hAnsi="Public Sans" w:cs="Public Sans"/>
          <w:b/>
        </w:rPr>
        <w:t>Protocol Monitoring</w:t>
      </w:r>
      <w:r>
        <w:rPr>
          <w:rFonts w:ascii="Public Sans" w:eastAsia="Public Sans" w:hAnsi="Public Sans" w:cs="Public Sans"/>
        </w:rPr>
        <w:t xml:space="preserve"> - Access comes in many protocols. Monitor access attempts over all possible protocols such as https a</w:t>
      </w:r>
      <w:r>
        <w:rPr>
          <w:rFonts w:ascii="Public Sans" w:eastAsia="Public Sans" w:hAnsi="Public Sans" w:cs="Public Sans"/>
        </w:rPr>
        <w:t>nd secure shell. Also, factor in the use of port translation technology.</w:t>
      </w:r>
    </w:p>
    <w:p w14:paraId="0D63888A" w14:textId="77777777" w:rsidR="00080BDC" w:rsidRDefault="00D7526C">
      <w:pPr>
        <w:numPr>
          <w:ilvl w:val="0"/>
          <w:numId w:val="7"/>
        </w:numPr>
        <w:spacing w:line="360" w:lineRule="auto"/>
        <w:rPr>
          <w:rFonts w:ascii="Public Sans" w:eastAsia="Public Sans" w:hAnsi="Public Sans" w:cs="Public Sans"/>
        </w:rPr>
      </w:pPr>
      <w:r>
        <w:rPr>
          <w:rFonts w:ascii="Public Sans" w:eastAsia="Public Sans" w:hAnsi="Public Sans" w:cs="Public Sans"/>
          <w:b/>
        </w:rPr>
        <w:t>Leverage Modern Cloud Access</w:t>
      </w:r>
      <w:r>
        <w:rPr>
          <w:rFonts w:ascii="Public Sans" w:eastAsia="Public Sans" w:hAnsi="Public Sans" w:cs="Public Sans"/>
        </w:rPr>
        <w:t xml:space="preserve"> - Many cloud access tools can leverage telemetry for access decisions such as device type, browser type, location. Check with your access management vendo</w:t>
      </w:r>
      <w:r>
        <w:rPr>
          <w:rFonts w:ascii="Public Sans" w:eastAsia="Public Sans" w:hAnsi="Public Sans" w:cs="Public Sans"/>
        </w:rPr>
        <w:t>r how and if they support this capability.</w:t>
      </w:r>
    </w:p>
    <w:p w14:paraId="3E79C111" w14:textId="77777777" w:rsidR="00080BDC" w:rsidRDefault="00D7526C">
      <w:pPr>
        <w:numPr>
          <w:ilvl w:val="0"/>
          <w:numId w:val="7"/>
        </w:numPr>
        <w:spacing w:after="120" w:line="360" w:lineRule="auto"/>
        <w:rPr>
          <w:rFonts w:ascii="Public Sans" w:eastAsia="Public Sans" w:hAnsi="Public Sans" w:cs="Public Sans"/>
        </w:rPr>
      </w:pPr>
      <w:r>
        <w:rPr>
          <w:rFonts w:ascii="Public Sans" w:eastAsia="Public Sans" w:hAnsi="Public Sans" w:cs="Public Sans"/>
          <w:b/>
        </w:rPr>
        <w:t>Proxy It</w:t>
      </w:r>
      <w:r>
        <w:rPr>
          <w:rFonts w:ascii="Public Sans" w:eastAsia="Public Sans" w:hAnsi="Public Sans" w:cs="Public Sans"/>
        </w:rPr>
        <w:t xml:space="preserve"> - </w:t>
      </w:r>
      <w:hyperlink r:id="rId38">
        <w:r>
          <w:rPr>
            <w:rFonts w:ascii="Public Sans" w:eastAsia="Public Sans" w:hAnsi="Public Sans" w:cs="Public Sans"/>
            <w:color w:val="1155CC"/>
            <w:u w:val="single"/>
          </w:rPr>
          <w:t>Trusted Internet Connection 3.0</w:t>
        </w:r>
      </w:hyperlink>
      <w:r>
        <w:rPr>
          <w:rFonts w:ascii="Public Sans" w:eastAsia="Public Sans" w:hAnsi="Public Sans" w:cs="Public Sans"/>
        </w:rPr>
        <w:t xml:space="preserve"> provides two cloud access options through either a Cloud Access Security Broker or a Se</w:t>
      </w:r>
      <w:r>
        <w:rPr>
          <w:rFonts w:ascii="Public Sans" w:eastAsia="Public Sans" w:hAnsi="Public Sans" w:cs="Public Sans"/>
        </w:rPr>
        <w:t>curity Gateway. Both may operate in a forward to reserve proxy mode to monitor traffic and apply access policies in real-time.</w:t>
      </w:r>
    </w:p>
    <w:tbl>
      <w:tblPr>
        <w:tblStyle w:val="aa"/>
        <w:tblW w:w="9360" w:type="dxa"/>
        <w:tblLayout w:type="fixed"/>
        <w:tblLook w:val="0600" w:firstRow="0" w:lastRow="0" w:firstColumn="0" w:lastColumn="0" w:noHBand="1" w:noVBand="1"/>
      </w:tblPr>
      <w:tblGrid>
        <w:gridCol w:w="945"/>
        <w:gridCol w:w="8415"/>
      </w:tblGrid>
      <w:tr w:rsidR="00080BDC" w14:paraId="4FBFC2FE"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5FF08616"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drawing>
                <wp:inline distT="114300" distB="114300" distL="114300" distR="114300" wp14:anchorId="13E85D65" wp14:editId="5453AE14">
                  <wp:extent cx="442913" cy="4429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2954DCD3"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Access Policy by User Type</w:t>
            </w:r>
          </w:p>
          <w:p w14:paraId="37A85488" w14:textId="77777777" w:rsidR="00080BDC" w:rsidRDefault="00D7526C">
            <w:pPr>
              <w:spacing w:after="120" w:line="360" w:lineRule="auto"/>
              <w:rPr>
                <w:rFonts w:ascii="Public Sans" w:eastAsia="Public Sans" w:hAnsi="Public Sans" w:cs="Public Sans"/>
                <w:b/>
              </w:rPr>
            </w:pPr>
            <w:r>
              <w:rPr>
                <w:rFonts w:ascii="Public Sans" w:eastAsia="Public Sans" w:hAnsi="Public Sans" w:cs="Public Sans"/>
              </w:rPr>
              <w:t>Application owners can determine ideal conditions for access such as during working hours, from the United States, on a Government Furnished Equipment or approved device. By analyzing ideal access conditions, access policies and exceptions are identified a</w:t>
            </w:r>
            <w:r>
              <w:rPr>
                <w:rFonts w:ascii="Public Sans" w:eastAsia="Public Sans" w:hAnsi="Public Sans" w:cs="Public Sans"/>
              </w:rPr>
              <w:t>nd implemented or tracked through access tools and audit logs.</w:t>
            </w:r>
          </w:p>
        </w:tc>
      </w:tr>
    </w:tbl>
    <w:p w14:paraId="0AA85F19" w14:textId="77777777" w:rsidR="00080BDC" w:rsidRDefault="00080BDC">
      <w:pPr>
        <w:spacing w:after="120" w:line="360" w:lineRule="auto"/>
        <w:rPr>
          <w:rFonts w:ascii="Public Sans" w:eastAsia="Public Sans" w:hAnsi="Public Sans" w:cs="Public Sans"/>
        </w:rPr>
      </w:pPr>
    </w:p>
    <w:p w14:paraId="7854E6DE" w14:textId="77777777" w:rsidR="00080BDC" w:rsidRDefault="00D7526C">
      <w:pPr>
        <w:pStyle w:val="Heading3"/>
        <w:spacing w:line="360" w:lineRule="auto"/>
        <w:rPr>
          <w:rFonts w:ascii="Public Sans" w:eastAsia="Public Sans" w:hAnsi="Public Sans" w:cs="Public Sans"/>
          <w:sz w:val="26"/>
          <w:szCs w:val="26"/>
        </w:rPr>
      </w:pPr>
      <w:bookmarkStart w:id="22" w:name="_hzc95e9oon9t" w:colFirst="0" w:colLast="0"/>
      <w:bookmarkEnd w:id="22"/>
      <w:r>
        <w:rPr>
          <w:rFonts w:ascii="Public Sans" w:eastAsia="Public Sans" w:hAnsi="Public Sans" w:cs="Public Sans"/>
          <w:sz w:val="26"/>
          <w:szCs w:val="26"/>
        </w:rPr>
        <w:t>Governance</w:t>
      </w:r>
    </w:p>
    <w:p w14:paraId="6C29D9F7" w14:textId="77777777" w:rsidR="00080BDC" w:rsidRDefault="00D7526C">
      <w:pPr>
        <w:numPr>
          <w:ilvl w:val="0"/>
          <w:numId w:val="13"/>
        </w:numPr>
        <w:spacing w:line="360" w:lineRule="auto"/>
        <w:rPr>
          <w:rFonts w:ascii="Public Sans" w:eastAsia="Public Sans" w:hAnsi="Public Sans" w:cs="Public Sans"/>
          <w:b/>
        </w:rPr>
      </w:pPr>
      <w:r>
        <w:rPr>
          <w:rFonts w:ascii="Public Sans" w:eastAsia="Public Sans" w:hAnsi="Public Sans" w:cs="Public Sans"/>
          <w:b/>
        </w:rPr>
        <w:t>Certify Access</w:t>
      </w:r>
      <w:r>
        <w:rPr>
          <w:rFonts w:ascii="Public Sans" w:eastAsia="Public Sans" w:hAnsi="Public Sans" w:cs="Public Sans"/>
        </w:rPr>
        <w:t xml:space="preserve"> - Access certification or recertification is the process of an application owner or a manager to attest to someone's access. This could be an automated or manual pro</w:t>
      </w:r>
      <w:r>
        <w:rPr>
          <w:rFonts w:ascii="Public Sans" w:eastAsia="Public Sans" w:hAnsi="Public Sans" w:cs="Public Sans"/>
        </w:rPr>
        <w:t>cess. For higher impact applications, this should happen more frequently, such as monthly or quarterly, than low impact applications.</w:t>
      </w:r>
    </w:p>
    <w:p w14:paraId="1C9BDABC" w14:textId="77777777" w:rsidR="00080BDC" w:rsidRDefault="00D7526C">
      <w:pPr>
        <w:numPr>
          <w:ilvl w:val="0"/>
          <w:numId w:val="13"/>
        </w:numPr>
        <w:spacing w:line="360" w:lineRule="auto"/>
        <w:rPr>
          <w:rFonts w:ascii="Public Sans" w:eastAsia="Public Sans" w:hAnsi="Public Sans" w:cs="Public Sans"/>
        </w:rPr>
      </w:pPr>
      <w:r>
        <w:rPr>
          <w:rFonts w:ascii="Public Sans" w:eastAsia="Public Sans" w:hAnsi="Public Sans" w:cs="Public Sans"/>
          <w:b/>
        </w:rPr>
        <w:t>Plan for Contingencies</w:t>
      </w:r>
      <w:r>
        <w:rPr>
          <w:rFonts w:ascii="Public Sans" w:eastAsia="Public Sans" w:hAnsi="Public Sans" w:cs="Public Sans"/>
        </w:rPr>
        <w:t xml:space="preserve"> - Cloud admin portals may be secured differently for continuity of operations. Follow vendor best p</w:t>
      </w:r>
      <w:r>
        <w:rPr>
          <w:rFonts w:ascii="Public Sans" w:eastAsia="Public Sans" w:hAnsi="Public Sans" w:cs="Public Sans"/>
        </w:rPr>
        <w:t xml:space="preserve">ractices for “break glass” admin accounts such as ensuring they are not linked to an individual and use an MFA that </w:t>
      </w:r>
      <w:r>
        <w:rPr>
          <w:rFonts w:ascii="Public Sans" w:eastAsia="Public Sans" w:hAnsi="Public Sans" w:cs="Public Sans"/>
        </w:rPr>
        <w:lastRenderedPageBreak/>
        <w:t>is different from other methods. Test disaster recovery scenarios on a regular basis. This may require collaborating with your cloud service</w:t>
      </w:r>
      <w:r>
        <w:rPr>
          <w:rFonts w:ascii="Public Sans" w:eastAsia="Public Sans" w:hAnsi="Public Sans" w:cs="Public Sans"/>
        </w:rPr>
        <w:t xml:space="preserve"> provider to identify scenarios around geographic outages, denial of service attacks, or other potential outages.</w:t>
      </w:r>
    </w:p>
    <w:p w14:paraId="22231778" w14:textId="77777777" w:rsidR="00080BDC" w:rsidRDefault="00D7526C">
      <w:pPr>
        <w:numPr>
          <w:ilvl w:val="0"/>
          <w:numId w:val="13"/>
        </w:numPr>
        <w:spacing w:line="360" w:lineRule="auto"/>
        <w:rPr>
          <w:rFonts w:ascii="Public Sans" w:eastAsia="Public Sans" w:hAnsi="Public Sans" w:cs="Public Sans"/>
        </w:rPr>
      </w:pPr>
      <w:r>
        <w:rPr>
          <w:rFonts w:ascii="Public Sans" w:eastAsia="Public Sans" w:hAnsi="Public Sans" w:cs="Public Sans"/>
          <w:b/>
        </w:rPr>
        <w:t>Configuration Monitoring</w:t>
      </w:r>
      <w:r>
        <w:rPr>
          <w:rFonts w:ascii="Public Sans" w:eastAsia="Public Sans" w:hAnsi="Public Sans" w:cs="Public Sans"/>
        </w:rPr>
        <w:t xml:space="preserve"> - Establish audit policies to monitor for configuration changes. Implement controls to prevent misconfiguration (</w:t>
      </w:r>
      <w:proofErr w:type="gramStart"/>
      <w:r>
        <w:rPr>
          <w:rFonts w:ascii="Public Sans" w:eastAsia="Public Sans" w:hAnsi="Public Sans" w:cs="Public Sans"/>
        </w:rPr>
        <w:t>e.g.</w:t>
      </w:r>
      <w:proofErr w:type="gramEnd"/>
      <w:r>
        <w:rPr>
          <w:rFonts w:ascii="Public Sans" w:eastAsia="Public Sans" w:hAnsi="Public Sans" w:cs="Public Sans"/>
        </w:rPr>
        <w:t xml:space="preserve"> default private or deny). When configurations change, inform or create a training event to ensure all administrators know about it.</w:t>
      </w:r>
    </w:p>
    <w:p w14:paraId="374820C6" w14:textId="77777777" w:rsidR="00080BDC" w:rsidRDefault="00D7526C">
      <w:pPr>
        <w:numPr>
          <w:ilvl w:val="0"/>
          <w:numId w:val="13"/>
        </w:numPr>
        <w:spacing w:line="360" w:lineRule="auto"/>
        <w:rPr>
          <w:rFonts w:ascii="Public Sans" w:eastAsia="Public Sans" w:hAnsi="Public Sans" w:cs="Public Sans"/>
          <w:b/>
        </w:rPr>
      </w:pPr>
      <w:r>
        <w:rPr>
          <w:rFonts w:ascii="Public Sans" w:eastAsia="Public Sans" w:hAnsi="Public Sans" w:cs="Public Sans"/>
          <w:b/>
        </w:rPr>
        <w:t>Policy-Based Everything</w:t>
      </w:r>
      <w:r>
        <w:rPr>
          <w:rFonts w:ascii="Public Sans" w:eastAsia="Public Sans" w:hAnsi="Public Sans" w:cs="Public Sans"/>
        </w:rPr>
        <w:t xml:space="preserve"> - Cloud services embed access based on policies that are machine-readable and executable. A key suc</w:t>
      </w:r>
      <w:r>
        <w:rPr>
          <w:rFonts w:ascii="Public Sans" w:eastAsia="Public Sans" w:hAnsi="Public Sans" w:cs="Public Sans"/>
        </w:rPr>
        <w:t>cess factor is an agency policy that defines roles, identity lifecycle stages and procedures, and potentially a central repository of identity policies for infrastructure as code or multi-cloud management. This ensures a consistent implementation of agency</w:t>
      </w:r>
      <w:r>
        <w:rPr>
          <w:rFonts w:ascii="Public Sans" w:eastAsia="Public Sans" w:hAnsi="Public Sans" w:cs="Public Sans"/>
        </w:rPr>
        <w:t xml:space="preserve"> cloud identity policies.</w:t>
      </w:r>
    </w:p>
    <w:p w14:paraId="651E1F06" w14:textId="77777777" w:rsidR="00080BDC" w:rsidRDefault="00D7526C">
      <w:pPr>
        <w:numPr>
          <w:ilvl w:val="0"/>
          <w:numId w:val="13"/>
        </w:numPr>
        <w:spacing w:after="120" w:line="360" w:lineRule="auto"/>
        <w:rPr>
          <w:rFonts w:ascii="Public Sans" w:eastAsia="Public Sans" w:hAnsi="Public Sans" w:cs="Public Sans"/>
        </w:rPr>
      </w:pPr>
      <w:r>
        <w:rPr>
          <w:rFonts w:ascii="Public Sans" w:eastAsia="Public Sans" w:hAnsi="Public Sans" w:cs="Public Sans"/>
          <w:b/>
        </w:rPr>
        <w:t>Monitor Activity</w:t>
      </w:r>
      <w:r>
        <w:rPr>
          <w:rFonts w:ascii="Public Sans" w:eastAsia="Public Sans" w:hAnsi="Public Sans" w:cs="Public Sans"/>
        </w:rPr>
        <w:t xml:space="preserve"> - Enable activity logging for privileged users and all users, if possible.</w:t>
      </w:r>
    </w:p>
    <w:tbl>
      <w:tblPr>
        <w:tblStyle w:val="ab"/>
        <w:tblW w:w="9360" w:type="dxa"/>
        <w:tblLayout w:type="fixed"/>
        <w:tblLook w:val="0600" w:firstRow="0" w:lastRow="0" w:firstColumn="0" w:lastColumn="0" w:noHBand="1" w:noVBand="1"/>
      </w:tblPr>
      <w:tblGrid>
        <w:gridCol w:w="945"/>
        <w:gridCol w:w="8415"/>
      </w:tblGrid>
      <w:tr w:rsidR="00080BDC" w14:paraId="0DB7B053"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4F9913E0"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drawing>
                <wp:inline distT="114300" distB="114300" distL="114300" distR="114300" wp14:anchorId="294A0C8F" wp14:editId="18D094E1">
                  <wp:extent cx="442913" cy="4429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3E9C6B64"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Workforce Planning</w:t>
            </w:r>
          </w:p>
          <w:p w14:paraId="11D0AE34" w14:textId="77777777" w:rsidR="00080BDC" w:rsidRDefault="00D7526C">
            <w:pPr>
              <w:spacing w:after="120" w:line="360" w:lineRule="auto"/>
              <w:rPr>
                <w:rFonts w:ascii="Public Sans" w:eastAsia="Public Sans" w:hAnsi="Public Sans" w:cs="Public Sans"/>
                <w:b/>
              </w:rPr>
            </w:pPr>
            <w:proofErr w:type="gramStart"/>
            <w:r>
              <w:rPr>
                <w:rFonts w:ascii="Public Sans" w:eastAsia="Public Sans" w:hAnsi="Public Sans" w:cs="Public Sans"/>
              </w:rPr>
              <w:t>A majority of</w:t>
            </w:r>
            <w:proofErr w:type="gramEnd"/>
            <w:r>
              <w:rPr>
                <w:rFonts w:ascii="Public Sans" w:eastAsia="Public Sans" w:hAnsi="Public Sans" w:cs="Public Sans"/>
              </w:rPr>
              <w:t xml:space="preserve"> cloud ICAM patterns are based-on open protocols such as JavaScript Object Notation, SCIM, </w:t>
            </w:r>
            <w:proofErr w:type="spellStart"/>
            <w:r>
              <w:rPr>
                <w:rFonts w:ascii="Public Sans" w:eastAsia="Public Sans" w:hAnsi="Public Sans" w:cs="Public Sans"/>
              </w:rPr>
              <w:t>oAuth</w:t>
            </w:r>
            <w:proofErr w:type="spellEnd"/>
            <w:r>
              <w:rPr>
                <w:rFonts w:ascii="Public Sans" w:eastAsia="Public Sans" w:hAnsi="Public Sans" w:cs="Public Sans"/>
              </w:rPr>
              <w:t>, Security Assertion Markup Language, Open Policy Agent and Open ID Connect. A good workforce training tip is to become familiar with these protoco</w:t>
            </w:r>
            <w:r>
              <w:rPr>
                <w:rFonts w:ascii="Public Sans" w:eastAsia="Public Sans" w:hAnsi="Public Sans" w:cs="Public Sans"/>
              </w:rPr>
              <w:t>ls.</w:t>
            </w:r>
          </w:p>
        </w:tc>
      </w:tr>
    </w:tbl>
    <w:p w14:paraId="5AF412CD" w14:textId="77777777" w:rsidR="00080BDC" w:rsidRDefault="00080BDC">
      <w:pPr>
        <w:widowControl/>
        <w:spacing w:after="200" w:line="360" w:lineRule="auto"/>
        <w:rPr>
          <w:rFonts w:ascii="Public Sans" w:eastAsia="Public Sans" w:hAnsi="Public Sans" w:cs="Public Sans"/>
          <w:b/>
        </w:rPr>
      </w:pPr>
    </w:p>
    <w:tbl>
      <w:tblPr>
        <w:tblStyle w:val="ac"/>
        <w:tblW w:w="9360" w:type="dxa"/>
        <w:tblLayout w:type="fixed"/>
        <w:tblLook w:val="0600" w:firstRow="0" w:lastRow="0" w:firstColumn="0" w:lastColumn="0" w:noHBand="1" w:noVBand="1"/>
      </w:tblPr>
      <w:tblGrid>
        <w:gridCol w:w="945"/>
        <w:gridCol w:w="8415"/>
      </w:tblGrid>
      <w:tr w:rsidR="00080BDC" w14:paraId="2934DB28" w14:textId="77777777">
        <w:tc>
          <w:tcPr>
            <w:tcW w:w="945" w:type="dxa"/>
            <w:tcBorders>
              <w:top w:val="nil"/>
              <w:left w:val="nil"/>
              <w:bottom w:val="nil"/>
              <w:right w:val="nil"/>
            </w:tcBorders>
            <w:shd w:val="clear" w:color="auto" w:fill="E1F3F8"/>
            <w:tcMar>
              <w:top w:w="144" w:type="dxa"/>
              <w:left w:w="144" w:type="dxa"/>
              <w:bottom w:w="144" w:type="dxa"/>
              <w:right w:w="144" w:type="dxa"/>
            </w:tcMar>
            <w:vAlign w:val="center"/>
          </w:tcPr>
          <w:p w14:paraId="60823A95"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noProof/>
              </w:rPr>
              <w:drawing>
                <wp:inline distT="114300" distB="114300" distL="114300" distR="114300" wp14:anchorId="14EC47CB" wp14:editId="478AF83C">
                  <wp:extent cx="442913" cy="44291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42913" cy="442913"/>
                          </a:xfrm>
                          <a:prstGeom prst="rect">
                            <a:avLst/>
                          </a:prstGeom>
                          <a:ln/>
                        </pic:spPr>
                      </pic:pic>
                    </a:graphicData>
                  </a:graphic>
                </wp:inline>
              </w:drawing>
            </w:r>
          </w:p>
        </w:tc>
        <w:tc>
          <w:tcPr>
            <w:tcW w:w="8415" w:type="dxa"/>
            <w:tcBorders>
              <w:top w:val="nil"/>
              <w:left w:val="nil"/>
              <w:bottom w:val="nil"/>
              <w:right w:val="nil"/>
            </w:tcBorders>
            <w:shd w:val="clear" w:color="auto" w:fill="E1F3F8"/>
            <w:tcMar>
              <w:top w:w="144" w:type="dxa"/>
              <w:left w:w="144" w:type="dxa"/>
              <w:bottom w:w="144" w:type="dxa"/>
              <w:right w:w="144" w:type="dxa"/>
            </w:tcMar>
            <w:vAlign w:val="center"/>
          </w:tcPr>
          <w:p w14:paraId="7F0E467C"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Workforce Challenge - This is Different</w:t>
            </w:r>
          </w:p>
          <w:p w14:paraId="61B2F383" w14:textId="77777777" w:rsidR="00080BDC" w:rsidRDefault="00D7526C">
            <w:pPr>
              <w:spacing w:after="120" w:line="360" w:lineRule="auto"/>
              <w:rPr>
                <w:rFonts w:ascii="Public Sans" w:eastAsia="Public Sans" w:hAnsi="Public Sans" w:cs="Public Sans"/>
                <w:b/>
              </w:rPr>
            </w:pPr>
            <w:r>
              <w:rPr>
                <w:rFonts w:ascii="Public Sans" w:eastAsia="Public Sans" w:hAnsi="Public Sans" w:cs="Public Sans"/>
              </w:rPr>
              <w:t>Any changes to the user experience can degrade workforce efficiency. Plan to communicate changes to prepare your users for a changing experience.</w:t>
            </w:r>
          </w:p>
        </w:tc>
      </w:tr>
    </w:tbl>
    <w:p w14:paraId="6BC85CF4" w14:textId="77777777" w:rsidR="00080BDC" w:rsidRDefault="00080BDC">
      <w:pPr>
        <w:spacing w:before="7" w:line="360" w:lineRule="auto"/>
        <w:ind w:right="100"/>
        <w:rPr>
          <w:rFonts w:ascii="Public Sans" w:eastAsia="Public Sans" w:hAnsi="Public Sans" w:cs="Public Sans"/>
        </w:rPr>
      </w:pPr>
    </w:p>
    <w:p w14:paraId="00A2EB2A" w14:textId="77777777" w:rsidR="00080BDC" w:rsidRDefault="00D7526C">
      <w:pPr>
        <w:pStyle w:val="Heading3"/>
        <w:spacing w:before="7" w:line="360" w:lineRule="auto"/>
        <w:ind w:right="100"/>
        <w:rPr>
          <w:rFonts w:ascii="Public Sans" w:eastAsia="Public Sans" w:hAnsi="Public Sans" w:cs="Public Sans"/>
          <w:b/>
          <w:sz w:val="26"/>
          <w:szCs w:val="26"/>
        </w:rPr>
      </w:pPr>
      <w:bookmarkStart w:id="23" w:name="_8jtbhloh5pv4" w:colFirst="0" w:colLast="0"/>
      <w:bookmarkEnd w:id="23"/>
      <w:r>
        <w:rPr>
          <w:rFonts w:ascii="Public Sans" w:eastAsia="Public Sans" w:hAnsi="Public Sans" w:cs="Public Sans"/>
          <w:b/>
          <w:sz w:val="26"/>
          <w:szCs w:val="26"/>
        </w:rPr>
        <w:t>Federation</w:t>
      </w:r>
    </w:p>
    <w:p w14:paraId="05245ABE"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Use federation where it improves user experience and security. This Playbook uses the </w:t>
      </w:r>
      <w:hyperlink r:id="rId39">
        <w:r>
          <w:rPr>
            <w:rFonts w:ascii="Public Sans" w:eastAsia="Public Sans" w:hAnsi="Public Sans" w:cs="Public Sans"/>
            <w:color w:val="1155CC"/>
            <w:u w:val="single"/>
          </w:rPr>
          <w:t>FICAM Architecture</w:t>
        </w:r>
      </w:hyperlink>
      <w:r>
        <w:rPr>
          <w:rFonts w:ascii="Public Sans" w:eastAsia="Public Sans" w:hAnsi="Public Sans" w:cs="Public Sans"/>
        </w:rPr>
        <w:t>’s definition of Federation, which views it as “the technology, policies, standards, and pro</w:t>
      </w:r>
      <w:r>
        <w:rPr>
          <w:rFonts w:ascii="Public Sans" w:eastAsia="Public Sans" w:hAnsi="Public Sans" w:cs="Public Sans"/>
        </w:rPr>
        <w:t>cesses that allow an agency to accept digital identities, attributes, and credentials managed by other agencies.”</w:t>
      </w:r>
    </w:p>
    <w:p w14:paraId="5EB9CC24" w14:textId="77777777" w:rsidR="00080BDC" w:rsidRDefault="00D7526C">
      <w:pPr>
        <w:numPr>
          <w:ilvl w:val="0"/>
          <w:numId w:val="17"/>
        </w:numPr>
        <w:spacing w:line="360" w:lineRule="auto"/>
        <w:rPr>
          <w:b/>
        </w:rPr>
      </w:pPr>
      <w:r>
        <w:rPr>
          <w:rFonts w:ascii="Public Sans" w:eastAsia="Public Sans" w:hAnsi="Public Sans" w:cs="Public Sans"/>
          <w:b/>
        </w:rPr>
        <w:lastRenderedPageBreak/>
        <w:t>Trust Relationship</w:t>
      </w:r>
      <w:r>
        <w:rPr>
          <w:rFonts w:ascii="Public Sans" w:eastAsia="Public Sans" w:hAnsi="Public Sans" w:cs="Public Sans"/>
        </w:rPr>
        <w:t xml:space="preserve"> - Federation is equal parts technology as it is policy. An agreement between entities should identify the required security</w:t>
      </w:r>
      <w:r>
        <w:rPr>
          <w:rFonts w:ascii="Public Sans" w:eastAsia="Public Sans" w:hAnsi="Public Sans" w:cs="Public Sans"/>
        </w:rPr>
        <w:t xml:space="preserve"> and governance processes of each organization. A template that includes the format and required attributes is also a best practice. See </w:t>
      </w:r>
      <w:hyperlink r:id="rId40">
        <w:r>
          <w:rPr>
            <w:rFonts w:ascii="Public Sans" w:eastAsia="Public Sans" w:hAnsi="Public Sans" w:cs="Public Sans"/>
            <w:color w:val="1155CC"/>
            <w:u w:val="single"/>
          </w:rPr>
          <w:t>NISTIR 8149</w:t>
        </w:r>
      </w:hyperlink>
      <w:r>
        <w:rPr>
          <w:rFonts w:ascii="Public Sans" w:eastAsia="Public Sans" w:hAnsi="Public Sans" w:cs="Public Sans"/>
        </w:rPr>
        <w:t xml:space="preserve"> for more information on trus</w:t>
      </w:r>
      <w:r>
        <w:rPr>
          <w:rFonts w:ascii="Public Sans" w:eastAsia="Public Sans" w:hAnsi="Public Sans" w:cs="Public Sans"/>
        </w:rPr>
        <w:t>t frameworks. The Federal PKI and the PIV card certificates issued from it are one example of an inter-agency trust framework.</w:t>
      </w:r>
    </w:p>
    <w:p w14:paraId="18D9715B" w14:textId="77777777" w:rsidR="00080BDC" w:rsidRDefault="00D7526C">
      <w:pPr>
        <w:numPr>
          <w:ilvl w:val="0"/>
          <w:numId w:val="17"/>
        </w:numPr>
        <w:spacing w:line="360" w:lineRule="auto"/>
        <w:rPr>
          <w:b/>
        </w:rPr>
      </w:pPr>
      <w:r>
        <w:rPr>
          <w:rFonts w:ascii="Public Sans" w:eastAsia="Public Sans" w:hAnsi="Public Sans" w:cs="Public Sans"/>
          <w:b/>
        </w:rPr>
        <w:t xml:space="preserve">Exchanging Attributes </w:t>
      </w:r>
      <w:r>
        <w:rPr>
          <w:rFonts w:ascii="Public Sans" w:eastAsia="Public Sans" w:hAnsi="Public Sans" w:cs="Public Sans"/>
        </w:rPr>
        <w:t xml:space="preserve">- One advantage to using either a cloud-based or </w:t>
      </w:r>
      <w:proofErr w:type="gramStart"/>
      <w:r>
        <w:rPr>
          <w:rFonts w:ascii="Public Sans" w:eastAsia="Public Sans" w:hAnsi="Public Sans" w:cs="Public Sans"/>
        </w:rPr>
        <w:t>on-premise</w:t>
      </w:r>
      <w:proofErr w:type="gramEnd"/>
      <w:r>
        <w:rPr>
          <w:rFonts w:ascii="Public Sans" w:eastAsia="Public Sans" w:hAnsi="Public Sans" w:cs="Public Sans"/>
        </w:rPr>
        <w:t xml:space="preserve"> </w:t>
      </w:r>
      <w:proofErr w:type="spellStart"/>
      <w:r>
        <w:rPr>
          <w:rFonts w:ascii="Public Sans" w:eastAsia="Public Sans" w:hAnsi="Public Sans" w:cs="Public Sans"/>
        </w:rPr>
        <w:t>SSOn</w:t>
      </w:r>
      <w:proofErr w:type="spellEnd"/>
      <w:r>
        <w:rPr>
          <w:rFonts w:ascii="Public Sans" w:eastAsia="Public Sans" w:hAnsi="Public Sans" w:cs="Public Sans"/>
        </w:rPr>
        <w:t xml:space="preserve"> tool is that most support </w:t>
      </w:r>
      <w:proofErr w:type="spellStart"/>
      <w:r>
        <w:rPr>
          <w:rFonts w:ascii="Public Sans" w:eastAsia="Public Sans" w:hAnsi="Public Sans" w:cs="Public Sans"/>
        </w:rPr>
        <w:t>moden</w:t>
      </w:r>
      <w:proofErr w:type="spellEnd"/>
      <w:r>
        <w:rPr>
          <w:rFonts w:ascii="Public Sans" w:eastAsia="Public Sans" w:hAnsi="Public Sans" w:cs="Public Sans"/>
        </w:rPr>
        <w:t xml:space="preserve"> assertion </w:t>
      </w:r>
      <w:r>
        <w:rPr>
          <w:rFonts w:ascii="Public Sans" w:eastAsia="Public Sans" w:hAnsi="Public Sans" w:cs="Public Sans"/>
        </w:rPr>
        <w:t>protocols to act as an authentication broker. This also means the ability to share identity attributes using an assertion protocol like Security Assertion Markup Language or Open ID Connect.</w:t>
      </w:r>
    </w:p>
    <w:p w14:paraId="68DE7657" w14:textId="77777777" w:rsidR="00080BDC" w:rsidRDefault="00080BDC">
      <w:pPr>
        <w:spacing w:line="360" w:lineRule="auto"/>
      </w:pPr>
    </w:p>
    <w:tbl>
      <w:tblPr>
        <w:tblStyle w:val="ad"/>
        <w:tblW w:w="9270" w:type="dxa"/>
        <w:tblLayout w:type="fixed"/>
        <w:tblLook w:val="0600" w:firstRow="0" w:lastRow="0" w:firstColumn="0" w:lastColumn="0" w:noHBand="1" w:noVBand="1"/>
      </w:tblPr>
      <w:tblGrid>
        <w:gridCol w:w="9270"/>
      </w:tblGrid>
      <w:tr w:rsidR="00E91E4A" w14:paraId="5205D82B" w14:textId="77777777" w:rsidTr="00E91E4A">
        <w:tc>
          <w:tcPr>
            <w:tcW w:w="9270" w:type="dxa"/>
            <w:tcBorders>
              <w:top w:val="nil"/>
              <w:left w:val="nil"/>
              <w:bottom w:val="nil"/>
              <w:right w:val="nil"/>
            </w:tcBorders>
            <w:shd w:val="clear" w:color="auto" w:fill="E1F3F8"/>
            <w:tcMar>
              <w:top w:w="144" w:type="dxa"/>
              <w:left w:w="144" w:type="dxa"/>
              <w:bottom w:w="144" w:type="dxa"/>
              <w:right w:w="144" w:type="dxa"/>
            </w:tcMar>
            <w:vAlign w:val="center"/>
          </w:tcPr>
          <w:p w14:paraId="396ECFFB" w14:textId="77777777" w:rsidR="00080BDC" w:rsidRDefault="00D7526C">
            <w:pPr>
              <w:spacing w:line="360" w:lineRule="auto"/>
              <w:rPr>
                <w:rFonts w:ascii="Public Sans" w:eastAsia="Public Sans" w:hAnsi="Public Sans" w:cs="Public Sans"/>
                <w:b/>
              </w:rPr>
            </w:pPr>
            <w:r>
              <w:rPr>
                <w:rFonts w:ascii="Public Sans" w:eastAsia="Public Sans" w:hAnsi="Public Sans" w:cs="Public Sans"/>
                <w:b/>
              </w:rPr>
              <w:t>Case Study - Trust Frameworks in Action</w:t>
            </w:r>
          </w:p>
          <w:p w14:paraId="6B2DAAFF" w14:textId="77777777" w:rsidR="00080BDC" w:rsidRDefault="00D7526C" w:rsidP="00E91E4A">
            <w:pPr>
              <w:spacing w:after="120" w:line="360" w:lineRule="auto"/>
              <w:rPr>
                <w:rFonts w:ascii="Public Sans" w:eastAsia="Public Sans" w:hAnsi="Public Sans" w:cs="Public Sans"/>
                <w:b/>
              </w:rPr>
            </w:pPr>
            <w:r>
              <w:rPr>
                <w:rFonts w:ascii="Public Sans" w:eastAsia="Public Sans" w:hAnsi="Public Sans" w:cs="Public Sans"/>
              </w:rPr>
              <w:t>The integrity of a Trust</w:t>
            </w:r>
            <w:r>
              <w:rPr>
                <w:rFonts w:ascii="Public Sans" w:eastAsia="Public Sans" w:hAnsi="Public Sans" w:cs="Public Sans"/>
              </w:rPr>
              <w:t xml:space="preserve"> Framework is vital when federating with external identities. The trust framework partners should have governance processes which may include a verified accreditation or audit process to ensure the identity proofing, authenticator, and federation assertion</w:t>
            </w:r>
            <w:r>
              <w:rPr>
                <w:rFonts w:ascii="Public Sans" w:eastAsia="Public Sans" w:hAnsi="Public Sans" w:cs="Public Sans"/>
              </w:rPr>
              <w:t xml:space="preserve"> meets the intent of NIST Special Publication 800-63-3 requirements.  Using a third party audit service provides the additional assurance of secure and compliance </w:t>
            </w:r>
            <w:proofErr w:type="gramStart"/>
            <w:r>
              <w:rPr>
                <w:rFonts w:ascii="Public Sans" w:eastAsia="Public Sans" w:hAnsi="Public Sans" w:cs="Public Sans"/>
              </w:rPr>
              <w:t>operations .</w:t>
            </w:r>
            <w:proofErr w:type="gramEnd"/>
            <w:r>
              <w:rPr>
                <w:rFonts w:ascii="Public Sans" w:eastAsia="Public Sans" w:hAnsi="Public Sans" w:cs="Public Sans"/>
              </w:rPr>
              <w:t xml:space="preserve"> In the context of FedRAMP, this is a </w:t>
            </w:r>
            <w:proofErr w:type="gramStart"/>
            <w:r>
              <w:rPr>
                <w:rFonts w:ascii="Public Sans" w:eastAsia="Public Sans" w:hAnsi="Public Sans" w:cs="Public Sans"/>
              </w:rPr>
              <w:t>third party</w:t>
            </w:r>
            <w:proofErr w:type="gramEnd"/>
            <w:r>
              <w:rPr>
                <w:rFonts w:ascii="Public Sans" w:eastAsia="Public Sans" w:hAnsi="Public Sans" w:cs="Public Sans"/>
              </w:rPr>
              <w:t xml:space="preserve"> assessment organization or an a</w:t>
            </w:r>
            <w:r>
              <w:rPr>
                <w:rFonts w:ascii="Public Sans" w:eastAsia="Public Sans" w:hAnsi="Public Sans" w:cs="Public Sans"/>
              </w:rPr>
              <w:t xml:space="preserve">nnual compliance audit for the Federal Public Key Infrastructure Shared Service Providers. External examples used by federal agencies include the Kantara Initiative or the Health Information Service Provider for </w:t>
            </w:r>
            <w:proofErr w:type="spellStart"/>
            <w:r>
              <w:rPr>
                <w:rFonts w:ascii="Public Sans" w:eastAsia="Public Sans" w:hAnsi="Public Sans" w:cs="Public Sans"/>
              </w:rPr>
              <w:t>DirectTrust</w:t>
            </w:r>
            <w:proofErr w:type="spellEnd"/>
            <w:r>
              <w:rPr>
                <w:rFonts w:ascii="Public Sans" w:eastAsia="Public Sans" w:hAnsi="Public Sans" w:cs="Public Sans"/>
              </w:rPr>
              <w:t>. The Trust Framework requirement</w:t>
            </w:r>
            <w:r>
              <w:rPr>
                <w:rFonts w:ascii="Public Sans" w:eastAsia="Public Sans" w:hAnsi="Public Sans" w:cs="Public Sans"/>
              </w:rPr>
              <w:t>s set the standard for which external digital identities and what NPEs are authorized to agency resources.</w:t>
            </w:r>
          </w:p>
        </w:tc>
      </w:tr>
    </w:tbl>
    <w:p w14:paraId="4542DA3D" w14:textId="77777777" w:rsidR="00080BDC" w:rsidRDefault="00080BDC">
      <w:pPr>
        <w:spacing w:before="7" w:line="360" w:lineRule="auto"/>
        <w:ind w:right="100"/>
      </w:pPr>
    </w:p>
    <w:p w14:paraId="30BB303A" w14:textId="77777777" w:rsidR="00080BDC" w:rsidRDefault="00D7526C">
      <w:pPr>
        <w:spacing w:after="120" w:line="360" w:lineRule="auto"/>
        <w:rPr>
          <w:rFonts w:ascii="Public Sans" w:eastAsia="Public Sans" w:hAnsi="Public Sans" w:cs="Public Sans"/>
        </w:rPr>
      </w:pPr>
      <w:r>
        <w:br w:type="page"/>
      </w:r>
    </w:p>
    <w:p w14:paraId="1835E149" w14:textId="77777777" w:rsidR="00080BDC" w:rsidRDefault="00D7526C">
      <w:pPr>
        <w:pStyle w:val="Heading2"/>
        <w:spacing w:line="360" w:lineRule="auto"/>
        <w:rPr>
          <w:rFonts w:ascii="Public Sans" w:eastAsia="Public Sans" w:hAnsi="Public Sans" w:cs="Public Sans"/>
        </w:rPr>
      </w:pPr>
      <w:bookmarkStart w:id="24" w:name="_v3kzv58ys4tg" w:colFirst="0" w:colLast="0"/>
      <w:bookmarkEnd w:id="24"/>
      <w:r>
        <w:rPr>
          <w:rFonts w:ascii="Public Sans" w:eastAsia="Public Sans" w:hAnsi="Public Sans" w:cs="Public Sans"/>
        </w:rPr>
        <w:lastRenderedPageBreak/>
        <w:t>Step 4. Test and Deploy</w:t>
      </w:r>
    </w:p>
    <w:p w14:paraId="66107A8B"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Before deploying new services or enhancements, test them in a sandbox or production-like environment. Cloud services embe</w:t>
      </w:r>
      <w:r>
        <w:rPr>
          <w:rFonts w:ascii="Public Sans" w:eastAsia="Public Sans" w:hAnsi="Public Sans" w:cs="Public Sans"/>
        </w:rPr>
        <w:t xml:space="preserve">d access based on policies that are machine-readable and executable. Everything a user does in the cloud is policy-based with </w:t>
      </w:r>
      <w:proofErr w:type="gramStart"/>
      <w:r>
        <w:rPr>
          <w:rFonts w:ascii="Public Sans" w:eastAsia="Public Sans" w:hAnsi="Public Sans" w:cs="Public Sans"/>
        </w:rPr>
        <w:t>the majority of</w:t>
      </w:r>
      <w:proofErr w:type="gramEnd"/>
      <w:r>
        <w:rPr>
          <w:rFonts w:ascii="Public Sans" w:eastAsia="Public Sans" w:hAnsi="Public Sans" w:cs="Public Sans"/>
        </w:rPr>
        <w:t xml:space="preserve"> access policies written in JavaScript Object Notation. </w:t>
      </w:r>
      <w:proofErr w:type="gramStart"/>
      <w:r>
        <w:rPr>
          <w:rFonts w:ascii="Public Sans" w:eastAsia="Public Sans" w:hAnsi="Public Sans" w:cs="Public Sans"/>
        </w:rPr>
        <w:t>Open source</w:t>
      </w:r>
      <w:proofErr w:type="gramEnd"/>
      <w:r>
        <w:rPr>
          <w:rFonts w:ascii="Public Sans" w:eastAsia="Public Sans" w:hAnsi="Public Sans" w:cs="Public Sans"/>
        </w:rPr>
        <w:t xml:space="preserve"> tools are available to test policy changes befo</w:t>
      </w:r>
      <w:r>
        <w:rPr>
          <w:rFonts w:ascii="Public Sans" w:eastAsia="Public Sans" w:hAnsi="Public Sans" w:cs="Public Sans"/>
        </w:rPr>
        <w:t>re they are implemented in a production environment.</w:t>
      </w:r>
    </w:p>
    <w:p w14:paraId="213A1C36" w14:textId="77777777" w:rsidR="00080BDC" w:rsidRDefault="00080BDC">
      <w:pPr>
        <w:spacing w:after="120" w:line="360" w:lineRule="auto"/>
        <w:rPr>
          <w:rFonts w:ascii="Public Sans" w:eastAsia="Public Sans" w:hAnsi="Public Sans" w:cs="Public Sans"/>
        </w:rPr>
      </w:pPr>
    </w:p>
    <w:p w14:paraId="4D5904CE" w14:textId="77777777" w:rsidR="00080BDC" w:rsidRDefault="00D7526C">
      <w:pPr>
        <w:pStyle w:val="Heading3"/>
        <w:spacing w:line="360" w:lineRule="auto"/>
        <w:rPr>
          <w:rFonts w:ascii="Public Sans" w:eastAsia="Public Sans" w:hAnsi="Public Sans" w:cs="Public Sans"/>
          <w:sz w:val="26"/>
          <w:szCs w:val="26"/>
        </w:rPr>
      </w:pPr>
      <w:bookmarkStart w:id="25" w:name="_g194ega3bkx4" w:colFirst="0" w:colLast="0"/>
      <w:bookmarkEnd w:id="25"/>
      <w:r>
        <w:rPr>
          <w:rFonts w:ascii="Public Sans" w:eastAsia="Public Sans" w:hAnsi="Public Sans" w:cs="Public Sans"/>
          <w:sz w:val="26"/>
          <w:szCs w:val="26"/>
        </w:rPr>
        <w:t>Test and Deploy Cloud Identities</w:t>
      </w:r>
    </w:p>
    <w:p w14:paraId="6B1A2DB9"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Testing ICAM changes follow a similar pattern between </w:t>
      </w:r>
      <w:proofErr w:type="gramStart"/>
      <w:r>
        <w:rPr>
          <w:rFonts w:ascii="Public Sans" w:eastAsia="Public Sans" w:hAnsi="Public Sans" w:cs="Public Sans"/>
        </w:rPr>
        <w:t>on-premise</w:t>
      </w:r>
      <w:proofErr w:type="gramEnd"/>
      <w:r>
        <w:rPr>
          <w:rFonts w:ascii="Public Sans" w:eastAsia="Public Sans" w:hAnsi="Public Sans" w:cs="Public Sans"/>
        </w:rPr>
        <w:t xml:space="preserve"> components and cloud components except with a focus on leveraging automation.</w:t>
      </w:r>
    </w:p>
    <w:p w14:paraId="6658F8B5" w14:textId="77777777" w:rsidR="00080BDC" w:rsidRDefault="00D7526C">
      <w:pPr>
        <w:numPr>
          <w:ilvl w:val="0"/>
          <w:numId w:val="8"/>
        </w:numPr>
        <w:spacing w:line="360" w:lineRule="auto"/>
        <w:rPr>
          <w:rFonts w:ascii="Public Sans" w:eastAsia="Public Sans" w:hAnsi="Public Sans" w:cs="Public Sans"/>
        </w:rPr>
      </w:pPr>
      <w:r>
        <w:rPr>
          <w:rFonts w:ascii="Public Sans" w:eastAsia="Public Sans" w:hAnsi="Public Sans" w:cs="Public Sans"/>
          <w:b/>
        </w:rPr>
        <w:t>Document existing process</w:t>
      </w:r>
      <w:r>
        <w:rPr>
          <w:rFonts w:ascii="Public Sans" w:eastAsia="Public Sans" w:hAnsi="Public Sans" w:cs="Public Sans"/>
        </w:rPr>
        <w:t xml:space="preserve"> - Document the existing process to include the actions and outcomes from a user perspective. This may follow a similar structure as the use case example provided in </w:t>
      </w:r>
      <w:hyperlink w:anchor="_i3igxeja6brx">
        <w:r>
          <w:rPr>
            <w:rFonts w:ascii="Public Sans" w:eastAsia="Public Sans" w:hAnsi="Public Sans" w:cs="Public Sans"/>
            <w:color w:val="1155CC"/>
            <w:u w:val="single"/>
          </w:rPr>
          <w:t>step 1</w:t>
        </w:r>
      </w:hyperlink>
      <w:r>
        <w:rPr>
          <w:rFonts w:ascii="Public Sans" w:eastAsia="Public Sans" w:hAnsi="Public Sans" w:cs="Public Sans"/>
        </w:rPr>
        <w:t>.</w:t>
      </w:r>
    </w:p>
    <w:p w14:paraId="7E4A242C" w14:textId="77777777" w:rsidR="00080BDC" w:rsidRDefault="00D7526C">
      <w:pPr>
        <w:numPr>
          <w:ilvl w:val="0"/>
          <w:numId w:val="8"/>
        </w:numPr>
        <w:spacing w:line="360" w:lineRule="auto"/>
        <w:rPr>
          <w:rFonts w:ascii="Public Sans" w:eastAsia="Public Sans" w:hAnsi="Public Sans" w:cs="Public Sans"/>
        </w:rPr>
      </w:pPr>
      <w:r>
        <w:rPr>
          <w:rFonts w:ascii="Public Sans" w:eastAsia="Public Sans" w:hAnsi="Public Sans" w:cs="Public Sans"/>
          <w:b/>
        </w:rPr>
        <w:t>Review process workflow</w:t>
      </w:r>
      <w:r>
        <w:rPr>
          <w:rFonts w:ascii="Public Sans" w:eastAsia="Public Sans" w:hAnsi="Public Sans" w:cs="Public Sans"/>
        </w:rPr>
        <w:t xml:space="preserve"> - This includes identi</w:t>
      </w:r>
      <w:r>
        <w:rPr>
          <w:rFonts w:ascii="Public Sans" w:eastAsia="Public Sans" w:hAnsi="Public Sans" w:cs="Public Sans"/>
        </w:rPr>
        <w:t>fying the unique steps to achieve the outcome.</w:t>
      </w:r>
    </w:p>
    <w:p w14:paraId="7D5AA5D0" w14:textId="77777777" w:rsidR="00080BDC" w:rsidRDefault="00D7526C">
      <w:pPr>
        <w:numPr>
          <w:ilvl w:val="0"/>
          <w:numId w:val="8"/>
        </w:numPr>
        <w:spacing w:line="360" w:lineRule="auto"/>
        <w:rPr>
          <w:rFonts w:ascii="Public Sans" w:eastAsia="Public Sans" w:hAnsi="Public Sans" w:cs="Public Sans"/>
        </w:rPr>
      </w:pPr>
      <w:r>
        <w:rPr>
          <w:rFonts w:ascii="Public Sans" w:eastAsia="Public Sans" w:hAnsi="Public Sans" w:cs="Public Sans"/>
          <w:b/>
        </w:rPr>
        <w:t>Identify challenge(s)/pain point(s)</w:t>
      </w:r>
      <w:r>
        <w:rPr>
          <w:rFonts w:ascii="Public Sans" w:eastAsia="Public Sans" w:hAnsi="Public Sans" w:cs="Public Sans"/>
        </w:rPr>
        <w:t xml:space="preserve"> - Every process has some obstacle or barrier to achieving the outcome. In the user story example, the intermediate steps to login include selecting an authenticator and inpu</w:t>
      </w:r>
      <w:r>
        <w:rPr>
          <w:rFonts w:ascii="Public Sans" w:eastAsia="Public Sans" w:hAnsi="Public Sans" w:cs="Public Sans"/>
        </w:rPr>
        <w:t>tting authenticator information. Those can be seen as necessary obstacles to achieving the outcome.</w:t>
      </w:r>
    </w:p>
    <w:p w14:paraId="19982A41" w14:textId="77777777" w:rsidR="00080BDC" w:rsidRDefault="00D7526C">
      <w:pPr>
        <w:numPr>
          <w:ilvl w:val="0"/>
          <w:numId w:val="8"/>
        </w:numPr>
        <w:spacing w:line="360" w:lineRule="auto"/>
        <w:rPr>
          <w:rFonts w:ascii="Public Sans" w:eastAsia="Public Sans" w:hAnsi="Public Sans" w:cs="Public Sans"/>
        </w:rPr>
      </w:pPr>
      <w:r>
        <w:rPr>
          <w:rFonts w:ascii="Public Sans" w:eastAsia="Public Sans" w:hAnsi="Public Sans" w:cs="Public Sans"/>
          <w:b/>
        </w:rPr>
        <w:t>Update workflow with desired outcome</w:t>
      </w:r>
      <w:r>
        <w:rPr>
          <w:rFonts w:ascii="Public Sans" w:eastAsia="Public Sans" w:hAnsi="Public Sans" w:cs="Public Sans"/>
        </w:rPr>
        <w:t xml:space="preserve"> - The desired outcome is accomplishing the goal with as little obstacles as possible. In our previous example of loggin</w:t>
      </w:r>
      <w:r>
        <w:rPr>
          <w:rFonts w:ascii="Public Sans" w:eastAsia="Public Sans" w:hAnsi="Public Sans" w:cs="Public Sans"/>
        </w:rPr>
        <w:t xml:space="preserve">g in, is there a way to maintain security while improving the user experience? Potential options may include </w:t>
      </w:r>
      <w:proofErr w:type="spellStart"/>
      <w:r>
        <w:rPr>
          <w:rFonts w:ascii="Public Sans" w:eastAsia="Public Sans" w:hAnsi="Public Sans" w:cs="Public Sans"/>
        </w:rPr>
        <w:t>passwordless</w:t>
      </w:r>
      <w:proofErr w:type="spellEnd"/>
      <w:r>
        <w:rPr>
          <w:rFonts w:ascii="Public Sans" w:eastAsia="Public Sans" w:hAnsi="Public Sans" w:cs="Public Sans"/>
        </w:rPr>
        <w:t xml:space="preserve"> authentication with a push notification or a </w:t>
      </w:r>
      <w:proofErr w:type="spellStart"/>
      <w:r>
        <w:rPr>
          <w:rFonts w:ascii="Public Sans" w:eastAsia="Public Sans" w:hAnsi="Public Sans" w:cs="Public Sans"/>
        </w:rPr>
        <w:t>WebAuthN</w:t>
      </w:r>
      <w:proofErr w:type="spellEnd"/>
      <w:r>
        <w:rPr>
          <w:rFonts w:ascii="Public Sans" w:eastAsia="Public Sans" w:hAnsi="Public Sans" w:cs="Public Sans"/>
        </w:rPr>
        <w:t xml:space="preserve"> request.</w:t>
      </w:r>
    </w:p>
    <w:p w14:paraId="7D99C5AB" w14:textId="77777777" w:rsidR="00080BDC" w:rsidRDefault="00D7526C">
      <w:pPr>
        <w:numPr>
          <w:ilvl w:val="0"/>
          <w:numId w:val="8"/>
        </w:numPr>
        <w:spacing w:after="120" w:line="360" w:lineRule="auto"/>
        <w:rPr>
          <w:rFonts w:ascii="Public Sans" w:eastAsia="Public Sans" w:hAnsi="Public Sans" w:cs="Public Sans"/>
        </w:rPr>
      </w:pPr>
      <w:r>
        <w:rPr>
          <w:rFonts w:ascii="Public Sans" w:eastAsia="Public Sans" w:hAnsi="Public Sans" w:cs="Public Sans"/>
          <w:b/>
        </w:rPr>
        <w:t>Implement workflow</w:t>
      </w:r>
      <w:r>
        <w:rPr>
          <w:rFonts w:ascii="Public Sans" w:eastAsia="Public Sans" w:hAnsi="Public Sans" w:cs="Public Sans"/>
        </w:rPr>
        <w:t xml:space="preserve"> - After an optimal workflow is found, it is time to </w:t>
      </w:r>
      <w:r>
        <w:rPr>
          <w:rFonts w:ascii="Public Sans" w:eastAsia="Public Sans" w:hAnsi="Public Sans" w:cs="Public Sans"/>
        </w:rPr>
        <w:t xml:space="preserve">test and implement it. When testing, choose a small population that does not include all </w:t>
      </w:r>
      <w:proofErr w:type="gramStart"/>
      <w:r>
        <w:rPr>
          <w:rFonts w:ascii="Public Sans" w:eastAsia="Public Sans" w:hAnsi="Public Sans" w:cs="Public Sans"/>
        </w:rPr>
        <w:t>administrators</w:t>
      </w:r>
      <w:proofErr w:type="gramEnd"/>
      <w:r>
        <w:rPr>
          <w:rFonts w:ascii="Public Sans" w:eastAsia="Public Sans" w:hAnsi="Public Sans" w:cs="Public Sans"/>
        </w:rPr>
        <w:t xml:space="preserve"> so you are not locked out of your environment.</w:t>
      </w:r>
    </w:p>
    <w:p w14:paraId="0F412AF5" w14:textId="77777777" w:rsidR="00080BDC" w:rsidRDefault="00080BDC">
      <w:pPr>
        <w:spacing w:after="120" w:line="360" w:lineRule="auto"/>
        <w:rPr>
          <w:rFonts w:ascii="Public Sans" w:eastAsia="Public Sans" w:hAnsi="Public Sans" w:cs="Public Sans"/>
        </w:rPr>
      </w:pPr>
    </w:p>
    <w:p w14:paraId="5219B9F7" w14:textId="77777777" w:rsidR="00080BDC" w:rsidRDefault="00D7526C">
      <w:pPr>
        <w:pStyle w:val="Heading3"/>
        <w:spacing w:line="360" w:lineRule="auto"/>
        <w:rPr>
          <w:rFonts w:ascii="Public Sans" w:eastAsia="Public Sans" w:hAnsi="Public Sans" w:cs="Public Sans"/>
          <w:sz w:val="26"/>
          <w:szCs w:val="26"/>
        </w:rPr>
      </w:pPr>
      <w:bookmarkStart w:id="26" w:name="_tx117iykl2t2" w:colFirst="0" w:colLast="0"/>
      <w:bookmarkEnd w:id="26"/>
      <w:r>
        <w:rPr>
          <w:rFonts w:ascii="Public Sans" w:eastAsia="Public Sans" w:hAnsi="Public Sans" w:cs="Public Sans"/>
          <w:sz w:val="26"/>
          <w:szCs w:val="26"/>
        </w:rPr>
        <w:t xml:space="preserve">Integrate ICAM into </w:t>
      </w:r>
      <w:proofErr w:type="spellStart"/>
      <w:r>
        <w:rPr>
          <w:rFonts w:ascii="Public Sans" w:eastAsia="Public Sans" w:hAnsi="Public Sans" w:cs="Public Sans"/>
          <w:sz w:val="26"/>
          <w:szCs w:val="26"/>
        </w:rPr>
        <w:t>DevSecOps</w:t>
      </w:r>
      <w:proofErr w:type="spellEnd"/>
    </w:p>
    <w:p w14:paraId="40002514"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DevOps is a term that emerged a few years ago to express how integrated te</w:t>
      </w:r>
      <w:r>
        <w:rPr>
          <w:rFonts w:ascii="Public Sans" w:eastAsia="Public Sans" w:hAnsi="Public Sans" w:cs="Public Sans"/>
        </w:rPr>
        <w:t xml:space="preserve">ams of </w:t>
      </w:r>
      <w:r>
        <w:rPr>
          <w:rFonts w:ascii="Public Sans" w:eastAsia="Public Sans" w:hAnsi="Public Sans" w:cs="Public Sans"/>
        </w:rPr>
        <w:lastRenderedPageBreak/>
        <w:t xml:space="preserve">developers and system operators could work together to streamline the process of developing, testing, </w:t>
      </w:r>
      <w:proofErr w:type="gramStart"/>
      <w:r>
        <w:rPr>
          <w:rFonts w:ascii="Public Sans" w:eastAsia="Public Sans" w:hAnsi="Public Sans" w:cs="Public Sans"/>
        </w:rPr>
        <w:t>deploying</w:t>
      </w:r>
      <w:proofErr w:type="gramEnd"/>
      <w:r>
        <w:rPr>
          <w:rFonts w:ascii="Public Sans" w:eastAsia="Public Sans" w:hAnsi="Public Sans" w:cs="Public Sans"/>
        </w:rPr>
        <w:t xml:space="preserve"> and operating at the speed of business. The ability to move through those cycles rapidly is also called the Continuous Integration/Contin</w:t>
      </w:r>
      <w:r>
        <w:rPr>
          <w:rFonts w:ascii="Public Sans" w:eastAsia="Public Sans" w:hAnsi="Public Sans" w:cs="Public Sans"/>
        </w:rPr>
        <w:t xml:space="preserve">uous Delivery pipeline. This is necessarily a cross-functional </w:t>
      </w:r>
      <w:proofErr w:type="gramStart"/>
      <w:r>
        <w:rPr>
          <w:rFonts w:ascii="Public Sans" w:eastAsia="Public Sans" w:hAnsi="Public Sans" w:cs="Public Sans"/>
        </w:rPr>
        <w:t>effort</w:t>
      </w:r>
      <w:proofErr w:type="gramEnd"/>
      <w:r>
        <w:rPr>
          <w:rFonts w:ascii="Public Sans" w:eastAsia="Public Sans" w:hAnsi="Public Sans" w:cs="Public Sans"/>
        </w:rPr>
        <w:t xml:space="preserve"> and the adoption of cloud services has accelerated this process. </w:t>
      </w:r>
    </w:p>
    <w:p w14:paraId="609B3CC4"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Since the goal of the DevOps team is to get software operating in production quicker, security considerations are often </w:t>
      </w:r>
      <w:r>
        <w:rPr>
          <w:rFonts w:ascii="Public Sans" w:eastAsia="Public Sans" w:hAnsi="Public Sans" w:cs="Public Sans"/>
        </w:rPr>
        <w:t>more focused on the operational environment rather than the tools or the pipeline that is used to deploy the software. In high velocity environments the things that can be attacked by an adversary (aka the attack surface) may change constantly and this can</w:t>
      </w:r>
      <w:r>
        <w:rPr>
          <w:rFonts w:ascii="Public Sans" w:eastAsia="Public Sans" w:hAnsi="Public Sans" w:cs="Public Sans"/>
        </w:rPr>
        <w:t xml:space="preserve"> put the organization at extreme risk as seen in the latest </w:t>
      </w:r>
      <w:proofErr w:type="spellStart"/>
      <w:r>
        <w:rPr>
          <w:rFonts w:ascii="Public Sans" w:eastAsia="Public Sans" w:hAnsi="Public Sans" w:cs="Public Sans"/>
        </w:rPr>
        <w:t>Solarwinds</w:t>
      </w:r>
      <w:proofErr w:type="spellEnd"/>
      <w:r>
        <w:rPr>
          <w:rFonts w:ascii="Public Sans" w:eastAsia="Public Sans" w:hAnsi="Public Sans" w:cs="Public Sans"/>
        </w:rPr>
        <w:t xml:space="preserve"> hack. Follow these recommended best practices to integrate ICAM into </w:t>
      </w:r>
      <w:proofErr w:type="spellStart"/>
      <w:r>
        <w:rPr>
          <w:rFonts w:ascii="Public Sans" w:eastAsia="Public Sans" w:hAnsi="Public Sans" w:cs="Public Sans"/>
        </w:rPr>
        <w:t>DevSecOps</w:t>
      </w:r>
      <w:proofErr w:type="spellEnd"/>
      <w:r>
        <w:rPr>
          <w:rFonts w:ascii="Public Sans" w:eastAsia="Public Sans" w:hAnsi="Public Sans" w:cs="Public Sans"/>
        </w:rPr>
        <w:t>.</w:t>
      </w:r>
    </w:p>
    <w:p w14:paraId="3E771680" w14:textId="77777777" w:rsidR="00080BDC" w:rsidRDefault="00D7526C">
      <w:pPr>
        <w:numPr>
          <w:ilvl w:val="0"/>
          <w:numId w:val="16"/>
        </w:numPr>
        <w:spacing w:line="360" w:lineRule="auto"/>
        <w:rPr>
          <w:rFonts w:ascii="Public Sans" w:eastAsia="Public Sans" w:hAnsi="Public Sans" w:cs="Public Sans"/>
        </w:rPr>
      </w:pPr>
      <w:r>
        <w:rPr>
          <w:rFonts w:ascii="Public Sans" w:eastAsia="Public Sans" w:hAnsi="Public Sans" w:cs="Public Sans"/>
          <w:b/>
        </w:rPr>
        <w:t>Manage DevOps Keys and Secrets</w:t>
      </w:r>
      <w:r>
        <w:rPr>
          <w:rFonts w:ascii="Public Sans" w:eastAsia="Public Sans" w:hAnsi="Public Sans" w:cs="Public Sans"/>
        </w:rPr>
        <w:t xml:space="preserve"> - The increased use of code to configure infrastructure places a greater d</w:t>
      </w:r>
      <w:r>
        <w:rPr>
          <w:rFonts w:ascii="Public Sans" w:eastAsia="Public Sans" w:hAnsi="Public Sans" w:cs="Public Sans"/>
        </w:rPr>
        <w:t>emand on ensuring that the secrets that are used in these environments are well managed. Access tools can provide several mechanisms to help in this regard but there may be then need for other tools, specifically Certificate Management tools and Applicatio</w:t>
      </w:r>
      <w:r>
        <w:rPr>
          <w:rFonts w:ascii="Public Sans" w:eastAsia="Public Sans" w:hAnsi="Public Sans" w:cs="Public Sans"/>
        </w:rPr>
        <w:t xml:space="preserve">n Programming Interface management tools that will be necessary as configuration of cloud environments becomes more highly automated. The total code and configuration </w:t>
      </w:r>
      <w:proofErr w:type="gramStart"/>
      <w:r>
        <w:rPr>
          <w:rFonts w:ascii="Public Sans" w:eastAsia="Public Sans" w:hAnsi="Public Sans" w:cs="Public Sans"/>
        </w:rPr>
        <w:t>needs</w:t>
      </w:r>
      <w:proofErr w:type="gramEnd"/>
      <w:r>
        <w:rPr>
          <w:rFonts w:ascii="Public Sans" w:eastAsia="Public Sans" w:hAnsi="Public Sans" w:cs="Public Sans"/>
        </w:rPr>
        <w:t xml:space="preserve"> to be packaged as a configuration item so that the entire content of a delivery can</w:t>
      </w:r>
      <w:r>
        <w:rPr>
          <w:rFonts w:ascii="Public Sans" w:eastAsia="Public Sans" w:hAnsi="Public Sans" w:cs="Public Sans"/>
        </w:rPr>
        <w:t xml:space="preserve"> be known and tracked in operation.</w:t>
      </w:r>
    </w:p>
    <w:p w14:paraId="79A70A88" w14:textId="77777777" w:rsidR="00080BDC" w:rsidRDefault="00D7526C">
      <w:pPr>
        <w:numPr>
          <w:ilvl w:val="0"/>
          <w:numId w:val="16"/>
        </w:numPr>
        <w:spacing w:line="360" w:lineRule="auto"/>
        <w:rPr>
          <w:rFonts w:ascii="Public Sans" w:eastAsia="Public Sans" w:hAnsi="Public Sans" w:cs="Public Sans"/>
        </w:rPr>
      </w:pPr>
      <w:r>
        <w:rPr>
          <w:rFonts w:ascii="Public Sans" w:eastAsia="Public Sans" w:hAnsi="Public Sans" w:cs="Public Sans"/>
          <w:b/>
        </w:rPr>
        <w:t>Implement Custom Admin Roles for Separation of Duties</w:t>
      </w:r>
      <w:r>
        <w:rPr>
          <w:rFonts w:ascii="Public Sans" w:eastAsia="Public Sans" w:hAnsi="Public Sans" w:cs="Public Sans"/>
        </w:rPr>
        <w:t xml:space="preserve"> - Deployment engineers will likely have access to systems at administrator level and these entitlements need to ensure that separation of duties is employed. The ICAM</w:t>
      </w:r>
      <w:r>
        <w:rPr>
          <w:rFonts w:ascii="Public Sans" w:eastAsia="Public Sans" w:hAnsi="Public Sans" w:cs="Public Sans"/>
        </w:rPr>
        <w:t xml:space="preserve"> system can be configured such that separations enforce that an individual that deploys the database does not have access to change the operational data IN the database but can only manage the database itself.</w:t>
      </w:r>
    </w:p>
    <w:p w14:paraId="184C020A" w14:textId="77777777" w:rsidR="00080BDC" w:rsidRDefault="00D7526C">
      <w:pPr>
        <w:numPr>
          <w:ilvl w:val="0"/>
          <w:numId w:val="16"/>
        </w:numPr>
        <w:spacing w:line="360" w:lineRule="auto"/>
        <w:rPr>
          <w:rFonts w:ascii="Public Sans" w:eastAsia="Public Sans" w:hAnsi="Public Sans" w:cs="Public Sans"/>
        </w:rPr>
      </w:pPr>
      <w:r>
        <w:rPr>
          <w:rFonts w:ascii="Public Sans" w:eastAsia="Public Sans" w:hAnsi="Public Sans" w:cs="Public Sans"/>
          <w:b/>
        </w:rPr>
        <w:t>Create Unique Credentials</w:t>
      </w:r>
      <w:r>
        <w:rPr>
          <w:rFonts w:ascii="Public Sans" w:eastAsia="Public Sans" w:hAnsi="Public Sans" w:cs="Public Sans"/>
        </w:rPr>
        <w:t xml:space="preserve"> - To ease the burden</w:t>
      </w:r>
      <w:r>
        <w:rPr>
          <w:rFonts w:ascii="Public Sans" w:eastAsia="Public Sans" w:hAnsi="Public Sans" w:cs="Public Sans"/>
        </w:rPr>
        <w:t xml:space="preserve"> of manually managing credentials, they are often reused across projects and across team functions (</w:t>
      </w:r>
      <w:proofErr w:type="gramStart"/>
      <w:r>
        <w:rPr>
          <w:rFonts w:ascii="Public Sans" w:eastAsia="Public Sans" w:hAnsi="Public Sans" w:cs="Public Sans"/>
        </w:rPr>
        <w:t>e.g.</w:t>
      </w:r>
      <w:proofErr w:type="gramEnd"/>
      <w:r>
        <w:rPr>
          <w:rFonts w:ascii="Public Sans" w:eastAsia="Public Sans" w:hAnsi="Public Sans" w:cs="Public Sans"/>
        </w:rPr>
        <w:t xml:space="preserve"> This is our lab password). This enables one stolen credential to be able to be used over and over for other purposes. Practice production security prac</w:t>
      </w:r>
      <w:r>
        <w:rPr>
          <w:rFonts w:ascii="Public Sans" w:eastAsia="Public Sans" w:hAnsi="Public Sans" w:cs="Public Sans"/>
        </w:rPr>
        <w:t>tices in your test environments.</w:t>
      </w:r>
    </w:p>
    <w:p w14:paraId="36F6EC36" w14:textId="77777777" w:rsidR="00080BDC" w:rsidRDefault="00D7526C">
      <w:pPr>
        <w:numPr>
          <w:ilvl w:val="0"/>
          <w:numId w:val="16"/>
        </w:numPr>
        <w:spacing w:after="120" w:line="360" w:lineRule="auto"/>
        <w:rPr>
          <w:rFonts w:ascii="Public Sans" w:eastAsia="Public Sans" w:hAnsi="Public Sans" w:cs="Public Sans"/>
        </w:rPr>
      </w:pPr>
      <w:r>
        <w:rPr>
          <w:rFonts w:ascii="Public Sans" w:eastAsia="Public Sans" w:hAnsi="Public Sans" w:cs="Public Sans"/>
          <w:b/>
        </w:rPr>
        <w:t>Manage Programmatic Access</w:t>
      </w:r>
      <w:r>
        <w:rPr>
          <w:rFonts w:ascii="Public Sans" w:eastAsia="Public Sans" w:hAnsi="Public Sans" w:cs="Public Sans"/>
        </w:rPr>
        <w:t xml:space="preserve"> - Extend inventory of devices to those in the pipeline, including DEV, TEST, and STAGING environments and inventory all the tools that </w:t>
      </w:r>
      <w:r>
        <w:rPr>
          <w:rFonts w:ascii="Public Sans" w:eastAsia="Public Sans" w:hAnsi="Public Sans" w:cs="Public Sans"/>
        </w:rPr>
        <w:lastRenderedPageBreak/>
        <w:t xml:space="preserve">have programmatic access to the pipeline as well as who owns </w:t>
      </w:r>
      <w:r>
        <w:rPr>
          <w:rFonts w:ascii="Public Sans" w:eastAsia="Public Sans" w:hAnsi="Public Sans" w:cs="Public Sans"/>
        </w:rPr>
        <w:t>these components.</w:t>
      </w:r>
    </w:p>
    <w:p w14:paraId="39D09E65" w14:textId="77777777" w:rsidR="00080BDC" w:rsidRDefault="00D7526C">
      <w:pPr>
        <w:spacing w:after="120" w:line="360" w:lineRule="auto"/>
        <w:rPr>
          <w:rFonts w:ascii="Public Sans" w:eastAsia="Public Sans" w:hAnsi="Public Sans" w:cs="Public Sans"/>
        </w:rPr>
      </w:pPr>
      <w:r>
        <w:rPr>
          <w:rFonts w:ascii="Public Sans" w:eastAsia="Public Sans" w:hAnsi="Public Sans" w:cs="Public Sans"/>
        </w:rPr>
        <w:t xml:space="preserve">See the </w:t>
      </w:r>
      <w:hyperlink r:id="rId41">
        <w:r>
          <w:rPr>
            <w:rFonts w:ascii="Public Sans" w:eastAsia="Public Sans" w:hAnsi="Public Sans" w:cs="Public Sans"/>
            <w:color w:val="1155CC"/>
            <w:u w:val="single"/>
          </w:rPr>
          <w:t>GSA Guide</w:t>
        </w:r>
      </w:hyperlink>
      <w:r>
        <w:rPr>
          <w:rFonts w:ascii="Public Sans" w:eastAsia="Public Sans" w:hAnsi="Public Sans" w:cs="Public Sans"/>
        </w:rPr>
        <w:t xml:space="preserve"> on </w:t>
      </w:r>
      <w:proofErr w:type="spellStart"/>
      <w:r>
        <w:rPr>
          <w:rFonts w:ascii="Public Sans" w:eastAsia="Public Sans" w:hAnsi="Public Sans" w:cs="Public Sans"/>
        </w:rPr>
        <w:t>DevSecOps</w:t>
      </w:r>
      <w:proofErr w:type="spellEnd"/>
      <w:r>
        <w:rPr>
          <w:rFonts w:ascii="Public Sans" w:eastAsia="Public Sans" w:hAnsi="Public Sans" w:cs="Public Sans"/>
        </w:rPr>
        <w:t xml:space="preserve"> for more information.</w:t>
      </w:r>
    </w:p>
    <w:p w14:paraId="13596D2C" w14:textId="77777777" w:rsidR="00080BDC" w:rsidRDefault="00080BDC">
      <w:pPr>
        <w:spacing w:after="120" w:line="360" w:lineRule="auto"/>
        <w:rPr>
          <w:rFonts w:ascii="Public Sans" w:eastAsia="Public Sans" w:hAnsi="Public Sans" w:cs="Public Sans"/>
        </w:rPr>
      </w:pPr>
    </w:p>
    <w:p w14:paraId="68BDFAB6" w14:textId="77777777" w:rsidR="00080BDC" w:rsidRDefault="00080BDC">
      <w:pPr>
        <w:spacing w:after="120" w:line="360" w:lineRule="auto"/>
        <w:rPr>
          <w:rFonts w:ascii="Public Sans" w:eastAsia="Public Sans" w:hAnsi="Public Sans" w:cs="Public Sans"/>
        </w:rPr>
      </w:pPr>
    </w:p>
    <w:p w14:paraId="5B480E21" w14:textId="77777777" w:rsidR="00080BDC" w:rsidRDefault="00080BDC">
      <w:pPr>
        <w:pStyle w:val="Heading2"/>
        <w:spacing w:line="360" w:lineRule="auto"/>
        <w:rPr>
          <w:rFonts w:ascii="Public Sans" w:eastAsia="Public Sans" w:hAnsi="Public Sans" w:cs="Public Sans"/>
        </w:rPr>
      </w:pPr>
      <w:bookmarkStart w:id="27" w:name="_q3ekxngd0cj5" w:colFirst="0" w:colLast="0"/>
      <w:bookmarkEnd w:id="27"/>
    </w:p>
    <w:p w14:paraId="7652E50C" w14:textId="77777777" w:rsidR="00080BDC" w:rsidRDefault="00080BDC">
      <w:pPr>
        <w:spacing w:after="120" w:line="360" w:lineRule="auto"/>
        <w:rPr>
          <w:rFonts w:ascii="Public Sans" w:eastAsia="Public Sans" w:hAnsi="Public Sans" w:cs="Public Sans"/>
        </w:rPr>
      </w:pPr>
    </w:p>
    <w:p w14:paraId="6529EE20" w14:textId="77777777" w:rsidR="00080BDC" w:rsidRDefault="00080BDC">
      <w:pPr>
        <w:spacing w:after="120" w:line="360" w:lineRule="auto"/>
        <w:rPr>
          <w:rFonts w:ascii="Public Sans" w:eastAsia="Public Sans" w:hAnsi="Public Sans" w:cs="Public Sans"/>
        </w:rPr>
      </w:pPr>
    </w:p>
    <w:p w14:paraId="14A129B4" w14:textId="77777777" w:rsidR="00080BDC" w:rsidRDefault="00080BDC">
      <w:pPr>
        <w:spacing w:after="120" w:line="360" w:lineRule="auto"/>
        <w:rPr>
          <w:rFonts w:ascii="Public Sans" w:eastAsia="Public Sans" w:hAnsi="Public Sans" w:cs="Public Sans"/>
        </w:rPr>
      </w:pPr>
    </w:p>
    <w:p w14:paraId="05C99D56" w14:textId="77777777" w:rsidR="00080BDC" w:rsidRDefault="00080BDC">
      <w:pPr>
        <w:pStyle w:val="Heading1"/>
        <w:spacing w:line="360" w:lineRule="auto"/>
        <w:rPr>
          <w:rFonts w:ascii="Public Sans" w:eastAsia="Public Sans" w:hAnsi="Public Sans" w:cs="Public Sans"/>
        </w:rPr>
      </w:pPr>
      <w:bookmarkStart w:id="28" w:name="_wnx536uxraup" w:colFirst="0" w:colLast="0"/>
      <w:bookmarkEnd w:id="28"/>
    </w:p>
    <w:p w14:paraId="22A58F89" w14:textId="77777777" w:rsidR="00080BDC" w:rsidRDefault="00080BDC">
      <w:pPr>
        <w:pBdr>
          <w:top w:val="nil"/>
          <w:left w:val="nil"/>
          <w:bottom w:val="nil"/>
          <w:right w:val="nil"/>
          <w:between w:val="nil"/>
        </w:pBdr>
        <w:spacing w:after="120" w:line="360" w:lineRule="auto"/>
        <w:rPr>
          <w:rFonts w:ascii="Public Sans" w:eastAsia="Public Sans" w:hAnsi="Public Sans" w:cs="Public Sans"/>
        </w:rPr>
      </w:pPr>
    </w:p>
    <w:p w14:paraId="44804373" w14:textId="77777777" w:rsidR="00080BDC" w:rsidRDefault="00D7526C">
      <w:pPr>
        <w:pStyle w:val="Heading1"/>
        <w:spacing w:line="360" w:lineRule="auto"/>
        <w:rPr>
          <w:rFonts w:ascii="Public Sans" w:eastAsia="Public Sans" w:hAnsi="Public Sans" w:cs="Public Sans"/>
        </w:rPr>
      </w:pPr>
      <w:bookmarkStart w:id="29" w:name="_mhh51kp6u02g" w:colFirst="0" w:colLast="0"/>
      <w:bookmarkEnd w:id="29"/>
      <w:r>
        <w:br w:type="page"/>
      </w:r>
    </w:p>
    <w:p w14:paraId="07A873F7" w14:textId="77777777" w:rsidR="00080BDC" w:rsidRDefault="00D7526C">
      <w:pPr>
        <w:pStyle w:val="Heading1"/>
        <w:spacing w:line="360" w:lineRule="auto"/>
        <w:rPr>
          <w:rFonts w:ascii="Public Sans" w:eastAsia="Public Sans" w:hAnsi="Public Sans" w:cs="Public Sans"/>
        </w:rPr>
      </w:pPr>
      <w:bookmarkStart w:id="30" w:name="_e3ergpz6whif" w:colFirst="0" w:colLast="0"/>
      <w:bookmarkEnd w:id="30"/>
      <w:r>
        <w:rPr>
          <w:rFonts w:ascii="Public Sans" w:eastAsia="Public Sans" w:hAnsi="Public Sans" w:cs="Public Sans"/>
        </w:rPr>
        <w:lastRenderedPageBreak/>
        <w:t>Appendix A. Policies, Standards, and Guidance</w:t>
      </w:r>
    </w:p>
    <w:p w14:paraId="64756E65" w14:textId="77777777" w:rsidR="00080BDC" w:rsidRDefault="00D7526C">
      <w:pPr>
        <w:pStyle w:val="Heading2"/>
        <w:spacing w:line="360" w:lineRule="auto"/>
        <w:rPr>
          <w:rFonts w:ascii="Public Sans" w:eastAsia="Public Sans" w:hAnsi="Public Sans" w:cs="Public Sans"/>
        </w:rPr>
      </w:pPr>
      <w:bookmarkStart w:id="31" w:name="_elbl78el9tnv" w:colFirst="0" w:colLast="0"/>
      <w:bookmarkEnd w:id="31"/>
      <w:r>
        <w:rPr>
          <w:rFonts w:ascii="Public Sans" w:eastAsia="Public Sans" w:hAnsi="Public Sans" w:cs="Public Sans"/>
        </w:rPr>
        <w:t>Policies</w:t>
      </w:r>
    </w:p>
    <w:p w14:paraId="08190438" w14:textId="77777777" w:rsidR="00080BDC" w:rsidRDefault="00D7526C">
      <w:pPr>
        <w:numPr>
          <w:ilvl w:val="0"/>
          <w:numId w:val="9"/>
        </w:numPr>
        <w:spacing w:line="360" w:lineRule="auto"/>
        <w:rPr>
          <w:rFonts w:ascii="Public Sans" w:eastAsia="Public Sans" w:hAnsi="Public Sans" w:cs="Public Sans"/>
        </w:rPr>
      </w:pPr>
      <w:hyperlink r:id="rId42">
        <w:r>
          <w:rPr>
            <w:rFonts w:ascii="Public Sans" w:eastAsia="Public Sans" w:hAnsi="Public Sans" w:cs="Public Sans"/>
            <w:color w:val="1155CC"/>
            <w:u w:val="single"/>
          </w:rPr>
          <w:t>Executive Order 14028 - Improving the Nation’s Cybersecurity</w:t>
        </w:r>
      </w:hyperlink>
    </w:p>
    <w:p w14:paraId="42C37E8F" w14:textId="77777777" w:rsidR="00080BDC" w:rsidRDefault="00D7526C">
      <w:pPr>
        <w:numPr>
          <w:ilvl w:val="0"/>
          <w:numId w:val="9"/>
        </w:numPr>
        <w:spacing w:line="360" w:lineRule="auto"/>
        <w:rPr>
          <w:rFonts w:ascii="Public Sans" w:eastAsia="Public Sans" w:hAnsi="Public Sans" w:cs="Public Sans"/>
        </w:rPr>
      </w:pPr>
      <w:hyperlink r:id="rId43">
        <w:r>
          <w:rPr>
            <w:rFonts w:ascii="Public Sans" w:eastAsia="Public Sans" w:hAnsi="Public Sans" w:cs="Public Sans"/>
            <w:color w:val="1155CC"/>
            <w:u w:val="single"/>
          </w:rPr>
          <w:t>Federal Cloud Smart Strategy</w:t>
        </w:r>
      </w:hyperlink>
    </w:p>
    <w:p w14:paraId="60DAFFDA" w14:textId="77777777" w:rsidR="00080BDC" w:rsidRDefault="00D7526C">
      <w:pPr>
        <w:numPr>
          <w:ilvl w:val="0"/>
          <w:numId w:val="9"/>
        </w:numPr>
        <w:spacing w:after="120" w:line="360" w:lineRule="auto"/>
        <w:rPr>
          <w:rFonts w:ascii="Public Sans" w:eastAsia="Public Sans" w:hAnsi="Public Sans" w:cs="Public Sans"/>
        </w:rPr>
      </w:pPr>
      <w:hyperlink r:id="rId44">
        <w:r>
          <w:rPr>
            <w:rFonts w:ascii="Public Sans" w:eastAsia="Public Sans" w:hAnsi="Public Sans" w:cs="Public Sans"/>
            <w:color w:val="1155CC"/>
            <w:u w:val="single"/>
          </w:rPr>
          <w:t>Office of Management and Budget Memo 19-17</w:t>
        </w:r>
      </w:hyperlink>
    </w:p>
    <w:p w14:paraId="4C96281C" w14:textId="77777777" w:rsidR="00080BDC" w:rsidRDefault="00080BDC">
      <w:pPr>
        <w:spacing w:after="120" w:line="360" w:lineRule="auto"/>
        <w:ind w:left="720"/>
        <w:rPr>
          <w:rFonts w:ascii="Public Sans" w:eastAsia="Public Sans" w:hAnsi="Public Sans" w:cs="Public Sans"/>
        </w:rPr>
      </w:pPr>
    </w:p>
    <w:p w14:paraId="378D92D0" w14:textId="77777777" w:rsidR="00080BDC" w:rsidRDefault="00D7526C">
      <w:pPr>
        <w:pStyle w:val="Heading2"/>
        <w:spacing w:line="360" w:lineRule="auto"/>
        <w:rPr>
          <w:rFonts w:ascii="Public Sans" w:eastAsia="Public Sans" w:hAnsi="Public Sans" w:cs="Public Sans"/>
        </w:rPr>
      </w:pPr>
      <w:bookmarkStart w:id="32" w:name="_jrfo3gzdsbx2" w:colFirst="0" w:colLast="0"/>
      <w:bookmarkEnd w:id="32"/>
      <w:r>
        <w:rPr>
          <w:rFonts w:ascii="Public Sans" w:eastAsia="Public Sans" w:hAnsi="Public Sans" w:cs="Public Sans"/>
        </w:rPr>
        <w:t>Standards</w:t>
      </w:r>
    </w:p>
    <w:p w14:paraId="4D460AD5" w14:textId="77777777" w:rsidR="00080BDC" w:rsidRDefault="00D7526C">
      <w:pPr>
        <w:numPr>
          <w:ilvl w:val="0"/>
          <w:numId w:val="10"/>
        </w:numPr>
        <w:spacing w:line="360" w:lineRule="auto"/>
        <w:rPr>
          <w:rFonts w:ascii="Public Sans" w:eastAsia="Public Sans" w:hAnsi="Public Sans" w:cs="Public Sans"/>
        </w:rPr>
      </w:pPr>
      <w:hyperlink r:id="rId45">
        <w:r>
          <w:rPr>
            <w:rFonts w:ascii="Public Sans" w:eastAsia="Public Sans" w:hAnsi="Public Sans" w:cs="Public Sans"/>
            <w:color w:val="1155CC"/>
            <w:u w:val="single"/>
          </w:rPr>
          <w:t>NIST Special Publication 800-63 - Digital I</w:t>
        </w:r>
        <w:r>
          <w:rPr>
            <w:rFonts w:ascii="Public Sans" w:eastAsia="Public Sans" w:hAnsi="Public Sans" w:cs="Public Sans"/>
            <w:color w:val="1155CC"/>
            <w:u w:val="single"/>
          </w:rPr>
          <w:t>dentity Guidelines</w:t>
        </w:r>
      </w:hyperlink>
    </w:p>
    <w:p w14:paraId="131A5BFB" w14:textId="77777777" w:rsidR="00080BDC" w:rsidRDefault="00D7526C">
      <w:pPr>
        <w:numPr>
          <w:ilvl w:val="0"/>
          <w:numId w:val="10"/>
        </w:numPr>
        <w:spacing w:line="360" w:lineRule="auto"/>
        <w:rPr>
          <w:rFonts w:ascii="Public Sans" w:eastAsia="Public Sans" w:hAnsi="Public Sans" w:cs="Public Sans"/>
        </w:rPr>
      </w:pPr>
      <w:hyperlink r:id="rId46">
        <w:r>
          <w:rPr>
            <w:rFonts w:ascii="Public Sans" w:eastAsia="Public Sans" w:hAnsi="Public Sans" w:cs="Public Sans"/>
            <w:color w:val="1155CC"/>
            <w:u w:val="single"/>
          </w:rPr>
          <w:t>NIST Special Publication 800-145 - NIST Definition of Cloud Computing</w:t>
        </w:r>
      </w:hyperlink>
    </w:p>
    <w:p w14:paraId="75477469" w14:textId="77777777" w:rsidR="00080BDC" w:rsidRDefault="00D7526C">
      <w:pPr>
        <w:numPr>
          <w:ilvl w:val="0"/>
          <w:numId w:val="10"/>
        </w:numPr>
        <w:spacing w:line="360" w:lineRule="auto"/>
        <w:rPr>
          <w:rFonts w:ascii="Public Sans" w:eastAsia="Public Sans" w:hAnsi="Public Sans" w:cs="Public Sans"/>
        </w:rPr>
      </w:pPr>
      <w:hyperlink r:id="rId47">
        <w:r>
          <w:rPr>
            <w:rFonts w:ascii="Public Sans" w:eastAsia="Public Sans" w:hAnsi="Public Sans" w:cs="Public Sans"/>
            <w:color w:val="1155CC"/>
            <w:u w:val="single"/>
          </w:rPr>
          <w:t>NIST Speci</w:t>
        </w:r>
        <w:r>
          <w:rPr>
            <w:rFonts w:ascii="Public Sans" w:eastAsia="Public Sans" w:hAnsi="Public Sans" w:cs="Public Sans"/>
            <w:color w:val="1155CC"/>
            <w:u w:val="single"/>
          </w:rPr>
          <w:t>al Publication 800-204B - Attribute-based Access Control for Microservices-based Applications using a Service Mesh</w:t>
        </w:r>
      </w:hyperlink>
    </w:p>
    <w:p w14:paraId="5149E43E" w14:textId="77777777" w:rsidR="00080BDC" w:rsidRDefault="00D7526C">
      <w:pPr>
        <w:numPr>
          <w:ilvl w:val="0"/>
          <w:numId w:val="10"/>
        </w:numPr>
        <w:spacing w:line="360" w:lineRule="auto"/>
        <w:rPr>
          <w:rFonts w:ascii="Public Sans" w:eastAsia="Public Sans" w:hAnsi="Public Sans" w:cs="Public Sans"/>
        </w:rPr>
      </w:pPr>
      <w:hyperlink r:id="rId48">
        <w:r>
          <w:rPr>
            <w:rFonts w:ascii="Public Sans" w:eastAsia="Public Sans" w:hAnsi="Public Sans" w:cs="Public Sans"/>
            <w:color w:val="1155CC"/>
            <w:u w:val="single"/>
          </w:rPr>
          <w:t>NIST Special Publication 800-207 - Zero Trust Architecture</w:t>
        </w:r>
      </w:hyperlink>
    </w:p>
    <w:p w14:paraId="1AC6015B" w14:textId="77777777" w:rsidR="00080BDC" w:rsidRDefault="00D7526C">
      <w:pPr>
        <w:numPr>
          <w:ilvl w:val="0"/>
          <w:numId w:val="10"/>
        </w:numPr>
        <w:spacing w:after="120" w:line="360" w:lineRule="auto"/>
        <w:rPr>
          <w:rFonts w:ascii="Public Sans" w:eastAsia="Public Sans" w:hAnsi="Public Sans" w:cs="Public Sans"/>
        </w:rPr>
      </w:pPr>
      <w:hyperlink r:id="rId49">
        <w:r>
          <w:rPr>
            <w:rFonts w:ascii="Public Sans" w:eastAsia="Public Sans" w:hAnsi="Public Sans" w:cs="Public Sans"/>
            <w:color w:val="1155CC"/>
            <w:u w:val="single"/>
          </w:rPr>
          <w:t>NIST Special Publication 800-210 - General Access Control Guidance for Cloud Systems</w:t>
        </w:r>
      </w:hyperlink>
    </w:p>
    <w:p w14:paraId="392EC9F0" w14:textId="77777777" w:rsidR="00080BDC" w:rsidRDefault="00080BDC">
      <w:pPr>
        <w:spacing w:after="120" w:line="360" w:lineRule="auto"/>
        <w:ind w:left="720"/>
        <w:rPr>
          <w:rFonts w:ascii="Public Sans" w:eastAsia="Public Sans" w:hAnsi="Public Sans" w:cs="Public Sans"/>
        </w:rPr>
      </w:pPr>
    </w:p>
    <w:p w14:paraId="5305D9C6" w14:textId="77777777" w:rsidR="00080BDC" w:rsidRDefault="00D7526C">
      <w:pPr>
        <w:pStyle w:val="Heading2"/>
        <w:spacing w:line="360" w:lineRule="auto"/>
        <w:rPr>
          <w:rFonts w:ascii="Public Sans" w:eastAsia="Public Sans" w:hAnsi="Public Sans" w:cs="Public Sans"/>
        </w:rPr>
      </w:pPr>
      <w:bookmarkStart w:id="33" w:name="_oghvjn2qmvxb" w:colFirst="0" w:colLast="0"/>
      <w:bookmarkEnd w:id="33"/>
      <w:r>
        <w:rPr>
          <w:rFonts w:ascii="Public Sans" w:eastAsia="Public Sans" w:hAnsi="Public Sans" w:cs="Public Sans"/>
        </w:rPr>
        <w:t>Guidance</w:t>
      </w:r>
    </w:p>
    <w:p w14:paraId="228055C0" w14:textId="77777777" w:rsidR="00080BDC" w:rsidRDefault="00D7526C">
      <w:pPr>
        <w:numPr>
          <w:ilvl w:val="0"/>
          <w:numId w:val="18"/>
        </w:numPr>
        <w:spacing w:line="360" w:lineRule="auto"/>
        <w:rPr>
          <w:rFonts w:ascii="Public Sans" w:eastAsia="Public Sans" w:hAnsi="Public Sans" w:cs="Public Sans"/>
        </w:rPr>
      </w:pPr>
      <w:hyperlink r:id="rId50">
        <w:r>
          <w:rPr>
            <w:rFonts w:ascii="Public Sans" w:eastAsia="Public Sans" w:hAnsi="Public Sans" w:cs="Public Sans"/>
            <w:color w:val="1155CC"/>
            <w:u w:val="single"/>
          </w:rPr>
          <w:t>Digital Identity Risk Assessment Playbook</w:t>
        </w:r>
      </w:hyperlink>
    </w:p>
    <w:p w14:paraId="306671E8" w14:textId="77777777" w:rsidR="00080BDC" w:rsidRDefault="00D7526C">
      <w:pPr>
        <w:numPr>
          <w:ilvl w:val="0"/>
          <w:numId w:val="18"/>
        </w:numPr>
        <w:spacing w:line="360" w:lineRule="auto"/>
        <w:rPr>
          <w:rFonts w:ascii="Public Sans" w:eastAsia="Public Sans" w:hAnsi="Public Sans" w:cs="Public Sans"/>
        </w:rPr>
      </w:pPr>
      <w:hyperlink r:id="rId51">
        <w:r>
          <w:rPr>
            <w:rFonts w:ascii="Public Sans" w:eastAsia="Public Sans" w:hAnsi="Public Sans" w:cs="Public Sans"/>
            <w:color w:val="1155CC"/>
            <w:u w:val="single"/>
          </w:rPr>
          <w:t>Data</w:t>
        </w:r>
        <w:r>
          <w:rPr>
            <w:rFonts w:ascii="Public Sans" w:eastAsia="Public Sans" w:hAnsi="Public Sans" w:cs="Public Sans"/>
            <w:color w:val="1155CC"/>
            <w:u w:val="single"/>
          </w:rPr>
          <w:t xml:space="preserve"> Center and Cloud Optimization Initiative Cloud Strategy Guide</w:t>
        </w:r>
      </w:hyperlink>
    </w:p>
    <w:p w14:paraId="652C8BE0" w14:textId="77777777" w:rsidR="00080BDC" w:rsidRDefault="00D7526C">
      <w:pPr>
        <w:numPr>
          <w:ilvl w:val="0"/>
          <w:numId w:val="18"/>
        </w:numPr>
        <w:spacing w:line="360" w:lineRule="auto"/>
        <w:rPr>
          <w:rFonts w:ascii="Public Sans" w:eastAsia="Public Sans" w:hAnsi="Public Sans" w:cs="Public Sans"/>
        </w:rPr>
      </w:pPr>
      <w:hyperlink r:id="rId52">
        <w:r>
          <w:rPr>
            <w:rFonts w:ascii="Public Sans" w:eastAsia="Public Sans" w:hAnsi="Public Sans" w:cs="Public Sans"/>
            <w:color w:val="1155CC"/>
            <w:u w:val="single"/>
          </w:rPr>
          <w:t>Enterprise Single Sign-On Playbook</w:t>
        </w:r>
      </w:hyperlink>
    </w:p>
    <w:p w14:paraId="78FEEBDC" w14:textId="77777777" w:rsidR="00080BDC" w:rsidRDefault="00D7526C">
      <w:pPr>
        <w:numPr>
          <w:ilvl w:val="0"/>
          <w:numId w:val="18"/>
        </w:numPr>
        <w:spacing w:line="360" w:lineRule="auto"/>
        <w:rPr>
          <w:rFonts w:ascii="Public Sans" w:eastAsia="Public Sans" w:hAnsi="Public Sans" w:cs="Public Sans"/>
        </w:rPr>
      </w:pPr>
      <w:hyperlink r:id="rId53">
        <w:r>
          <w:rPr>
            <w:rFonts w:ascii="Public Sans" w:eastAsia="Public Sans" w:hAnsi="Public Sans" w:cs="Public Sans"/>
            <w:color w:val="1155CC"/>
            <w:u w:val="single"/>
          </w:rPr>
          <w:t>FedRAMP Digital Identity Requirements (Version 1.0)</w:t>
        </w:r>
      </w:hyperlink>
    </w:p>
    <w:p w14:paraId="66AB4ECE" w14:textId="77777777" w:rsidR="00080BDC" w:rsidRDefault="00D7526C">
      <w:pPr>
        <w:numPr>
          <w:ilvl w:val="0"/>
          <w:numId w:val="18"/>
        </w:numPr>
        <w:spacing w:line="360" w:lineRule="auto"/>
        <w:rPr>
          <w:rFonts w:ascii="Public Sans" w:eastAsia="Public Sans" w:hAnsi="Public Sans" w:cs="Public Sans"/>
        </w:rPr>
      </w:pPr>
      <w:hyperlink r:id="rId54">
        <w:r>
          <w:rPr>
            <w:rFonts w:ascii="Public Sans" w:eastAsia="Public Sans" w:hAnsi="Public Sans" w:cs="Public Sans"/>
            <w:color w:val="1155CC"/>
            <w:u w:val="single"/>
          </w:rPr>
          <w:t>FICAM Architecture</w:t>
        </w:r>
      </w:hyperlink>
    </w:p>
    <w:p w14:paraId="54FB26A7" w14:textId="77777777" w:rsidR="00080BDC" w:rsidRDefault="00D7526C">
      <w:pPr>
        <w:numPr>
          <w:ilvl w:val="0"/>
          <w:numId w:val="18"/>
        </w:numPr>
        <w:spacing w:line="360" w:lineRule="auto"/>
        <w:rPr>
          <w:rFonts w:ascii="Public Sans" w:eastAsia="Public Sans" w:hAnsi="Public Sans" w:cs="Public Sans"/>
        </w:rPr>
      </w:pPr>
      <w:hyperlink r:id="rId55">
        <w:r>
          <w:rPr>
            <w:rFonts w:ascii="Public Sans" w:eastAsia="Public Sans" w:hAnsi="Public Sans" w:cs="Public Sans"/>
            <w:color w:val="1155CC"/>
            <w:u w:val="single"/>
          </w:rPr>
          <w:t>ICAM Program Management Playbook</w:t>
        </w:r>
      </w:hyperlink>
    </w:p>
    <w:p w14:paraId="4206AB23" w14:textId="77777777" w:rsidR="00080BDC" w:rsidRDefault="00D7526C">
      <w:pPr>
        <w:numPr>
          <w:ilvl w:val="0"/>
          <w:numId w:val="18"/>
        </w:numPr>
        <w:spacing w:line="360" w:lineRule="auto"/>
        <w:rPr>
          <w:rFonts w:ascii="Public Sans" w:eastAsia="Public Sans" w:hAnsi="Public Sans" w:cs="Public Sans"/>
        </w:rPr>
      </w:pPr>
      <w:hyperlink r:id="rId56">
        <w:r>
          <w:rPr>
            <w:rFonts w:ascii="Public Sans" w:eastAsia="Public Sans" w:hAnsi="Public Sans" w:cs="Public Sans"/>
            <w:color w:val="1155CC"/>
            <w:u w:val="single"/>
          </w:rPr>
          <w:t>General Services Administration - Cloud Information Center</w:t>
        </w:r>
      </w:hyperlink>
    </w:p>
    <w:p w14:paraId="14E028B9" w14:textId="77777777" w:rsidR="00080BDC" w:rsidRDefault="00D7526C">
      <w:pPr>
        <w:numPr>
          <w:ilvl w:val="0"/>
          <w:numId w:val="18"/>
        </w:numPr>
        <w:spacing w:line="360" w:lineRule="auto"/>
        <w:rPr>
          <w:rFonts w:ascii="Public Sans" w:eastAsia="Public Sans" w:hAnsi="Public Sans" w:cs="Public Sans"/>
        </w:rPr>
      </w:pPr>
      <w:hyperlink r:id="rId57">
        <w:r>
          <w:rPr>
            <w:rFonts w:ascii="Public Sans" w:eastAsia="Public Sans" w:hAnsi="Public Sans" w:cs="Public Sans"/>
            <w:color w:val="1155CC"/>
            <w:u w:val="single"/>
          </w:rPr>
          <w:t>NIST Interagency Report 8149 - Developing Trust Frameworks to Support Identity Federations</w:t>
        </w:r>
      </w:hyperlink>
    </w:p>
    <w:p w14:paraId="7686EDDC" w14:textId="77777777" w:rsidR="00080BDC" w:rsidRDefault="00D7526C">
      <w:pPr>
        <w:numPr>
          <w:ilvl w:val="0"/>
          <w:numId w:val="18"/>
        </w:numPr>
        <w:spacing w:line="360" w:lineRule="auto"/>
        <w:rPr>
          <w:rFonts w:ascii="Public Sans" w:eastAsia="Public Sans" w:hAnsi="Public Sans" w:cs="Public Sans"/>
        </w:rPr>
      </w:pPr>
      <w:hyperlink r:id="rId58">
        <w:r>
          <w:rPr>
            <w:rFonts w:ascii="Public Sans" w:eastAsia="Public Sans" w:hAnsi="Public Sans" w:cs="Public Sans"/>
            <w:color w:val="1155CC"/>
            <w:u w:val="single"/>
          </w:rPr>
          <w:t>NIST Interagency Report 8335 - Identity as a Service for Public Safety</w:t>
        </w:r>
      </w:hyperlink>
    </w:p>
    <w:p w14:paraId="31601B04" w14:textId="77777777" w:rsidR="00080BDC" w:rsidRDefault="00D7526C">
      <w:pPr>
        <w:numPr>
          <w:ilvl w:val="0"/>
          <w:numId w:val="18"/>
        </w:numPr>
        <w:spacing w:line="360" w:lineRule="auto"/>
        <w:rPr>
          <w:rFonts w:ascii="Public Sans" w:eastAsia="Public Sans" w:hAnsi="Public Sans" w:cs="Public Sans"/>
        </w:rPr>
      </w:pPr>
      <w:hyperlink r:id="rId59">
        <w:r>
          <w:rPr>
            <w:rFonts w:ascii="Public Sans" w:eastAsia="Public Sans" w:hAnsi="Public Sans" w:cs="Public Sans"/>
            <w:color w:val="1155CC"/>
            <w:u w:val="single"/>
          </w:rPr>
          <w:t>NIST Interagency Report 8360 - Machine Learning for Access Control Policy Verification</w:t>
        </w:r>
      </w:hyperlink>
    </w:p>
    <w:p w14:paraId="4EF9394D" w14:textId="77777777" w:rsidR="00080BDC" w:rsidRDefault="00D7526C">
      <w:pPr>
        <w:numPr>
          <w:ilvl w:val="0"/>
          <w:numId w:val="18"/>
        </w:numPr>
        <w:spacing w:line="360" w:lineRule="auto"/>
        <w:rPr>
          <w:rFonts w:ascii="Public Sans" w:eastAsia="Public Sans" w:hAnsi="Public Sans" w:cs="Public Sans"/>
        </w:rPr>
      </w:pPr>
      <w:hyperlink r:id="rId60">
        <w:r>
          <w:rPr>
            <w:rFonts w:ascii="Public Sans" w:eastAsia="Public Sans" w:hAnsi="Public Sans" w:cs="Public Sans"/>
            <w:color w:val="1155CC"/>
            <w:u w:val="single"/>
          </w:rPr>
          <w:t>NIST Special Publication 1800-13 - Mobile Application Single Sign-On</w:t>
        </w:r>
      </w:hyperlink>
    </w:p>
    <w:p w14:paraId="4A181870" w14:textId="77777777" w:rsidR="00080BDC" w:rsidRDefault="00D7526C">
      <w:pPr>
        <w:numPr>
          <w:ilvl w:val="0"/>
          <w:numId w:val="18"/>
        </w:numPr>
        <w:spacing w:after="120" w:line="360" w:lineRule="auto"/>
        <w:rPr>
          <w:rFonts w:ascii="Public Sans" w:eastAsia="Public Sans" w:hAnsi="Public Sans" w:cs="Public Sans"/>
        </w:rPr>
      </w:pPr>
      <w:hyperlink r:id="rId61">
        <w:r>
          <w:rPr>
            <w:rFonts w:ascii="Public Sans" w:eastAsia="Public Sans" w:hAnsi="Public Sans" w:cs="Public Sans"/>
            <w:color w:val="1155CC"/>
            <w:u w:val="single"/>
          </w:rPr>
          <w:t>National Security Agency Cybersecurity Information Sheet - Mi</w:t>
        </w:r>
        <w:r>
          <w:rPr>
            <w:rFonts w:ascii="Public Sans" w:eastAsia="Public Sans" w:hAnsi="Public Sans" w:cs="Public Sans"/>
            <w:color w:val="1155CC"/>
            <w:u w:val="single"/>
          </w:rPr>
          <w:t>tigating Cloud Vulnerabilities</w:t>
        </w:r>
      </w:hyperlink>
    </w:p>
    <w:p w14:paraId="196E55E2" w14:textId="77777777" w:rsidR="00080BDC" w:rsidRDefault="00080BDC">
      <w:pPr>
        <w:spacing w:after="120" w:line="360" w:lineRule="auto"/>
        <w:rPr>
          <w:rFonts w:ascii="Public Sans" w:eastAsia="Public Sans" w:hAnsi="Public Sans" w:cs="Public Sans"/>
          <w:b/>
          <w:i/>
        </w:rPr>
      </w:pPr>
    </w:p>
    <w:p w14:paraId="38E186BC" w14:textId="77777777" w:rsidR="00080BDC" w:rsidRDefault="00D7526C">
      <w:pPr>
        <w:spacing w:after="120" w:line="360" w:lineRule="auto"/>
        <w:rPr>
          <w:rFonts w:ascii="Public Sans" w:eastAsia="Public Sans" w:hAnsi="Public Sans" w:cs="Public Sans"/>
        </w:rPr>
      </w:pPr>
      <w:r>
        <w:br w:type="page"/>
      </w:r>
    </w:p>
    <w:p w14:paraId="3EFAA6A6" w14:textId="77777777" w:rsidR="00080BDC" w:rsidRDefault="00D7526C">
      <w:pPr>
        <w:pStyle w:val="Heading1"/>
        <w:spacing w:line="360" w:lineRule="auto"/>
        <w:rPr>
          <w:rFonts w:ascii="Public Sans" w:eastAsia="Public Sans" w:hAnsi="Public Sans" w:cs="Public Sans"/>
          <w:sz w:val="34"/>
          <w:szCs w:val="34"/>
        </w:rPr>
      </w:pPr>
      <w:bookmarkStart w:id="34" w:name="_lwiwemg874ca" w:colFirst="0" w:colLast="0"/>
      <w:bookmarkEnd w:id="34"/>
      <w:r>
        <w:rPr>
          <w:rFonts w:ascii="Public Sans" w:eastAsia="Public Sans" w:hAnsi="Public Sans" w:cs="Public Sans"/>
        </w:rPr>
        <w:lastRenderedPageBreak/>
        <w:t>Appendix B. Acronyms</w:t>
      </w:r>
    </w:p>
    <w:tbl>
      <w:tblPr>
        <w:tblStyle w:val="ae"/>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520"/>
        <w:gridCol w:w="6840"/>
      </w:tblGrid>
      <w:tr w:rsidR="00080BDC" w14:paraId="38FEB3C9"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30D80BAB"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FedRAMP</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6B445F08"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Federal Risk and Authorization Management Program</w:t>
            </w:r>
          </w:p>
        </w:tc>
      </w:tr>
      <w:tr w:rsidR="00080BDC" w14:paraId="7442F3DC"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1E4405DB"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FICAM</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32A16240"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Federal Identity, Credential and Access Management</w:t>
            </w:r>
          </w:p>
        </w:tc>
      </w:tr>
      <w:tr w:rsidR="00080BDC" w14:paraId="35B24C31"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47922B1E" w14:textId="77777777" w:rsidR="00080BDC" w:rsidRDefault="00D7526C">
            <w:pPr>
              <w:spacing w:line="360" w:lineRule="auto"/>
              <w:rPr>
                <w:rFonts w:ascii="Public Sans" w:eastAsia="Public Sans" w:hAnsi="Public Sans" w:cs="Public Sans"/>
              </w:rPr>
            </w:pPr>
            <w:proofErr w:type="spellStart"/>
            <w:r>
              <w:rPr>
                <w:rFonts w:ascii="Public Sans" w:eastAsia="Public Sans" w:hAnsi="Public Sans" w:cs="Public Sans"/>
              </w:rPr>
              <w:t>IDaaS</w:t>
            </w:r>
            <w:proofErr w:type="spellEnd"/>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4D8D02D4"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Identity as a Service</w:t>
            </w:r>
          </w:p>
        </w:tc>
      </w:tr>
      <w:tr w:rsidR="00080BDC" w14:paraId="0B341D9D" w14:textId="77777777">
        <w:trPr>
          <w:trHeight w:val="39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1421D117"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ICAM</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705F184C"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Identity, Credential and Access Management</w:t>
            </w:r>
          </w:p>
        </w:tc>
      </w:tr>
      <w:tr w:rsidR="00080BDC" w14:paraId="2DCA356C"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6960C934"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MFA</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4113C06F"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Multi-Factor Authentication</w:t>
            </w:r>
          </w:p>
        </w:tc>
      </w:tr>
      <w:tr w:rsidR="00080BDC" w14:paraId="1FEB062C"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41703492"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NIST</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089D91B2"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National Institute of Standards and Technology</w:t>
            </w:r>
          </w:p>
        </w:tc>
      </w:tr>
      <w:tr w:rsidR="00080BDC" w14:paraId="69FB7A72"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16589BC8"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NPE</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605CFA4E"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Non-Person Entity</w:t>
            </w:r>
          </w:p>
        </w:tc>
      </w:tr>
      <w:tr w:rsidR="00080BDC" w14:paraId="119EC27A"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6F9547C5"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PIV</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4CEF4109"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Personal Identity Verification</w:t>
            </w:r>
          </w:p>
        </w:tc>
      </w:tr>
      <w:tr w:rsidR="00080BDC" w14:paraId="3FB0273E" w14:textId="77777777">
        <w:trPr>
          <w:trHeight w:val="480"/>
        </w:trPr>
        <w:tc>
          <w:tcPr>
            <w:tcW w:w="2520" w:type="dxa"/>
            <w:tcBorders>
              <w:top w:val="single" w:sz="8" w:space="0" w:color="FFFFFF"/>
              <w:left w:val="single" w:sz="8" w:space="0" w:color="FFFFFF"/>
              <w:bottom w:val="single" w:sz="8" w:space="0" w:color="FFFFFF"/>
              <w:right w:val="single" w:sz="8" w:space="0" w:color="FFFFFF"/>
            </w:tcBorders>
            <w:shd w:val="clear" w:color="auto" w:fill="FFFFFF"/>
            <w:tcMar>
              <w:top w:w="43" w:type="dxa"/>
              <w:left w:w="43" w:type="dxa"/>
              <w:bottom w:w="43" w:type="dxa"/>
              <w:right w:w="43" w:type="dxa"/>
            </w:tcMar>
          </w:tcPr>
          <w:p w14:paraId="12976B62"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SSO</w:t>
            </w:r>
          </w:p>
        </w:tc>
        <w:tc>
          <w:tcPr>
            <w:tcW w:w="6840"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55FF56C2" w14:textId="77777777" w:rsidR="00080BDC" w:rsidRDefault="00D7526C">
            <w:pPr>
              <w:spacing w:line="360" w:lineRule="auto"/>
              <w:rPr>
                <w:rFonts w:ascii="Public Sans" w:eastAsia="Public Sans" w:hAnsi="Public Sans" w:cs="Public Sans"/>
              </w:rPr>
            </w:pPr>
            <w:r>
              <w:rPr>
                <w:rFonts w:ascii="Public Sans" w:eastAsia="Public Sans" w:hAnsi="Public Sans" w:cs="Public Sans"/>
              </w:rPr>
              <w:t>Single Sign-On</w:t>
            </w:r>
          </w:p>
        </w:tc>
      </w:tr>
    </w:tbl>
    <w:p w14:paraId="63DE5C66" w14:textId="77777777" w:rsidR="00080BDC" w:rsidRDefault="00080BDC">
      <w:pPr>
        <w:spacing w:after="120" w:line="360" w:lineRule="auto"/>
        <w:rPr>
          <w:rFonts w:ascii="Public Sans" w:eastAsia="Public Sans" w:hAnsi="Public Sans" w:cs="Public Sans"/>
        </w:rPr>
      </w:pPr>
    </w:p>
    <w:sectPr w:rsidR="00080BDC">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5C448" w14:textId="77777777" w:rsidR="00D7526C" w:rsidRDefault="00D7526C">
      <w:pPr>
        <w:spacing w:line="240" w:lineRule="auto"/>
      </w:pPr>
      <w:r>
        <w:separator/>
      </w:r>
    </w:p>
  </w:endnote>
  <w:endnote w:type="continuationSeparator" w:id="0">
    <w:p w14:paraId="3681FFF7" w14:textId="77777777" w:rsidR="00D7526C" w:rsidRDefault="00D752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ublic Sans">
    <w:panose1 w:val="020B0604020202020204"/>
    <w:charset w:val="00"/>
    <w:family w:val="auto"/>
    <w:pitch w:val="default"/>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B13A" w14:textId="77777777" w:rsidR="00E91E4A" w:rsidRDefault="00E91E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0EC10" w14:textId="4732105D" w:rsidR="00080BDC" w:rsidRDefault="00D7526C">
    <w:pPr>
      <w:tabs>
        <w:tab w:val="right" w:pos="9360"/>
      </w:tabs>
      <w:rPr>
        <w:rFonts w:ascii="Arial" w:eastAsia="Arial" w:hAnsi="Arial" w:cs="Arial"/>
        <w:color w:val="999999"/>
        <w:sz w:val="18"/>
        <w:szCs w:val="18"/>
      </w:rPr>
    </w:pPr>
    <w:r>
      <w:rPr>
        <w:rFonts w:ascii="Arial" w:eastAsia="Arial" w:hAnsi="Arial" w:cs="Arial"/>
        <w:color w:val="999999"/>
        <w:sz w:val="18"/>
        <w:szCs w:val="18"/>
      </w:rPr>
      <w:t>Cloud Identity Playbook</w:t>
    </w:r>
    <w:r>
      <w:rPr>
        <w:rFonts w:ascii="Arial" w:eastAsia="Arial" w:hAnsi="Arial" w:cs="Arial"/>
        <w:sz w:val="18"/>
        <w:szCs w:val="18"/>
      </w:rPr>
      <w:tab/>
    </w:r>
    <w:r>
      <w:rPr>
        <w:rFonts w:ascii="Arial" w:eastAsia="Arial" w:hAnsi="Arial" w:cs="Arial"/>
        <w:color w:val="999999"/>
        <w:sz w:val="18"/>
        <w:szCs w:val="18"/>
      </w:rPr>
      <w:t xml:space="preserve">Page </w:t>
    </w:r>
    <w:r>
      <w:rPr>
        <w:rFonts w:ascii="Arial" w:eastAsia="Arial" w:hAnsi="Arial" w:cs="Arial"/>
        <w:color w:val="999999"/>
        <w:sz w:val="18"/>
        <w:szCs w:val="18"/>
      </w:rPr>
      <w:fldChar w:fldCharType="begin"/>
    </w:r>
    <w:r>
      <w:rPr>
        <w:rFonts w:ascii="Arial" w:eastAsia="Arial" w:hAnsi="Arial" w:cs="Arial"/>
        <w:color w:val="999999"/>
        <w:sz w:val="18"/>
        <w:szCs w:val="18"/>
      </w:rPr>
      <w:instrText>PAGE</w:instrText>
    </w:r>
    <w:r>
      <w:rPr>
        <w:rFonts w:ascii="Arial" w:eastAsia="Arial" w:hAnsi="Arial" w:cs="Arial"/>
        <w:color w:val="999999"/>
        <w:sz w:val="18"/>
        <w:szCs w:val="18"/>
      </w:rPr>
      <w:fldChar w:fldCharType="separate"/>
    </w:r>
    <w:r w:rsidR="00E91E4A">
      <w:rPr>
        <w:rFonts w:ascii="Arial" w:eastAsia="Arial" w:hAnsi="Arial" w:cs="Arial"/>
        <w:noProof/>
        <w:color w:val="999999"/>
        <w:sz w:val="18"/>
        <w:szCs w:val="18"/>
      </w:rPr>
      <w:t>1</w:t>
    </w:r>
    <w:r>
      <w:rPr>
        <w:rFonts w:ascii="Arial" w:eastAsia="Arial" w:hAnsi="Arial" w:cs="Arial"/>
        <w:color w:val="999999"/>
        <w:sz w:val="18"/>
        <w:szCs w:val="18"/>
      </w:rPr>
      <w:fldChar w:fldCharType="end"/>
    </w:r>
    <w:r>
      <w:rPr>
        <w:rFonts w:ascii="Arial" w:eastAsia="Arial" w:hAnsi="Arial" w:cs="Arial"/>
        <w:color w:val="999999"/>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01B94" w14:textId="77777777" w:rsidR="00080BDC" w:rsidRDefault="00080BDC">
    <w:pPr>
      <w:pBdr>
        <w:top w:val="nil"/>
        <w:left w:val="nil"/>
        <w:bottom w:val="nil"/>
        <w:right w:val="nil"/>
        <w:between w:val="nil"/>
      </w:pBdr>
      <w:rPr>
        <w:rFonts w:ascii="Calibri" w:eastAsia="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CAE99" w14:textId="77777777" w:rsidR="00D7526C" w:rsidRDefault="00D7526C">
      <w:pPr>
        <w:spacing w:line="240" w:lineRule="auto"/>
      </w:pPr>
      <w:r>
        <w:separator/>
      </w:r>
    </w:p>
  </w:footnote>
  <w:footnote w:type="continuationSeparator" w:id="0">
    <w:p w14:paraId="6B319C32" w14:textId="77777777" w:rsidR="00D7526C" w:rsidRDefault="00D752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3228" w14:textId="77777777" w:rsidR="00E91E4A" w:rsidRDefault="00E91E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E967" w14:textId="77777777" w:rsidR="00080BDC" w:rsidRDefault="00D7526C">
    <w:pPr>
      <w:pBdr>
        <w:top w:val="nil"/>
        <w:left w:val="nil"/>
        <w:bottom w:val="nil"/>
        <w:right w:val="nil"/>
        <w:between w:val="nil"/>
      </w:pBdr>
      <w:ind w:left="-1440" w:right="-1440"/>
      <w:jc w:val="center"/>
      <w:rPr>
        <w:rFonts w:ascii="Arial" w:eastAsia="Arial" w:hAnsi="Arial" w:cs="Arial"/>
        <w:sz w:val="20"/>
        <w:szCs w:val="20"/>
      </w:rPr>
    </w:pPr>
    <w:r>
      <w:rPr>
        <w:rFonts w:ascii="Arial" w:eastAsia="Arial" w:hAnsi="Arial" w:cs="Arial"/>
        <w:sz w:val="20"/>
        <w:szCs w:val="20"/>
      </w:rPr>
      <w:t>DRAFT / PRE-DECISIONAL</w:t>
    </w:r>
  </w:p>
  <w:p w14:paraId="6B0BFE70" w14:textId="77777777" w:rsidR="00080BDC" w:rsidRDefault="00080BDC">
    <w:pPr>
      <w:ind w:left="-1440" w:right="-1440"/>
      <w:jc w:val="center"/>
      <w:rPr>
        <w:rFonts w:ascii="Calibri" w:eastAsia="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0CB2E" w14:textId="77777777" w:rsidR="00080BDC" w:rsidRDefault="00D7526C">
    <w:pPr>
      <w:pBdr>
        <w:top w:val="nil"/>
        <w:left w:val="nil"/>
        <w:bottom w:val="nil"/>
        <w:right w:val="nil"/>
        <w:between w:val="nil"/>
      </w:pBdr>
      <w:ind w:left="-1440" w:right="-1440"/>
      <w:jc w:val="center"/>
      <w:rPr>
        <w:rFonts w:ascii="Arial" w:eastAsia="Arial" w:hAnsi="Arial" w:cs="Arial"/>
        <w:sz w:val="20"/>
        <w:szCs w:val="20"/>
      </w:rPr>
    </w:pPr>
    <w:r>
      <w:rPr>
        <w:rFonts w:ascii="Arial" w:eastAsia="Arial" w:hAnsi="Arial" w:cs="Arial"/>
        <w:sz w:val="20"/>
        <w:szCs w:val="20"/>
      </w:rPr>
      <w:t xml:space="preserve">DRAFT / PRE-DECISIONAL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E03"/>
    <w:multiLevelType w:val="multilevel"/>
    <w:tmpl w:val="FD6A9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D2284"/>
    <w:multiLevelType w:val="multilevel"/>
    <w:tmpl w:val="CFFEB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2C15CC"/>
    <w:multiLevelType w:val="multilevel"/>
    <w:tmpl w:val="B92E9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5F33BE"/>
    <w:multiLevelType w:val="multilevel"/>
    <w:tmpl w:val="558AD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9356FB"/>
    <w:multiLevelType w:val="multilevel"/>
    <w:tmpl w:val="6324E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D96AD8"/>
    <w:multiLevelType w:val="multilevel"/>
    <w:tmpl w:val="73FAB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071BC3"/>
    <w:multiLevelType w:val="multilevel"/>
    <w:tmpl w:val="9F1A0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357F06"/>
    <w:multiLevelType w:val="multilevel"/>
    <w:tmpl w:val="A0DEF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0C38A6"/>
    <w:multiLevelType w:val="multilevel"/>
    <w:tmpl w:val="C9B84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5B03BD"/>
    <w:multiLevelType w:val="multilevel"/>
    <w:tmpl w:val="2DE86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55B022B"/>
    <w:multiLevelType w:val="multilevel"/>
    <w:tmpl w:val="BF50F6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F6D4E1D"/>
    <w:multiLevelType w:val="multilevel"/>
    <w:tmpl w:val="077A4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AA6FC7"/>
    <w:multiLevelType w:val="multilevel"/>
    <w:tmpl w:val="CDE2E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03A1318"/>
    <w:multiLevelType w:val="multilevel"/>
    <w:tmpl w:val="5FD25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696611"/>
    <w:multiLevelType w:val="multilevel"/>
    <w:tmpl w:val="EFA67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D4B49C2"/>
    <w:multiLevelType w:val="multilevel"/>
    <w:tmpl w:val="C5028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B527E8"/>
    <w:multiLevelType w:val="multilevel"/>
    <w:tmpl w:val="6CAA4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D427EB"/>
    <w:multiLevelType w:val="multilevel"/>
    <w:tmpl w:val="438A6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C6D6CB9"/>
    <w:multiLevelType w:val="multilevel"/>
    <w:tmpl w:val="87869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D983374"/>
    <w:multiLevelType w:val="multilevel"/>
    <w:tmpl w:val="4E2C4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75E21B8"/>
    <w:multiLevelType w:val="multilevel"/>
    <w:tmpl w:val="935EE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EE1029"/>
    <w:multiLevelType w:val="multilevel"/>
    <w:tmpl w:val="3B6E5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0"/>
  </w:num>
  <w:num w:numId="3">
    <w:abstractNumId w:val="12"/>
  </w:num>
  <w:num w:numId="4">
    <w:abstractNumId w:val="7"/>
  </w:num>
  <w:num w:numId="5">
    <w:abstractNumId w:val="18"/>
  </w:num>
  <w:num w:numId="6">
    <w:abstractNumId w:val="5"/>
  </w:num>
  <w:num w:numId="7">
    <w:abstractNumId w:val="9"/>
  </w:num>
  <w:num w:numId="8">
    <w:abstractNumId w:val="17"/>
  </w:num>
  <w:num w:numId="9">
    <w:abstractNumId w:val="6"/>
  </w:num>
  <w:num w:numId="10">
    <w:abstractNumId w:val="11"/>
  </w:num>
  <w:num w:numId="11">
    <w:abstractNumId w:val="0"/>
  </w:num>
  <w:num w:numId="12">
    <w:abstractNumId w:val="8"/>
  </w:num>
  <w:num w:numId="13">
    <w:abstractNumId w:val="14"/>
  </w:num>
  <w:num w:numId="14">
    <w:abstractNumId w:val="4"/>
  </w:num>
  <w:num w:numId="15">
    <w:abstractNumId w:val="19"/>
  </w:num>
  <w:num w:numId="16">
    <w:abstractNumId w:val="20"/>
  </w:num>
  <w:num w:numId="17">
    <w:abstractNumId w:val="3"/>
  </w:num>
  <w:num w:numId="18">
    <w:abstractNumId w:val="1"/>
  </w:num>
  <w:num w:numId="19">
    <w:abstractNumId w:val="21"/>
  </w:num>
  <w:num w:numId="20">
    <w:abstractNumId w:val="15"/>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BDC"/>
    <w:rsid w:val="00080BDC"/>
    <w:rsid w:val="00D7526C"/>
    <w:rsid w:val="00E91E4A"/>
    <w:rsid w:val="00E93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633E7"/>
  <w15:docId w15:val="{5A09AFD9-3AD6-4348-A165-4C83123E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Source Sans Pro" w:hAnsi="Source Sans Pro" w:cs="Source Sans Pro"/>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Arial" w:eastAsia="Arial" w:hAnsi="Arial" w:cs="Arial"/>
      <w:b/>
      <w:color w:val="0579BD"/>
      <w:sz w:val="36"/>
      <w:szCs w:val="36"/>
    </w:rPr>
  </w:style>
  <w:style w:type="paragraph" w:styleId="Heading2">
    <w:name w:val="heading 2"/>
    <w:basedOn w:val="Normal"/>
    <w:next w:val="Normal"/>
    <w:uiPriority w:val="9"/>
    <w:unhideWhenUsed/>
    <w:qFormat/>
    <w:pPr>
      <w:keepNext/>
      <w:keepLines/>
      <w:spacing w:after="120" w:line="273" w:lineRule="auto"/>
      <w:outlineLvl w:val="1"/>
    </w:pPr>
    <w:rPr>
      <w:rFonts w:ascii="Arial" w:eastAsia="Arial" w:hAnsi="Arial" w:cs="Arial"/>
      <w:b/>
      <w:color w:val="0095DA"/>
      <w:sz w:val="28"/>
      <w:szCs w:val="28"/>
    </w:rPr>
  </w:style>
  <w:style w:type="paragraph" w:styleId="Heading3">
    <w:name w:val="heading 3"/>
    <w:basedOn w:val="Normal"/>
    <w:next w:val="Normal"/>
    <w:uiPriority w:val="9"/>
    <w:unhideWhenUsed/>
    <w:qFormat/>
    <w:pPr>
      <w:keepNext/>
      <w:keepLines/>
      <w:spacing w:after="120"/>
      <w:outlineLvl w:val="2"/>
    </w:pPr>
    <w:rPr>
      <w:rFonts w:ascii="Calibri" w:eastAsia="Calibri" w:hAnsi="Calibri" w:cs="Calibri"/>
      <w:color w:val="5B87D5"/>
      <w:sz w:val="24"/>
      <w:szCs w:val="24"/>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pPr>
    <w:rPr>
      <w:rFonts w:ascii="Arial" w:eastAsia="Arial" w:hAnsi="Arial" w:cs="Arial"/>
      <w:b/>
      <w:color w:val="3B5789"/>
      <w:sz w:val="44"/>
      <w:szCs w:val="44"/>
    </w:rPr>
  </w:style>
  <w:style w:type="paragraph" w:styleId="Subtitle">
    <w:name w:val="Subtitle"/>
    <w:basedOn w:val="Normal"/>
    <w:next w:val="Normal"/>
    <w:uiPriority w:val="11"/>
    <w:qFormat/>
    <w:pPr>
      <w:keepNext/>
      <w:keepLines/>
      <w:spacing w:after="240" w:line="240" w:lineRule="auto"/>
      <w:jc w:val="center"/>
    </w:pPr>
    <w:rPr>
      <w:rFonts w:ascii="Calibri" w:eastAsia="Calibri" w:hAnsi="Calibri" w:cs="Calibri"/>
      <w:color w:val="5B87D5"/>
      <w:sz w:val="36"/>
      <w:szCs w:val="36"/>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91E4A"/>
    <w:pPr>
      <w:tabs>
        <w:tab w:val="center" w:pos="4680"/>
        <w:tab w:val="right" w:pos="9360"/>
      </w:tabs>
      <w:spacing w:line="240" w:lineRule="auto"/>
    </w:pPr>
  </w:style>
  <w:style w:type="character" w:customStyle="1" w:styleId="HeaderChar">
    <w:name w:val="Header Char"/>
    <w:basedOn w:val="DefaultParagraphFont"/>
    <w:link w:val="Header"/>
    <w:uiPriority w:val="99"/>
    <w:rsid w:val="00E91E4A"/>
  </w:style>
  <w:style w:type="paragraph" w:styleId="Footer">
    <w:name w:val="footer"/>
    <w:basedOn w:val="Normal"/>
    <w:link w:val="FooterChar"/>
    <w:uiPriority w:val="99"/>
    <w:unhideWhenUsed/>
    <w:rsid w:val="00E91E4A"/>
    <w:pPr>
      <w:tabs>
        <w:tab w:val="center" w:pos="4680"/>
        <w:tab w:val="right" w:pos="9360"/>
      </w:tabs>
      <w:spacing w:line="240" w:lineRule="auto"/>
    </w:pPr>
  </w:style>
  <w:style w:type="character" w:customStyle="1" w:styleId="FooterChar">
    <w:name w:val="Footer Char"/>
    <w:basedOn w:val="DefaultParagraphFont"/>
    <w:link w:val="Footer"/>
    <w:uiPriority w:val="99"/>
    <w:rsid w:val="00E91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community.max.gov/display/Egov/Agency%2BIT%2BModernization%3A%2BEducational%2BResources%2BBuilding%2BBlocks" TargetMode="External"/><Relationship Id="rId42" Type="http://schemas.openxmlformats.org/officeDocument/2006/relationships/hyperlink" Target="https://www.federalregister.gov/documents/2021/05/17/2021-10460/improving-the-nations-cybersecurity" TargetMode="External"/><Relationship Id="rId47" Type="http://schemas.openxmlformats.org/officeDocument/2006/relationships/hyperlink" Target="https://csrc.nist.gov/publications/detail/sp/800-204b/final"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ommunity.max.gov/display/Egov/Agency%2BIT%2BModernization%3A%2BEducational%2BResources%2BBuilding%2BBlocks" TargetMode="External"/><Relationship Id="rId29" Type="http://schemas.openxmlformats.org/officeDocument/2006/relationships/hyperlink" Target="https://www.federalregister.gov/documents/2021/05/17/2021-10460/improving-the-nations-cybersecurity" TargetMode="External"/><Relationship Id="rId11" Type="http://schemas.openxmlformats.org/officeDocument/2006/relationships/hyperlink" Target="https://www.federalregister.gov/documents/2021/05/17/2021-10460/improving-the-nations-cybersecurity" TargetMode="External"/><Relationship Id="rId24" Type="http://schemas.openxmlformats.org/officeDocument/2006/relationships/hyperlink" Target="https://playbooks.idmanagement.gov/arch/services/" TargetMode="External"/><Relationship Id="rId32" Type="http://schemas.openxmlformats.org/officeDocument/2006/relationships/hyperlink" Target="https://playbooks.idmanagement.gov/docs/playbook-digital-worker.pdf" TargetMode="External"/><Relationship Id="rId37" Type="http://schemas.openxmlformats.org/officeDocument/2006/relationships/hyperlink" Target="https://pages.nist.gov/800-63-3/sp800-63b.html" TargetMode="External"/><Relationship Id="rId40" Type="http://schemas.openxmlformats.org/officeDocument/2006/relationships/hyperlink" Target="https://csrc.nist.gov/publications/detail/nistir/8149/final" TargetMode="External"/><Relationship Id="rId45" Type="http://schemas.openxmlformats.org/officeDocument/2006/relationships/hyperlink" Target="https://csrc.nist.gov/publication/detail/sp/800-63/final" TargetMode="External"/><Relationship Id="rId53" Type="http://schemas.openxmlformats.org/officeDocument/2006/relationships/hyperlink" Target="https://s3.amazonaws.com/sitesusa/wp-content/uploads/var/www/html/sites/www/app/wordpress/wp-content/blogs.dir/482/files/2016/06/FedRAMP_Digital_Identity_Requirements_v1.0.pdf" TargetMode="External"/><Relationship Id="rId58" Type="http://schemas.openxmlformats.org/officeDocument/2006/relationships/hyperlink" Target="https://csrc.nist.gov/publications/detail/nistir/8335/draft" TargetMode="External"/><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media.defense.gov/2020/Jan/22/2002237484/-1/-1/0/CSI-MITIGATING-CLOUD-VULNERABILITIES_20200121.PDF" TargetMode="External"/><Relationship Id="rId19" Type="http://schemas.openxmlformats.org/officeDocument/2006/relationships/hyperlink" Target="https://tech.gsa.gov/guides/user_story_example/" TargetMode="External"/><Relationship Id="rId14" Type="http://schemas.openxmlformats.org/officeDocument/2006/relationships/hyperlink" Target="https://community.max.gov/display/Egov/Agency%2BIT%2BModernization%3A%2BEducational%2BResources%2BBuilding%2BBlocks" TargetMode="External"/><Relationship Id="rId22" Type="http://schemas.openxmlformats.org/officeDocument/2006/relationships/hyperlink" Target="https://www.federalregister.gov/documents/2021/05/17/2021-10460/improving-the-nations-cybersecurity" TargetMode="External"/><Relationship Id="rId27" Type="http://schemas.openxmlformats.org/officeDocument/2006/relationships/image" Target="media/image5.png"/><Relationship Id="rId30" Type="http://schemas.openxmlformats.org/officeDocument/2006/relationships/hyperlink" Target="https://media.defense.gov/2019/Jul/12/2002156622/-1/-1/1/DOD-DIGITAL-MODERNIZATION-STRATEGY-2019.PDF" TargetMode="External"/><Relationship Id="rId35" Type="http://schemas.openxmlformats.org/officeDocument/2006/relationships/hyperlink" Target="http://www.simplecloud.info/" TargetMode="External"/><Relationship Id="rId43" Type="http://schemas.openxmlformats.org/officeDocument/2006/relationships/hyperlink" Target="https://cloud.cio.gov/" TargetMode="External"/><Relationship Id="rId48" Type="http://schemas.openxmlformats.org/officeDocument/2006/relationships/hyperlink" Target="https://csrc.nist.gov/publications/detail/sp/800-207/final" TargetMode="External"/><Relationship Id="rId56" Type="http://schemas.openxmlformats.org/officeDocument/2006/relationships/hyperlink" Target="https://cic.gsa.gov/"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community.max.gov/pages/viewpage.action?pageId=234815732" TargetMode="External"/><Relationship Id="rId51" Type="http://schemas.openxmlformats.org/officeDocument/2006/relationships/hyperlink" Target="https://community.max.gov/display/Egov/Agency%2BIT%2BModernization%3A%2BEducational%2BResources%2BBuilding%2BBlocks" TargetMode="External"/><Relationship Id="rId3" Type="http://schemas.openxmlformats.org/officeDocument/2006/relationships/settings" Target="settings.xml"/><Relationship Id="rId12" Type="http://schemas.openxmlformats.org/officeDocument/2006/relationships/hyperlink" Target="https://www.whitehouse.gov/wp-content/uploads/2019/05/M-19-17.pdf" TargetMode="External"/><Relationship Id="rId17" Type="http://schemas.openxmlformats.org/officeDocument/2006/relationships/hyperlink" Target="https://cloud.cio.gov/strategy/" TargetMode="External"/><Relationship Id="rId25" Type="http://schemas.openxmlformats.org/officeDocument/2006/relationships/image" Target="media/image3.png"/><Relationship Id="rId33" Type="http://schemas.openxmlformats.org/officeDocument/2006/relationships/hyperlink" Target="https://www.whitehouse.gov/wp-content/uploads/2019/05/M-19-17.pdf" TargetMode="External"/><Relationship Id="rId38" Type="http://schemas.openxmlformats.org/officeDocument/2006/relationships/hyperlink" Target="https://www.cisa.gov/publication/tic-30-core-guidance-documents" TargetMode="External"/><Relationship Id="rId46" Type="http://schemas.openxmlformats.org/officeDocument/2006/relationships/hyperlink" Target="https://csrc.nist.gov/publications/detail/sp/800-145/final" TargetMode="External"/><Relationship Id="rId59" Type="http://schemas.openxmlformats.org/officeDocument/2006/relationships/hyperlink" Target="https://csrc.nist.gov/publications/detail/nistir/8360/final" TargetMode="External"/><Relationship Id="rId67" Type="http://schemas.openxmlformats.org/officeDocument/2006/relationships/footer" Target="footer3.xml"/><Relationship Id="rId20" Type="http://schemas.openxmlformats.org/officeDocument/2006/relationships/hyperlink" Target="https://playbooks.idmanagement.gov/docs/playbook-sso.pdf" TargetMode="External"/><Relationship Id="rId41" Type="http://schemas.openxmlformats.org/officeDocument/2006/relationships/hyperlink" Target="https://tech.gsa.gov/guides/dev_sec_ops_guide/" TargetMode="External"/><Relationship Id="rId54" Type="http://schemas.openxmlformats.org/officeDocument/2006/relationships/hyperlink" Target="https://playbooks.idmanagement.gov/arch/"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mmunity.max.gov/display/Egov/Agency%2BIT%2BModernization%3A%2BEducational%2BResources%2BBuilding%2BBlocks" TargetMode="External"/><Relationship Id="rId23" Type="http://schemas.openxmlformats.org/officeDocument/2006/relationships/hyperlink" Target="https://www.federalregister.gov/documents/2021/05/17/2021-10460/improving-the-nations-cybersecurity" TargetMode="External"/><Relationship Id="rId28" Type="http://schemas.openxmlformats.org/officeDocument/2006/relationships/hyperlink" Target="https://playbooks.idmanagement.gov/docs/playbook-sso.pdf" TargetMode="External"/><Relationship Id="rId36" Type="http://schemas.openxmlformats.org/officeDocument/2006/relationships/hyperlink" Target="https://media.defense.gov/2020/Sep/22/2002502665/-1/-1/0/CSI_MULTIFACTOR_AUTHENTICATION_SOLUTIONS_UOO17091520.PDF" TargetMode="External"/><Relationship Id="rId49" Type="http://schemas.openxmlformats.org/officeDocument/2006/relationships/hyperlink" Target="https://csrc.nist.gov/publications/detail/sp/800-210/final" TargetMode="External"/><Relationship Id="rId57" Type="http://schemas.openxmlformats.org/officeDocument/2006/relationships/hyperlink" Target="https://csrc.nist.gov/publications/detail/nistir/8149/final" TargetMode="External"/><Relationship Id="rId10" Type="http://schemas.openxmlformats.org/officeDocument/2006/relationships/hyperlink" Target="https://playbooks.idmanagement.gov/arch/services/" TargetMode="External"/><Relationship Id="rId31" Type="http://schemas.openxmlformats.org/officeDocument/2006/relationships/hyperlink" Target="https://dodcio.defense.gov/Portals/0/Documents/Cyber/DoD_Enterprise_ICAM_Reference_Design.pdf" TargetMode="External"/><Relationship Id="rId44" Type="http://schemas.openxmlformats.org/officeDocument/2006/relationships/hyperlink" Target="https://www.whitehouse.gov/wp-content/uploads/2019/05/M-19-17.pdf" TargetMode="External"/><Relationship Id="rId52" Type="http://schemas.openxmlformats.org/officeDocument/2006/relationships/hyperlink" Target="https://playbooks.idmanagement.gov/docs/playbook-sso.pdf" TargetMode="External"/><Relationship Id="rId60" Type="http://schemas.openxmlformats.org/officeDocument/2006/relationships/hyperlink" Target="https://csrc.nist.gov/publications/detail/sp/1800-13/final"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community.max.gov/display/Egov/CIO%2BCouncil%2BCloud%2Band%2BInfrastructure%2BCommunity%2Bof%2BPractice" TargetMode="External"/><Relationship Id="rId13" Type="http://schemas.openxmlformats.org/officeDocument/2006/relationships/image" Target="media/image2.png"/><Relationship Id="rId18" Type="http://schemas.openxmlformats.org/officeDocument/2006/relationships/hyperlink" Target="https://tech.gsa.gov/guides/effective_user_stories/" TargetMode="External"/><Relationship Id="rId39" Type="http://schemas.openxmlformats.org/officeDocument/2006/relationships/hyperlink" Target="https://playbooks.idmanagement.gov/arch/" TargetMode="External"/><Relationship Id="rId34" Type="http://schemas.openxmlformats.org/officeDocument/2006/relationships/hyperlink" Target="https://playbooks.idmanagement.gov/docs/playbook-dira.pdf" TargetMode="External"/><Relationship Id="rId50" Type="http://schemas.openxmlformats.org/officeDocument/2006/relationships/hyperlink" Target="https://playbooks.idmanagement.gov/docs/playbook-dira.pdf" TargetMode="External"/><Relationship Id="rId55" Type="http://schemas.openxmlformats.org/officeDocument/2006/relationships/hyperlink" Target="https://playbooks.idmanagement.gov/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29</Pages>
  <Words>7344</Words>
  <Characters>41865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Kenneth Myers</cp:lastModifiedBy>
  <cp:revision>2</cp:revision>
  <dcterms:created xsi:type="dcterms:W3CDTF">2021-09-30T17:30:00Z</dcterms:created>
  <dcterms:modified xsi:type="dcterms:W3CDTF">2021-09-30T19:54:00Z</dcterms:modified>
</cp:coreProperties>
</file>