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336" w:lineRule="auto"/>
        <w:jc w:val="center"/>
      </w:pPr>
      <w:r>
        <w:rPr>
          <w:rFonts w:ascii="Cambria" w:cs="Cambria" w:eastAsia="Cambria" w:hAnsi="Cambria"/>
          <w:b/>
          <w:bCs/>
          <w:i w:val="false"/>
          <w:iCs w:val="false"/>
          <w:strike w:val="false"/>
          <w:color w:val="8B0000"/>
          <w:spacing w:val="10"/>
          <w:sz w:val="20"/>
          <w:szCs w:val="20"/>
        </w:rPr>
        <w:t xml:space="preserve">UNCLASSIFIED // FOR OFFICIAL USE ONLY</w:t>
      </w:r>
    </w:p>
    <w:p>
      <w:pPr>
        <w:spacing w:after="240" w:before="60" w:line="336" w:lineRule="auto"/>
        <w:jc w:val="both"/>
      </w:pPr>
      <w:r>
        <w:rPr>
          <w:rFonts w:ascii="Cambria" w:cs="Cambria" w:eastAsia="Cambria" w:hAnsi="Cambria"/>
          <w:b/>
          <w:bCs/>
          <w:i w:val="false"/>
          <w:iCs w:val="false"/>
          <w:strike w:val="false"/>
          <w:color w:val="000000"/>
          <w:sz w:val="24"/>
          <w:szCs w:val="24"/>
        </w:rPr>
        <w:t xml:space="preserve">DEPARTMENT OF DEFENSE</w:t>
      </w:r>
    </w:p>
    <w:p>
      <w:pPr>
        <w:spacing w:after="240" w:before="60" w:line="336" w:lineRule="auto"/>
        <w:jc w:val="both"/>
      </w:pPr>
      <w:r>
        <w:rPr>
          <w:rFonts w:ascii="Cambria" w:cs="Cambria" w:eastAsia="Cambria" w:hAnsi="Cambria"/>
          <w:b/>
          <w:bCs/>
          <w:i w:val="false"/>
          <w:iCs w:val="false"/>
          <w:strike w:val="false"/>
          <w:color w:val="000000"/>
          <w:sz w:val="24"/>
          <w:szCs w:val="24"/>
        </w:rPr>
        <w:t xml:space="preserve">DEFENSE INFORMATION SYSTEMS AGENCY</w:t>
      </w:r>
    </w:p>
    <w:p>
      <w:pPr>
        <w:spacing w:after="240" w:before="60" w:line="336" w:lineRule="auto"/>
        <w:jc w:val="both"/>
      </w:pPr>
      <w:r>
        <w:rPr>
          <w:rFonts w:ascii="Cambria" w:cs="Cambria" w:eastAsia="Cambria" w:hAnsi="Cambria"/>
          <w:b/>
          <w:bCs/>
          <w:i w:val="false"/>
          <w:iCs w:val="false"/>
          <w:strike w:val="false"/>
          <w:color w:val="000000"/>
          <w:sz w:val="24"/>
          <w:szCs w:val="24"/>
        </w:rPr>
        <w:t xml:space="preserve">CLEARANCE-LEVEL RESPONSIBILITY SUMMARY</w:t>
      </w:r>
    </w:p>
    <w:p>
      <w:pPr>
        <w:spacing w:after="240" w:before="60" w:line="336" w:lineRule="auto"/>
        <w:jc w:val="both"/>
      </w:pPr>
      <w:r>
        <w:rPr>
          <w:rFonts w:ascii="Cambria" w:cs="Cambria" w:eastAsia="Cambria" w:hAnsi="Cambria"/>
          <w:b/>
          <w:bCs/>
          <w:i w:val="false"/>
          <w:iCs w:val="false"/>
          <w:strike w:val="false"/>
          <w:color w:val="000000"/>
          <w:sz w:val="24"/>
          <w:szCs w:val="24"/>
        </w:rPr>
        <w:t xml:space="preserve">OF AUTHORIZATIONS</w:t>
      </w:r>
    </w:p>
    <w:p>
      <w:pPr>
        <w:spacing w:after="240" w:before="60" w:line="336" w:lineRule="auto"/>
        <w:jc w:val="both"/>
      </w:pPr>
      <w:r>
        <w:rPr>
          <w:rFonts w:ascii="Cambria" w:cs="Cambria" w:eastAsia="Cambria" w:hAnsi="Cambria"/>
          <w:b w:val="false"/>
          <w:bCs w:val="false"/>
          <w:i/>
          <w:iCs/>
          <w:strike w:val="false"/>
          <w:color w:val="000000"/>
          <w:sz w:val="24"/>
          <w:szCs w:val="24"/>
        </w:rPr>
        <w:t xml:space="preserve">Prepared for:</w:t>
      </w:r>
    </w:p>
    <w:p>
      <w:pPr>
        <w:spacing w:after="240" w:before="60" w:line="336" w:lineRule="auto"/>
        <w:jc w:val="both"/>
      </w:pPr>
      <w:r>
        <w:rPr>
          <w:rFonts w:ascii="Cambria" w:cs="Cambria" w:eastAsia="Cambria" w:hAnsi="Cambria"/>
          <w:b/>
          <w:bCs/>
          <w:i w:val="false"/>
          <w:iCs w:val="false"/>
          <w:strike w:val="false"/>
          <w:color w:val="000000"/>
          <w:sz w:val="24"/>
          <w:szCs w:val="24"/>
        </w:rPr>
        <w:t xml:space="preserve">BRIAN MICHAEL FROST</w:t>
      </w:r>
    </w:p>
    <w:p>
      <w:pPr>
        <w:spacing w:after="240" w:before="60" w:line="336" w:lineRule="auto"/>
        <w:jc w:val="both"/>
      </w:pPr>
      <w:r>
        <w:rPr>
          <w:rFonts w:ascii="Cambria" w:cs="Cambria" w:eastAsia="Cambria" w:hAnsi="Cambria"/>
          <w:b w:val="false"/>
          <w:bCs w:val="false"/>
          <w:i w:val="false"/>
          <w:iCs w:val="false"/>
          <w:strike w:val="false"/>
          <w:color w:val="000000"/>
          <w:sz w:val="24"/>
          <w:szCs w:val="24"/>
        </w:rPr>
        <w:t xml:space="preserve">Senior Advisor, Office of the Secretary of Defense</w:t>
      </w:r>
    </w:p>
    <w:p>
      <w:pPr>
        <w:spacing w:after="240" w:before="60" w:line="336" w:lineRule="auto"/>
        <w:jc w:val="both"/>
      </w:pPr>
      <w:r>
        <w:rPr>
          <w:rFonts w:ascii="Cambria" w:cs="Cambria" w:eastAsia="Cambria" w:hAnsi="Cambria"/>
          <w:b w:val="false"/>
          <w:bCs w:val="false"/>
          <w:i w:val="false"/>
          <w:iCs w:val="false"/>
          <w:strike w:val="false"/>
          <w:color w:val="000000"/>
          <w:sz w:val="24"/>
          <w:szCs w:val="24"/>
        </w:rPr>
        <w:t xml:space="preserve">Edition: Version 3.0 — Print Companion</w:t>
      </w:r>
    </w:p>
    <w:p>
      <w:pPr>
        <w:spacing w:after="240" w:before="60" w:line="336" w:lineRule="auto"/>
        <w:jc w:val="both"/>
      </w:pPr>
      <w:r>
        <w:rPr>
          <w:rFonts w:ascii="Cambria" w:cs="Cambria" w:eastAsia="Cambria" w:hAnsi="Cambria"/>
          <w:b w:val="false"/>
          <w:bCs w:val="false"/>
          <w:i w:val="false"/>
          <w:iCs w:val="false"/>
          <w:strike w:val="false"/>
          <w:color w:val="000000"/>
          <w:sz w:val="24"/>
          <w:szCs w:val="24"/>
        </w:rPr>
        <w:t xml:space="preserve">Date: April 2026</w:t>
      </w:r>
    </w:p>
    <w:p>
      <w:pPr>
        <w:pBdr>
          <w:bottom w:val="single" w:color="8B0000" w:sz="6"/>
        </w:pBdr>
        <w:spacing w:after="240" w:before="240"/>
      </w:pPr>
    </w:p>
    <w:p>
      <w:pPr>
        <w:spacing w:after="240" w:line="336" w:lineRule="auto"/>
        <w:jc w:val="center"/>
      </w:pPr>
      <w:r>
        <w:rPr>
          <w:rFonts w:ascii="Cambria" w:cs="Cambria" w:eastAsia="Cambria" w:hAnsi="Cambria"/>
          <w:b/>
          <w:bCs/>
          <w:i w:val="false"/>
          <w:iCs w:val="false"/>
          <w:strike w:val="false"/>
          <w:color w:val="8B0000"/>
          <w:spacing w:val="10"/>
          <w:sz w:val="20"/>
          <w:szCs w:val="20"/>
        </w:rPr>
        <w:t xml:space="preserve">UNCLASSIFIED // FOR OFFICIAL USE ONLY</w:t>
      </w:r>
    </w:p>
    <w:p>
      <w:pPr>
        <w:spacing w:after="240" w:line="336" w:lineRule="auto"/>
        <w:jc w:val="center"/>
      </w:pPr>
      <w:r>
        <w:rPr>
          <w:rFonts w:ascii="Cambria" w:cs="Cambria" w:eastAsia="Cambria" w:hAnsi="Cambria"/>
          <w:b/>
          <w:bCs/>
          <w:i w:val="false"/>
          <w:iCs w:val="false"/>
          <w:strike w:val="false"/>
          <w:color w:val="8B0000"/>
          <w:spacing w:val="10"/>
          <w:sz w:val="20"/>
          <w:szCs w:val="20"/>
        </w:rPr>
        <w:t xml:space="preserve">UNCLASSIFIED // FOR OFFICIAL USE ONLY</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41%"/>
            <w:tcMar>
              <w:top w:type="dxa" w:w="90"/>
              <w:left w:type="dxa" w:w="150"/>
              <w:bottom w:type="dxa" w:w="90"/>
              <w:right w:type="dxa" w:w="150"/>
            </w:tcMar>
          </w:tcPr>
          <w:p>
            <w:r>
              <w:rPr>
                <w:rFonts w:ascii="Cambria" w:cs="Cambria" w:eastAsia="Cambria" w:hAnsi="Cambria"/>
                <w:b/>
                <w:bCs/>
                <w:i/>
                <w:iCs/>
                <w:strike w:val="false"/>
                <w:color w:val="333333"/>
                <w:sz w:val="20"/>
                <w:szCs w:val="20"/>
              </w:rPr>
              <w:t xml:space="preserve">Department of Defense</w:t>
            </w:r>
          </w:p>
        </w:tc>
        <w:tc>
          <w:tcPr>
            <w:tcW w:type="pct" w:w="59%"/>
            <w:tcMar>
              <w:top w:type="dxa" w:w="90"/>
              <w:left w:type="dxa" w:w="150"/>
              <w:bottom w:type="dxa" w:w="90"/>
              <w:right w:type="dxa" w:w="150"/>
            </w:tcMar>
          </w:tcPr>
          <w:p>
            <w:r>
              <w:rPr>
                <w:rFonts w:ascii="Cambria" w:cs="Cambria" w:eastAsia="Cambria" w:hAnsi="Cambria"/>
                <w:b/>
                <w:bCs/>
                <w:i/>
                <w:iCs/>
                <w:strike w:val="false"/>
                <w:color w:val="333333"/>
                <w:sz w:val="20"/>
                <w:szCs w:val="20"/>
              </w:rPr>
              <w:t xml:space="preserve">Clearance Responsibility Summary</w:t>
            </w:r>
          </w:p>
        </w:tc>
      </w:tr>
    </w:tbl>
    <w:p>
      <w:pPr>
        <w:spacing w:after="200" w:before="0"/>
      </w:pPr>
    </w:p>
    <w:p>
      <w:pPr>
        <w:pBdr>
          <w:bottom w:val="single" w:color="003366" w:sz="6"/>
        </w:pBdr>
        <w:spacing w:after="240" w:before="240"/>
      </w:pPr>
    </w:p>
    <w:p>
      <w:pPr>
        <w:spacing w:after="360" w:line="336" w:lineRule="auto"/>
        <w:jc w:val="center"/>
      </w:pPr>
      <w:r>
        <w:rPr>
          <w:rFonts w:ascii="Cambria" w:cs="Cambria" w:eastAsia="Cambria" w:hAnsi="Cambria"/>
          <w:b/>
          <w:bCs/>
          <w:i w:val="false"/>
          <w:iCs w:val="false"/>
          <w:strike w:val="false"/>
          <w:color w:val="003366"/>
          <w:sz w:val="28"/>
          <w:szCs w:val="28"/>
        </w:rPr>
        <w:t xml:space="preserve">TABLE OF CONTENTS</w:t>
      </w:r>
    </w:p>
    <w:p>
      <w:pPr>
        <w:spacing w:after="80" w:before="60" w:line="384" w:lineRule="auto"/>
        <w:jc w:val="both"/>
      </w:pPr>
      <w:r>
        <w:rPr>
          <w:rFonts w:ascii="Cambria" w:cs="Cambria" w:eastAsia="Cambria" w:hAnsi="Cambria"/>
          <w:b/>
          <w:bCs/>
          <w:i w:val="false"/>
          <w:iCs w:val="false"/>
          <w:strike w:val="false"/>
          <w:color w:val="000000"/>
          <w:sz w:val="24"/>
          <w:szCs w:val="24"/>
        </w:rPr>
        <w:t xml:space="preserve">1.0   Purpose and Scope ................................................... 3</w:t>
      </w:r>
    </w:p>
    <w:p>
      <w:pPr>
        <w:spacing w:after="80" w:before="60" w:line="384" w:lineRule="auto"/>
        <w:ind w:left="480"/>
        <w:jc w:val="both"/>
      </w:pPr>
      <w:r>
        <w:rPr>
          <w:rFonts w:ascii="Cambria" w:cs="Cambria" w:eastAsia="Cambria" w:hAnsi="Cambria"/>
          <w:b w:val="false"/>
          <w:bCs w:val="false"/>
          <w:i w:val="false"/>
          <w:iCs w:val="false"/>
          <w:strike w:val="false"/>
          <w:color w:val="000000"/>
          <w:sz w:val="24"/>
          <w:szCs w:val="24"/>
        </w:rPr>
        <w:t xml:space="preserve">1.1   Purpose .............................................................. 3</w:t>
      </w:r>
    </w:p>
    <w:p>
      <w:pPr>
        <w:spacing w:after="80" w:before="60" w:line="384" w:lineRule="auto"/>
        <w:ind w:left="480"/>
        <w:jc w:val="both"/>
      </w:pPr>
      <w:r>
        <w:rPr>
          <w:rFonts w:ascii="Cambria" w:cs="Cambria" w:eastAsia="Cambria" w:hAnsi="Cambria"/>
          <w:b w:val="false"/>
          <w:bCs w:val="false"/>
          <w:i w:val="false"/>
          <w:iCs w:val="false"/>
          <w:strike w:val="false"/>
          <w:color w:val="000000"/>
          <w:sz w:val="24"/>
          <w:szCs w:val="24"/>
        </w:rPr>
        <w:t xml:space="preserve">1.2   Scope ................................................................. 3</w:t>
      </w:r>
    </w:p>
    <w:p>
      <w:pPr>
        <w:spacing w:after="80" w:before="60" w:line="384" w:lineRule="auto"/>
        <w:ind w:left="480"/>
        <w:jc w:val="both"/>
      </w:pPr>
      <w:r>
        <w:rPr>
          <w:rFonts w:ascii="Cambria" w:cs="Cambria" w:eastAsia="Cambria" w:hAnsi="Cambria"/>
          <w:b w:val="false"/>
          <w:bCs w:val="false"/>
          <w:i w:val="false"/>
          <w:iCs w:val="false"/>
          <w:strike w:val="false"/>
          <w:color w:val="000000"/>
          <w:sz w:val="24"/>
          <w:szCs w:val="24"/>
        </w:rPr>
        <w:t xml:space="preserve">1.3   Authority ............................................................ 3</w:t>
      </w:r>
    </w:p>
    <w:p>
      <w:pPr>
        <w:spacing w:after="80" w:before="60" w:line="384" w:lineRule="auto"/>
        <w:jc w:val="both"/>
      </w:pPr>
      <w:r>
        <w:rPr>
          <w:rFonts w:ascii="Cambria" w:cs="Cambria" w:eastAsia="Cambria" w:hAnsi="Cambria"/>
          <w:b/>
          <w:bCs/>
          <w:i w:val="false"/>
          <w:iCs w:val="false"/>
          <w:strike w:val="false"/>
          <w:color w:val="000000"/>
          <w:sz w:val="24"/>
          <w:szCs w:val="24"/>
        </w:rPr>
        <w:t xml:space="preserve">2.0   Personnel Identification .......................................... 3</w:t>
      </w:r>
    </w:p>
    <w:p>
      <w:pPr>
        <w:spacing w:after="80" w:before="60" w:line="384" w:lineRule="auto"/>
        <w:jc w:val="both"/>
      </w:pPr>
      <w:r>
        <w:rPr>
          <w:rFonts w:ascii="Cambria" w:cs="Cambria" w:eastAsia="Cambria" w:hAnsi="Cambria"/>
          <w:b/>
          <w:bCs/>
          <w:i w:val="false"/>
          <w:iCs w:val="false"/>
          <w:strike w:val="false"/>
          <w:color w:val="000000"/>
          <w:sz w:val="24"/>
          <w:szCs w:val="24"/>
        </w:rPr>
        <w:t xml:space="preserve">3.0   Security Clearance Levels and Eligibilities .............. 4</w:t>
      </w:r>
    </w:p>
    <w:p>
      <w:pPr>
        <w:spacing w:after="80" w:before="60" w:line="384" w:lineRule="auto"/>
        <w:ind w:left="480"/>
        <w:jc w:val="both"/>
      </w:pPr>
      <w:r>
        <w:rPr>
          <w:rFonts w:ascii="Cambria" w:cs="Cambria" w:eastAsia="Cambria" w:hAnsi="Cambria"/>
          <w:b w:val="false"/>
          <w:bCs w:val="false"/>
          <w:i w:val="false"/>
          <w:iCs w:val="false"/>
          <w:strike w:val="false"/>
          <w:color w:val="000000"/>
          <w:sz w:val="24"/>
          <w:szCs w:val="24"/>
        </w:rPr>
        <w:t xml:space="preserve">3.1   Overview ............................................................. 4</w:t>
      </w:r>
    </w:p>
    <w:p>
      <w:pPr>
        <w:spacing w:after="80" w:before="60" w:line="384" w:lineRule="auto"/>
        <w:ind w:left="480"/>
        <w:jc w:val="both"/>
      </w:pPr>
      <w:r>
        <w:rPr>
          <w:rFonts w:ascii="Cambria" w:cs="Cambria" w:eastAsia="Cambria" w:hAnsi="Cambria"/>
          <w:b w:val="false"/>
          <w:bCs w:val="false"/>
          <w:i w:val="false"/>
          <w:iCs w:val="false"/>
          <w:strike w:val="false"/>
          <w:color w:val="000000"/>
          <w:sz w:val="24"/>
          <w:szCs w:val="24"/>
        </w:rPr>
        <w:t xml:space="preserve">3.2   Active Clearances and Eligibilities .......................... 4</w:t>
      </w:r>
    </w:p>
    <w:p>
      <w:pPr>
        <w:spacing w:after="80" w:before="60" w:line="384" w:lineRule="auto"/>
        <w:ind w:left="480"/>
        <w:jc w:val="both"/>
      </w:pPr>
      <w:r>
        <w:rPr>
          <w:rFonts w:ascii="Cambria" w:cs="Cambria" w:eastAsia="Cambria" w:hAnsi="Cambria"/>
          <w:b w:val="false"/>
          <w:bCs w:val="false"/>
          <w:i w:val="false"/>
          <w:iCs w:val="false"/>
          <w:strike w:val="false"/>
          <w:color w:val="000000"/>
          <w:sz w:val="24"/>
          <w:szCs w:val="24"/>
        </w:rPr>
        <w:t xml:space="preserve">3.3   Clearance Descriptions ......................................... 4</w:t>
      </w:r>
    </w:p>
    <w:p>
      <w:pPr>
        <w:spacing w:after="80" w:before="60" w:line="384" w:lineRule="auto"/>
        <w:jc w:val="both"/>
      </w:pPr>
      <w:r>
        <w:rPr>
          <w:rFonts w:ascii="Cambria" w:cs="Cambria" w:eastAsia="Cambria" w:hAnsi="Cambria"/>
          <w:b/>
          <w:bCs/>
          <w:i w:val="false"/>
          <w:iCs w:val="false"/>
          <w:strike w:val="false"/>
          <w:color w:val="000000"/>
          <w:sz w:val="24"/>
          <w:szCs w:val="24"/>
        </w:rPr>
        <w:t xml:space="preserve">4.0   Interagency Assignments and Responsibilities ....... 5</w:t>
      </w:r>
    </w:p>
    <w:p>
      <w:pPr>
        <w:spacing w:after="80" w:before="60" w:line="384" w:lineRule="auto"/>
        <w:ind w:left="480"/>
        <w:jc w:val="both"/>
      </w:pPr>
      <w:r>
        <w:rPr>
          <w:rFonts w:ascii="Cambria" w:cs="Cambria" w:eastAsia="Cambria" w:hAnsi="Cambria"/>
          <w:b w:val="false"/>
          <w:bCs w:val="false"/>
          <w:i w:val="false"/>
          <w:iCs w:val="false"/>
          <w:strike w:val="false"/>
          <w:color w:val="000000"/>
          <w:sz w:val="24"/>
          <w:szCs w:val="24"/>
        </w:rPr>
        <w:t xml:space="preserve">4.1   Department of Defense — OSD .............................. 5</w:t>
      </w:r>
    </w:p>
    <w:p>
      <w:pPr>
        <w:spacing w:after="80" w:before="60" w:line="384" w:lineRule="auto"/>
        <w:ind w:left="480"/>
        <w:jc w:val="both"/>
      </w:pPr>
      <w:r>
        <w:rPr>
          <w:rFonts w:ascii="Cambria" w:cs="Cambria" w:eastAsia="Cambria" w:hAnsi="Cambria"/>
          <w:b w:val="false"/>
          <w:bCs w:val="false"/>
          <w:i w:val="false"/>
          <w:iCs w:val="false"/>
          <w:strike w:val="false"/>
          <w:color w:val="000000"/>
          <w:sz w:val="24"/>
          <w:szCs w:val="24"/>
        </w:rPr>
        <w:t xml:space="preserve">4.2   Defense Information Systems Agency (DISA) ......... 5</w:t>
      </w:r>
    </w:p>
    <w:p>
      <w:pPr>
        <w:spacing w:after="80" w:before="60" w:line="384" w:lineRule="auto"/>
        <w:ind w:left="480"/>
        <w:jc w:val="both"/>
      </w:pPr>
      <w:r>
        <w:rPr>
          <w:rFonts w:ascii="Cambria" w:cs="Cambria" w:eastAsia="Cambria" w:hAnsi="Cambria"/>
          <w:b w:val="false"/>
          <w:bCs w:val="false"/>
          <w:i w:val="false"/>
          <w:iCs w:val="false"/>
          <w:strike w:val="false"/>
          <w:color w:val="000000"/>
          <w:sz w:val="24"/>
          <w:szCs w:val="24"/>
        </w:rPr>
        <w:t xml:space="preserve">4.3   United States Digital Service (USDS) ..................... 6</w:t>
      </w:r>
    </w:p>
    <w:p>
      <w:pPr>
        <w:spacing w:after="80" w:before="60" w:line="384" w:lineRule="auto"/>
        <w:jc w:val="both"/>
      </w:pPr>
      <w:r>
        <w:rPr>
          <w:rFonts w:ascii="Cambria" w:cs="Cambria" w:eastAsia="Cambria" w:hAnsi="Cambria"/>
          <w:b/>
          <w:bCs/>
          <w:i w:val="false"/>
          <w:iCs w:val="false"/>
          <w:strike w:val="false"/>
          <w:color w:val="000000"/>
          <w:sz w:val="24"/>
          <w:szCs w:val="24"/>
        </w:rPr>
        <w:t xml:space="preserve">5.0   Access Programs and Compartmented Information .. 6</w:t>
      </w:r>
    </w:p>
    <w:p>
      <w:pPr>
        <w:spacing w:after="80" w:before="60" w:line="384" w:lineRule="auto"/>
        <w:jc w:val="both"/>
      </w:pPr>
      <w:r>
        <w:rPr>
          <w:rFonts w:ascii="Cambria" w:cs="Cambria" w:eastAsia="Cambria" w:hAnsi="Cambria"/>
          <w:b/>
          <w:bCs/>
          <w:i w:val="false"/>
          <w:iCs w:val="false"/>
          <w:strike w:val="false"/>
          <w:color w:val="000000"/>
          <w:sz w:val="24"/>
          <w:szCs w:val="24"/>
        </w:rPr>
        <w:t xml:space="preserve">6.0   COMSEC and Cryptographic Material Responsibilities .... 7</w:t>
      </w:r>
    </w:p>
    <w:p>
      <w:pPr>
        <w:spacing w:after="80" w:before="60" w:line="384" w:lineRule="auto"/>
        <w:jc w:val="both"/>
      </w:pPr>
      <w:r>
        <w:rPr>
          <w:rFonts w:ascii="Cambria" w:cs="Cambria" w:eastAsia="Cambria" w:hAnsi="Cambria"/>
          <w:b/>
          <w:bCs/>
          <w:i w:val="false"/>
          <w:iCs w:val="false"/>
          <w:strike w:val="false"/>
          <w:color w:val="000000"/>
          <w:sz w:val="24"/>
          <w:szCs w:val="24"/>
        </w:rPr>
        <w:t xml:space="preserve">7.0   Continuous Evaluation and Vetting ......................... 7</w:t>
      </w:r>
    </w:p>
    <w:p>
      <w:pPr>
        <w:spacing w:after="80" w:before="60" w:line="384" w:lineRule="auto"/>
        <w:jc w:val="both"/>
      </w:pPr>
      <w:r>
        <w:rPr>
          <w:rFonts w:ascii="Cambria" w:cs="Cambria" w:eastAsia="Cambria" w:hAnsi="Cambria"/>
          <w:b/>
          <w:bCs/>
          <w:i w:val="false"/>
          <w:iCs w:val="false"/>
          <w:strike w:val="false"/>
          <w:color w:val="000000"/>
          <w:sz w:val="24"/>
          <w:szCs w:val="24"/>
        </w:rPr>
        <w:t xml:space="preserve">8.0   Credential and Identity Management ..................... 8</w:t>
      </w:r>
    </w:p>
    <w:p>
      <w:pPr>
        <w:spacing w:after="80" w:before="60" w:line="384" w:lineRule="auto"/>
        <w:jc w:val="both"/>
      </w:pPr>
      <w:r>
        <w:rPr>
          <w:rFonts w:ascii="Cambria" w:cs="Cambria" w:eastAsia="Cambria" w:hAnsi="Cambria"/>
          <w:b/>
          <w:bCs/>
          <w:i w:val="false"/>
          <w:iCs w:val="false"/>
          <w:strike w:val="false"/>
          <w:color w:val="000000"/>
          <w:sz w:val="24"/>
          <w:szCs w:val="24"/>
        </w:rPr>
        <w:t xml:space="preserve">9.0   Training and Certification Requirements ............... 8</w:t>
      </w:r>
    </w:p>
    <w:p>
      <w:pPr>
        <w:spacing w:after="80" w:before="60" w:line="384" w:lineRule="auto"/>
        <w:jc w:val="both"/>
      </w:pPr>
      <w:r>
        <w:rPr>
          <w:rFonts w:ascii="Cambria" w:cs="Cambria" w:eastAsia="Cambria" w:hAnsi="Cambria"/>
          <w:b/>
          <w:bCs/>
          <w:i w:val="false"/>
          <w:iCs w:val="false"/>
          <w:strike w:val="false"/>
          <w:color w:val="000000"/>
          <w:sz w:val="24"/>
          <w:szCs w:val="24"/>
        </w:rPr>
        <w:t xml:space="preserve">10.0   Compliance and Accountability ............................. 9</w:t>
      </w:r>
    </w:p>
    <w:p>
      <w:pPr>
        <w:spacing w:after="80" w:before="60" w:line="384" w:lineRule="auto"/>
        <w:jc w:val="both"/>
      </w:pPr>
      <w:r>
        <w:rPr>
          <w:rFonts w:ascii="Cambria" w:cs="Cambria" w:eastAsia="Cambria" w:hAnsi="Cambria"/>
          <w:b/>
          <w:bCs/>
          <w:i w:val="false"/>
          <w:iCs w:val="false"/>
          <w:strike w:val="false"/>
          <w:color w:val="000000"/>
          <w:sz w:val="24"/>
          <w:szCs w:val="24"/>
        </w:rPr>
        <w:t xml:space="preserve">Certification ............................................................... 9</w:t>
      </w:r>
    </w:p>
    <w:p>
      <w:pPr>
        <w:pBdr>
          <w:bottom w:val="single" w:color="003366" w:sz="6"/>
        </w:pBdr>
        <w:spacing w:after="240" w:before="240"/>
      </w:pP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81%"/>
            <w:tcMar>
              <w:top w:type="dxa" w:w="90"/>
              <w:left w:type="dxa" w:w="150"/>
              <w:bottom w:type="dxa" w:w="90"/>
              <w:right w:type="dxa" w:w="150"/>
            </w:tcMar>
          </w:tcPr>
          <w:p>
            <w:r>
              <w:rPr>
                <w:rFonts w:ascii="Cambria" w:cs="Cambria" w:eastAsia="Cambria" w:hAnsi="Cambria"/>
                <w:b w:val="false"/>
                <w:bCs w:val="false"/>
                <w:i w:val="false"/>
                <w:iCs w:val="false"/>
                <w:strike w:val="false"/>
                <w:color w:val="555555"/>
                <w:sz w:val="18"/>
                <w:szCs w:val="18"/>
              </w:rPr>
              <w:t xml:space="preserve">Brian Michael Frost – Senior Advisor, OSD</w:t>
            </w:r>
          </w:p>
        </w:tc>
        <w:tc>
          <w:tcPr>
            <w:tcW w:type="pct" w:w="19%"/>
            <w:tcMar>
              <w:top w:type="dxa" w:w="90"/>
              <w:left w:type="dxa" w:w="150"/>
              <w:bottom w:type="dxa" w:w="90"/>
              <w:right w:type="dxa" w:w="150"/>
            </w:tcMar>
          </w:tcPr>
          <w:p>
            <w:r>
              <w:rPr>
                <w:rFonts w:ascii="Cambria" w:cs="Cambria" w:eastAsia="Cambria" w:hAnsi="Cambria"/>
                <w:b w:val="false"/>
                <w:bCs w:val="false"/>
                <w:i w:val="false"/>
                <w:iCs w:val="false"/>
                <w:strike w:val="false"/>
                <w:color w:val="555555"/>
                <w:sz w:val="18"/>
                <w:szCs w:val="18"/>
              </w:rPr>
              <w:t xml:space="preserve">Page 2</w:t>
            </w:r>
          </w:p>
        </w:tc>
      </w:tr>
    </w:tbl>
    <w:p>
      <w:pPr>
        <w:spacing w:after="200" w:before="0"/>
      </w:pPr>
    </w:p>
    <w:p>
      <w:pPr>
        <w:pBdr>
          <w:bottom w:val="single" w:color="8B0000" w:sz="6"/>
        </w:pBdr>
        <w:spacing w:after="240" w:before="240"/>
      </w:pPr>
    </w:p>
    <w:p>
      <w:pPr>
        <w:spacing w:after="240" w:line="336" w:lineRule="auto"/>
        <w:jc w:val="center"/>
      </w:pPr>
      <w:r>
        <w:rPr>
          <w:rFonts w:ascii="Cambria" w:cs="Cambria" w:eastAsia="Cambria" w:hAnsi="Cambria"/>
          <w:b/>
          <w:bCs/>
          <w:i w:val="false"/>
          <w:iCs w:val="false"/>
          <w:strike w:val="false"/>
          <w:color w:val="8B0000"/>
          <w:spacing w:val="10"/>
          <w:sz w:val="20"/>
          <w:szCs w:val="20"/>
        </w:rPr>
        <w:t xml:space="preserve">UNCLASSIFIED // FOR OFFICIAL USE ONLY</w:t>
      </w:r>
    </w:p>
    <w:p>
      <w:pPr>
        <w:spacing w:after="240" w:line="336" w:lineRule="auto"/>
        <w:jc w:val="center"/>
      </w:pPr>
      <w:r>
        <w:rPr>
          <w:rFonts w:ascii="Cambria" w:cs="Cambria" w:eastAsia="Cambria" w:hAnsi="Cambria"/>
          <w:b/>
          <w:bCs/>
          <w:i w:val="false"/>
          <w:iCs w:val="false"/>
          <w:strike w:val="false"/>
          <w:color w:val="8B0000"/>
          <w:spacing w:val="10"/>
          <w:sz w:val="20"/>
          <w:szCs w:val="20"/>
        </w:rPr>
        <w:t xml:space="preserve">UNCLASSIFIED // FOR OFFICIAL USE ONLY</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41%"/>
            <w:tcMar>
              <w:top w:type="dxa" w:w="90"/>
              <w:left w:type="dxa" w:w="150"/>
              <w:bottom w:type="dxa" w:w="90"/>
              <w:right w:type="dxa" w:w="150"/>
            </w:tcMar>
          </w:tcPr>
          <w:p>
            <w:r>
              <w:rPr>
                <w:rFonts w:ascii="Cambria" w:cs="Cambria" w:eastAsia="Cambria" w:hAnsi="Cambria"/>
                <w:b/>
                <w:bCs/>
                <w:i/>
                <w:iCs/>
                <w:strike w:val="false"/>
                <w:color w:val="333333"/>
                <w:sz w:val="20"/>
                <w:szCs w:val="20"/>
              </w:rPr>
              <w:t xml:space="preserve">Department of Defense</w:t>
            </w:r>
          </w:p>
        </w:tc>
        <w:tc>
          <w:tcPr>
            <w:tcW w:type="pct" w:w="59%"/>
            <w:tcMar>
              <w:top w:type="dxa" w:w="90"/>
              <w:left w:type="dxa" w:w="150"/>
              <w:bottom w:type="dxa" w:w="90"/>
              <w:right w:type="dxa" w:w="150"/>
            </w:tcMar>
          </w:tcPr>
          <w:p>
            <w:r>
              <w:rPr>
                <w:rFonts w:ascii="Cambria" w:cs="Cambria" w:eastAsia="Cambria" w:hAnsi="Cambria"/>
                <w:b/>
                <w:bCs/>
                <w:i/>
                <w:iCs/>
                <w:strike w:val="false"/>
                <w:color w:val="333333"/>
                <w:sz w:val="20"/>
                <w:szCs w:val="20"/>
              </w:rPr>
              <w:t xml:space="preserve">Clearance Responsibility Summary</w:t>
            </w:r>
          </w:p>
        </w:tc>
      </w:tr>
    </w:tbl>
    <w:p>
      <w:pPr>
        <w:spacing w:after="200" w:before="0"/>
      </w:pPr>
    </w:p>
    <w:p>
      <w:pPr>
        <w:pBdr>
          <w:bottom w:val="single" w:color="003366" w:sz="6"/>
        </w:pBdr>
        <w:spacing w:after="240" w:before="240"/>
      </w:pPr>
    </w:p>
    <w:p>
      <w:pPr>
        <w:pStyle w:val="Heading1"/>
        <w:spacing w:after="60" w:before="480" w:line="312" w:lineRule="auto"/>
      </w:pPr>
      <w:r>
        <w:rPr>
          <w:rFonts w:ascii="Cambria" w:cs="Cambria" w:eastAsia="Cambria" w:hAnsi="Cambria"/>
          <w:color w:val="000000"/>
          <w:sz w:val="28"/>
          <w:szCs w:val="28"/>
        </w:rPr>
        <w:t xml:space="preserve">1.0   PURPOSE AND SCOPE</w:t>
      </w:r>
    </w:p>
    <w:p>
      <w:pPr>
        <w:pStyle w:val="Heading2"/>
        <w:spacing w:after="120" w:before="280" w:line="312" w:lineRule="auto"/>
      </w:pPr>
      <w:r>
        <w:rPr>
          <w:rFonts w:ascii="Cambria" w:cs="Cambria" w:eastAsia="Cambria" w:hAnsi="Cambria"/>
          <w:color w:val="000000"/>
          <w:sz w:val="24"/>
          <w:szCs w:val="24"/>
        </w:rPr>
        <w:t xml:space="preserve">1.1   Purpose</w:t>
      </w:r>
    </w:p>
    <w:p>
      <w:pPr>
        <w:spacing w:after="240" w:before="60" w:line="336" w:lineRule="auto"/>
        <w:jc w:val="both"/>
      </w:pPr>
      <w:r>
        <w:rPr>
          <w:rFonts w:ascii="Cambria" w:cs="Cambria" w:eastAsia="Cambria" w:hAnsi="Cambria"/>
          <w:b w:val="false"/>
          <w:bCs w:val="false"/>
          <w:i w:val="false"/>
          <w:iCs w:val="false"/>
          <w:strike w:val="false"/>
          <w:color w:val="000000"/>
          <w:sz w:val="24"/>
          <w:szCs w:val="24"/>
        </w:rPr>
        <w:t xml:space="preserve">This document provides a comprehensive, consolidated summary of all security clearance levels, special access program eligibilities, personnel vetting tiers, and associated responsibilities held by Brian Michael Frost in connection with duties performed for the Department of Defense (DoD), the Defense Information Systems Agency (DISA), and the United States Digital Service (USDS). It serves as an authoritative reference for oversight, compliance, and accountability.</w:t>
      </w:r>
    </w:p>
    <w:p>
      <w:pPr>
        <w:pStyle w:val="Heading2"/>
        <w:spacing w:after="120" w:before="280" w:line="312" w:lineRule="auto"/>
      </w:pPr>
      <w:r>
        <w:rPr>
          <w:rFonts w:ascii="Cambria" w:cs="Cambria" w:eastAsia="Cambria" w:hAnsi="Cambria"/>
          <w:color w:val="000000"/>
          <w:sz w:val="24"/>
          <w:szCs w:val="24"/>
        </w:rPr>
        <w:t xml:space="preserve">1.2   Scope</w:t>
      </w:r>
    </w:p>
    <w:p>
      <w:pPr>
        <w:spacing w:after="240" w:before="60" w:line="336" w:lineRule="auto"/>
        <w:jc w:val="both"/>
      </w:pPr>
      <w:r>
        <w:rPr>
          <w:rFonts w:ascii="Cambria" w:cs="Cambria" w:eastAsia="Cambria" w:hAnsi="Cambria"/>
          <w:b w:val="false"/>
          <w:bCs w:val="false"/>
          <w:i w:val="false"/>
          <w:iCs w:val="false"/>
          <w:strike w:val="false"/>
          <w:color w:val="000000"/>
          <w:sz w:val="24"/>
          <w:szCs w:val="24"/>
        </w:rPr>
        <w:t xml:space="preserve">This summary encompasses all active authorizations, access privileges, credential assignments, and compliance obligations as of the date of publication. It integrates responsibilities previously documented across multiple agency-specific instruments into a single, unified record.</w:t>
      </w:r>
    </w:p>
    <w:p>
      <w:pPr>
        <w:pStyle w:val="Heading2"/>
        <w:spacing w:after="120" w:before="280" w:line="312" w:lineRule="auto"/>
      </w:pPr>
      <w:r>
        <w:rPr>
          <w:rFonts w:ascii="Cambria" w:cs="Cambria" w:eastAsia="Cambria" w:hAnsi="Cambria"/>
          <w:color w:val="000000"/>
          <w:sz w:val="24"/>
          <w:szCs w:val="24"/>
        </w:rPr>
        <w:t xml:space="preserve">1.3   Authority</w:t>
      </w:r>
    </w:p>
    <w:p>
      <w:pPr>
        <w:spacing w:after="240" w:before="60" w:line="336" w:lineRule="auto"/>
        <w:jc w:val="both"/>
      </w:pPr>
      <w:r>
        <w:rPr>
          <w:rFonts w:ascii="Cambria" w:cs="Cambria" w:eastAsia="Cambria" w:hAnsi="Cambria"/>
          <w:b w:val="false"/>
          <w:bCs w:val="false"/>
          <w:i w:val="false"/>
          <w:iCs w:val="false"/>
          <w:strike w:val="false"/>
          <w:color w:val="000000"/>
          <w:sz w:val="24"/>
          <w:szCs w:val="24"/>
        </w:rPr>
        <w:t xml:space="preserve">Prepared in accordance with DoD Manual 5200.02 (Procedures for the DoD Personnel Security Program), DoDI 5200.01 (DoD Information Security Program), ICD 704 (Personnel Security Standards and Procedures), and applicable DISA and USDS operational directives.</w:t>
      </w:r>
    </w:p>
    <w:p>
      <w:pPr>
        <w:pStyle w:val="Heading1"/>
        <w:spacing w:after="60" w:before="480" w:line="312" w:lineRule="auto"/>
      </w:pPr>
      <w:r>
        <w:rPr>
          <w:rFonts w:ascii="Cambria" w:cs="Cambria" w:eastAsia="Cambria" w:hAnsi="Cambria"/>
          <w:color w:val="000000"/>
          <w:sz w:val="28"/>
          <w:szCs w:val="28"/>
        </w:rPr>
        <w:t xml:space="preserve">2.0   PERSONNEL IDENTIFICATION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33%"/>
            <w:shd w:fill="D6DFE8" w:color="auto" w:val="clear"/>
            <w:tcMar>
              <w:top w:type="dxa" w:w="90"/>
              <w:left w:type="dxa" w:w="150"/>
              <w:bottom w:type="dxa" w:w="90"/>
              <w:right w:type="dxa" w:w="150"/>
            </w:tcMar>
          </w:tcPr>
          <w:p>
            <w:r>
              <w:rPr>
                <w:rFonts w:ascii="Cambria" w:cs="Cambria" w:eastAsia="Cambria" w:hAnsi="Cambria"/>
                <w:b/>
                <w:bCs/>
                <w:i w:val="false"/>
                <w:iCs w:val="false"/>
                <w:strike w:val="false"/>
                <w:color w:val="003366"/>
                <w:sz w:val="22"/>
                <w:szCs w:val="22"/>
              </w:rPr>
              <w:t xml:space="preserve">Field</w:t>
            </w:r>
          </w:p>
        </w:tc>
        <w:tc>
          <w:tcPr>
            <w:tcW w:type="pct" w:w="67%"/>
            <w:shd w:fill="D6DFE8" w:color="auto" w:val="clear"/>
            <w:tcMar>
              <w:top w:type="dxa" w:w="90"/>
              <w:left w:type="dxa" w:w="150"/>
              <w:bottom w:type="dxa" w:w="90"/>
              <w:right w:type="dxa" w:w="150"/>
            </w:tcMar>
          </w:tcPr>
          <w:p>
            <w:r>
              <w:rPr>
                <w:rFonts w:ascii="Cambria" w:cs="Cambria" w:eastAsia="Cambria" w:hAnsi="Cambria"/>
                <w:b/>
                <w:bCs/>
                <w:i w:val="false"/>
                <w:iCs w:val="false"/>
                <w:strike w:val="false"/>
                <w:color w:val="003366"/>
                <w:sz w:val="22"/>
                <w:szCs w:val="22"/>
              </w:rPr>
              <w:t xml:space="preserve">Detail</w:t>
            </w:r>
          </w:p>
        </w:tc>
      </w:tr>
      <w:tr>
        <w:trPr>
          <w:tblHeader w:val="false"/>
        </w:trPr>
        <w:tc>
          <w:tcPr>
            <w:tcW w:type="pct" w:w="33%"/>
            <w:tcMar>
              <w:top w:type="dxa" w:w="90"/>
              <w:left w:type="dxa" w:w="150"/>
              <w:bottom w:type="dxa" w:w="90"/>
              <w:right w:type="dxa" w:w="150"/>
            </w:tcMar>
          </w:tcPr>
          <w:p>
            <w:r>
              <w:rPr>
                <w:rFonts w:ascii="Cambria" w:cs="Cambria" w:eastAsia="Cambria" w:hAnsi="Cambria"/>
                <w:b/>
                <w:bCs/>
                <w:i w:val="false"/>
                <w:iCs w:val="false"/>
                <w:strike w:val="false"/>
                <w:color w:val="000000"/>
                <w:sz w:val="24"/>
                <w:szCs w:val="24"/>
              </w:rPr>
              <w:t xml:space="preserve">Full Legal Name</w:t>
            </w:r>
          </w:p>
        </w:tc>
        <w:tc>
          <w:tcPr>
            <w:tcW w:type="pct" w:w="67%"/>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2"/>
                <w:szCs w:val="22"/>
              </w:rPr>
              <w:t xml:space="preserve">Brian Michael Frost</w:t>
            </w:r>
          </w:p>
        </w:tc>
      </w:tr>
      <w:tr>
        <w:trPr>
          <w:tblHeader w:val="false"/>
        </w:trPr>
        <w:tc>
          <w:tcPr>
            <w:tcW w:type="pct" w:w="33%"/>
            <w:tcMar>
              <w:top w:type="dxa" w:w="90"/>
              <w:left w:type="dxa" w:w="150"/>
              <w:bottom w:type="dxa" w:w="90"/>
              <w:right w:type="dxa" w:w="150"/>
            </w:tcMar>
          </w:tcPr>
          <w:p>
            <w:r>
              <w:rPr>
                <w:rFonts w:ascii="Cambria" w:cs="Cambria" w:eastAsia="Cambria" w:hAnsi="Cambria"/>
                <w:b/>
                <w:bCs/>
                <w:i w:val="false"/>
                <w:iCs w:val="false"/>
                <w:strike w:val="false"/>
                <w:color w:val="000000"/>
                <w:sz w:val="24"/>
                <w:szCs w:val="24"/>
              </w:rPr>
              <w:t xml:space="preserve">Current Position</w:t>
            </w:r>
          </w:p>
        </w:tc>
        <w:tc>
          <w:tcPr>
            <w:tcW w:type="pct" w:w="67%"/>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2"/>
                <w:szCs w:val="22"/>
              </w:rPr>
              <w:t xml:space="preserve">Senior Advisor</w:t>
            </w:r>
          </w:p>
        </w:tc>
      </w:tr>
      <w:tr>
        <w:trPr>
          <w:tblHeader w:val="false"/>
        </w:trPr>
        <w:tc>
          <w:tcPr>
            <w:tcW w:type="pct" w:w="33%"/>
            <w:tcMar>
              <w:top w:type="dxa" w:w="90"/>
              <w:left w:type="dxa" w:w="150"/>
              <w:bottom w:type="dxa" w:w="90"/>
              <w:right w:type="dxa" w:w="150"/>
            </w:tcMar>
          </w:tcPr>
          <w:p>
            <w:r>
              <w:rPr>
                <w:rFonts w:ascii="Cambria" w:cs="Cambria" w:eastAsia="Cambria" w:hAnsi="Cambria"/>
                <w:b/>
                <w:bCs/>
                <w:i w:val="false"/>
                <w:iCs w:val="false"/>
                <w:strike w:val="false"/>
                <w:color w:val="000000"/>
                <w:sz w:val="24"/>
                <w:szCs w:val="24"/>
              </w:rPr>
              <w:t xml:space="preserve">Organization</w:t>
            </w:r>
          </w:p>
        </w:tc>
        <w:tc>
          <w:tcPr>
            <w:tcW w:type="pct" w:w="67%"/>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2"/>
                <w:szCs w:val="22"/>
              </w:rPr>
              <w:t xml:space="preserve">Office of the Secretary of Defense (OSD)</w:t>
            </w:r>
          </w:p>
        </w:tc>
      </w:tr>
      <w:tr>
        <w:trPr>
          <w:tblHeader w:val="false"/>
        </w:trPr>
        <w:tc>
          <w:tcPr>
            <w:tcW w:type="pct" w:w="33%"/>
            <w:tcMar>
              <w:top w:type="dxa" w:w="90"/>
              <w:left w:type="dxa" w:w="150"/>
              <w:bottom w:type="dxa" w:w="90"/>
              <w:right w:type="dxa" w:w="150"/>
            </w:tcMar>
          </w:tcPr>
          <w:p>
            <w:r>
              <w:rPr>
                <w:rFonts w:ascii="Cambria" w:cs="Cambria" w:eastAsia="Cambria" w:hAnsi="Cambria"/>
                <w:b/>
                <w:bCs/>
                <w:i w:val="false"/>
                <w:iCs w:val="false"/>
                <w:strike w:val="false"/>
                <w:color w:val="000000"/>
                <w:sz w:val="24"/>
                <w:szCs w:val="24"/>
              </w:rPr>
              <w:t xml:space="preserve">Component Affiliations</w:t>
            </w:r>
          </w:p>
        </w:tc>
        <w:tc>
          <w:tcPr>
            <w:tcW w:type="pct" w:w="67%"/>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2"/>
                <w:szCs w:val="22"/>
              </w:rPr>
              <w:t xml:space="preserve">DoD (OSD), DISA, USDS</w:t>
            </w:r>
          </w:p>
        </w:tc>
      </w:tr>
      <w:tr>
        <w:trPr>
          <w:tblHeader w:val="false"/>
        </w:trPr>
        <w:tc>
          <w:tcPr>
            <w:tcW w:type="pct" w:w="33%"/>
            <w:tcMar>
              <w:top w:type="dxa" w:w="90"/>
              <w:left w:type="dxa" w:w="150"/>
              <w:bottom w:type="dxa" w:w="90"/>
              <w:right w:type="dxa" w:w="150"/>
            </w:tcMar>
          </w:tcPr>
          <w:p>
            <w:r>
              <w:rPr>
                <w:rFonts w:ascii="Cambria" w:cs="Cambria" w:eastAsia="Cambria" w:hAnsi="Cambria"/>
                <w:b/>
                <w:bCs/>
                <w:i w:val="false"/>
                <w:iCs w:val="false"/>
                <w:strike w:val="false"/>
                <w:color w:val="000000"/>
                <w:sz w:val="24"/>
                <w:szCs w:val="24"/>
              </w:rPr>
              <w:t xml:space="preserve">Duty Station</w:t>
            </w:r>
          </w:p>
        </w:tc>
        <w:tc>
          <w:tcPr>
            <w:tcW w:type="pct" w:w="67%"/>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2"/>
                <w:szCs w:val="22"/>
              </w:rPr>
              <w:t xml:space="preserve">Pentagon / Fort Meade / Remote (as assigned)</w:t>
            </w:r>
          </w:p>
        </w:tc>
      </w:tr>
      <w:tr>
        <w:trPr>
          <w:tblHeader w:val="false"/>
        </w:trPr>
        <w:tc>
          <w:tcPr>
            <w:tcW w:type="pct" w:w="33%"/>
            <w:tcMar>
              <w:top w:type="dxa" w:w="90"/>
              <w:left w:type="dxa" w:w="150"/>
              <w:bottom w:type="dxa" w:w="90"/>
              <w:right w:type="dxa" w:w="150"/>
            </w:tcMar>
          </w:tcPr>
          <w:p>
            <w:r>
              <w:rPr>
                <w:rFonts w:ascii="Cambria" w:cs="Cambria" w:eastAsia="Cambria" w:hAnsi="Cambria"/>
                <w:b/>
                <w:bCs/>
                <w:i w:val="false"/>
                <w:iCs w:val="false"/>
                <w:strike w:val="false"/>
                <w:color w:val="000000"/>
                <w:sz w:val="24"/>
                <w:szCs w:val="24"/>
              </w:rPr>
              <w:t xml:space="preserve">Vetting Tier</w:t>
            </w:r>
          </w:p>
        </w:tc>
        <w:tc>
          <w:tcPr>
            <w:tcW w:type="pct" w:w="67%"/>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2"/>
                <w:szCs w:val="22"/>
              </w:rPr>
              <w:t xml:space="preserve">Tier 5 (T5) — Highest-level background investigation</w:t>
            </w:r>
          </w:p>
        </w:tc>
      </w:tr>
      <w:tr>
        <w:trPr>
          <w:tblHeader w:val="false"/>
        </w:trPr>
        <w:tc>
          <w:tcPr>
            <w:tcW w:type="pct" w:w="33%"/>
            <w:tcMar>
              <w:top w:type="dxa" w:w="90"/>
              <w:left w:type="dxa" w:w="150"/>
              <w:bottom w:type="dxa" w:w="90"/>
              <w:right w:type="dxa" w:w="150"/>
            </w:tcMar>
          </w:tcPr>
          <w:p>
            <w:r>
              <w:rPr>
                <w:rFonts w:ascii="Cambria" w:cs="Cambria" w:eastAsia="Cambria" w:hAnsi="Cambria"/>
                <w:b/>
                <w:bCs/>
                <w:i w:val="false"/>
                <w:iCs w:val="false"/>
                <w:strike w:val="false"/>
                <w:color w:val="000000"/>
                <w:sz w:val="24"/>
                <w:szCs w:val="24"/>
              </w:rPr>
              <w:t xml:space="preserve">Eligibility Status</w:t>
            </w:r>
          </w:p>
        </w:tc>
        <w:tc>
          <w:tcPr>
            <w:tcW w:type="pct" w:w="67%"/>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2"/>
                <w:szCs w:val="22"/>
              </w:rPr>
              <w:t xml:space="preserve">Active — Continuous Evaluation Enrolled</w:t>
            </w:r>
          </w:p>
        </w:tc>
      </w:tr>
    </w:tbl>
    <w:p>
      <w:pPr>
        <w:spacing w:after="200" w:before="0"/>
      </w:pPr>
    </w:p>
    <w:p>
      <w:pPr>
        <w:pBdr>
          <w:bottom w:val="single" w:color="003366" w:sz="6"/>
        </w:pBdr>
        <w:spacing w:after="240" w:before="240"/>
      </w:pP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81%"/>
            <w:tcMar>
              <w:top w:type="dxa" w:w="90"/>
              <w:left w:type="dxa" w:w="150"/>
              <w:bottom w:type="dxa" w:w="90"/>
              <w:right w:type="dxa" w:w="150"/>
            </w:tcMar>
          </w:tcPr>
          <w:p>
            <w:r>
              <w:rPr>
                <w:rFonts w:ascii="Cambria" w:cs="Cambria" w:eastAsia="Cambria" w:hAnsi="Cambria"/>
                <w:b w:val="false"/>
                <w:bCs w:val="false"/>
                <w:i w:val="false"/>
                <w:iCs w:val="false"/>
                <w:strike w:val="false"/>
                <w:color w:val="555555"/>
                <w:sz w:val="18"/>
                <w:szCs w:val="18"/>
              </w:rPr>
              <w:t xml:space="preserve">Brian Michael Frost – Senior Advisor, OSD</w:t>
            </w:r>
          </w:p>
        </w:tc>
        <w:tc>
          <w:tcPr>
            <w:tcW w:type="pct" w:w="19%"/>
            <w:tcMar>
              <w:top w:type="dxa" w:w="90"/>
              <w:left w:type="dxa" w:w="150"/>
              <w:bottom w:type="dxa" w:w="90"/>
              <w:right w:type="dxa" w:w="150"/>
            </w:tcMar>
          </w:tcPr>
          <w:p>
            <w:r>
              <w:rPr>
                <w:rFonts w:ascii="Cambria" w:cs="Cambria" w:eastAsia="Cambria" w:hAnsi="Cambria"/>
                <w:b w:val="false"/>
                <w:bCs w:val="false"/>
                <w:i w:val="false"/>
                <w:iCs w:val="false"/>
                <w:strike w:val="false"/>
                <w:color w:val="555555"/>
                <w:sz w:val="18"/>
                <w:szCs w:val="18"/>
              </w:rPr>
              <w:t xml:space="preserve">Page 3</w:t>
            </w:r>
          </w:p>
        </w:tc>
      </w:tr>
    </w:tbl>
    <w:p>
      <w:pPr>
        <w:spacing w:after="200" w:before="0"/>
      </w:pPr>
    </w:p>
    <w:p>
      <w:pPr>
        <w:pBdr>
          <w:bottom w:val="single" w:color="8B0000" w:sz="6"/>
        </w:pBdr>
        <w:spacing w:after="240" w:before="240"/>
      </w:pPr>
    </w:p>
    <w:p>
      <w:pPr>
        <w:spacing w:after="240" w:line="336" w:lineRule="auto"/>
        <w:jc w:val="center"/>
      </w:pPr>
      <w:r>
        <w:rPr>
          <w:rFonts w:ascii="Cambria" w:cs="Cambria" w:eastAsia="Cambria" w:hAnsi="Cambria"/>
          <w:b/>
          <w:bCs/>
          <w:i w:val="false"/>
          <w:iCs w:val="false"/>
          <w:strike w:val="false"/>
          <w:color w:val="8B0000"/>
          <w:spacing w:val="10"/>
          <w:sz w:val="20"/>
          <w:szCs w:val="20"/>
        </w:rPr>
        <w:t xml:space="preserve">UNCLASSIFIED // FOR OFFICIAL USE ONLY</w:t>
      </w:r>
    </w:p>
    <w:p>
      <w:pPr>
        <w:spacing w:after="240" w:line="336" w:lineRule="auto"/>
        <w:jc w:val="center"/>
      </w:pPr>
      <w:r>
        <w:rPr>
          <w:rFonts w:ascii="Cambria" w:cs="Cambria" w:eastAsia="Cambria" w:hAnsi="Cambria"/>
          <w:b/>
          <w:bCs/>
          <w:i w:val="false"/>
          <w:iCs w:val="false"/>
          <w:strike w:val="false"/>
          <w:color w:val="8B0000"/>
          <w:spacing w:val="10"/>
          <w:sz w:val="20"/>
          <w:szCs w:val="20"/>
        </w:rPr>
        <w:t xml:space="preserve">UNCLASSIFIED // FOR OFFICIAL USE ONLY</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41%"/>
            <w:tcMar>
              <w:top w:type="dxa" w:w="90"/>
              <w:left w:type="dxa" w:w="150"/>
              <w:bottom w:type="dxa" w:w="90"/>
              <w:right w:type="dxa" w:w="150"/>
            </w:tcMar>
          </w:tcPr>
          <w:p>
            <w:r>
              <w:rPr>
                <w:rFonts w:ascii="Cambria" w:cs="Cambria" w:eastAsia="Cambria" w:hAnsi="Cambria"/>
                <w:b/>
                <w:bCs/>
                <w:i/>
                <w:iCs/>
                <w:strike w:val="false"/>
                <w:color w:val="333333"/>
                <w:sz w:val="20"/>
                <w:szCs w:val="20"/>
              </w:rPr>
              <w:t xml:space="preserve">Department of Defense</w:t>
            </w:r>
          </w:p>
        </w:tc>
        <w:tc>
          <w:tcPr>
            <w:tcW w:type="pct" w:w="59%"/>
            <w:tcMar>
              <w:top w:type="dxa" w:w="90"/>
              <w:left w:type="dxa" w:w="150"/>
              <w:bottom w:type="dxa" w:w="90"/>
              <w:right w:type="dxa" w:w="150"/>
            </w:tcMar>
          </w:tcPr>
          <w:p>
            <w:r>
              <w:rPr>
                <w:rFonts w:ascii="Cambria" w:cs="Cambria" w:eastAsia="Cambria" w:hAnsi="Cambria"/>
                <w:b/>
                <w:bCs/>
                <w:i/>
                <w:iCs/>
                <w:strike w:val="false"/>
                <w:color w:val="333333"/>
                <w:sz w:val="20"/>
                <w:szCs w:val="20"/>
              </w:rPr>
              <w:t xml:space="preserve">Clearance Responsibility Summary</w:t>
            </w:r>
          </w:p>
        </w:tc>
      </w:tr>
    </w:tbl>
    <w:p>
      <w:pPr>
        <w:spacing w:after="200" w:before="0"/>
      </w:pPr>
    </w:p>
    <w:p>
      <w:pPr>
        <w:pBdr>
          <w:bottom w:val="single" w:color="003366" w:sz="6"/>
        </w:pBdr>
        <w:spacing w:after="240" w:before="240"/>
      </w:pPr>
    </w:p>
    <w:p>
      <w:pPr>
        <w:pStyle w:val="Heading1"/>
        <w:spacing w:after="60" w:before="480" w:line="312" w:lineRule="auto"/>
      </w:pPr>
      <w:r>
        <w:rPr>
          <w:rFonts w:ascii="Cambria" w:cs="Cambria" w:eastAsia="Cambria" w:hAnsi="Cambria"/>
          <w:color w:val="000000"/>
          <w:sz w:val="28"/>
          <w:szCs w:val="28"/>
        </w:rPr>
        <w:t xml:space="preserve">3.0   SECURITY CLEARANCE LEVELS AND ELIGIBILITIES</w:t>
      </w:r>
    </w:p>
    <w:p>
      <w:pPr>
        <w:pStyle w:val="Heading2"/>
        <w:spacing w:after="120" w:before="280" w:line="312" w:lineRule="auto"/>
      </w:pPr>
      <w:r>
        <w:rPr>
          <w:rFonts w:ascii="Cambria" w:cs="Cambria" w:eastAsia="Cambria" w:hAnsi="Cambria"/>
          <w:color w:val="000000"/>
          <w:sz w:val="24"/>
          <w:szCs w:val="24"/>
        </w:rPr>
        <w:t xml:space="preserve">3.1   Overview</w:t>
      </w:r>
    </w:p>
    <w:p>
      <w:pPr>
        <w:spacing w:after="240" w:before="60" w:line="336" w:lineRule="auto"/>
        <w:jc w:val="both"/>
      </w:pPr>
      <w:r>
        <w:rPr>
          <w:rFonts w:ascii="Cambria" w:cs="Cambria" w:eastAsia="Cambria" w:hAnsi="Cambria"/>
          <w:b w:val="false"/>
          <w:bCs w:val="false"/>
          <w:i w:val="false"/>
          <w:iCs w:val="false"/>
          <w:strike w:val="false"/>
          <w:color w:val="000000"/>
          <w:sz w:val="24"/>
          <w:szCs w:val="24"/>
        </w:rPr>
        <w:t xml:space="preserve">Mr. Frost holds the highest levels of personnel security clearance and program access authorized within the Department of Defense.</w:t>
      </w:r>
    </w:p>
    <w:p>
      <w:pPr>
        <w:pStyle w:val="Heading2"/>
        <w:spacing w:after="120" w:before="280" w:line="312" w:lineRule="auto"/>
      </w:pPr>
      <w:r>
        <w:rPr>
          <w:rFonts w:ascii="Cambria" w:cs="Cambria" w:eastAsia="Cambria" w:hAnsi="Cambria"/>
          <w:color w:val="000000"/>
          <w:sz w:val="24"/>
          <w:szCs w:val="24"/>
        </w:rPr>
        <w:t xml:space="preserve">3.2   Active Clearances and Eligibilities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34%"/>
            <w:shd w:fill="D6DFE8" w:color="auto" w:val="clear"/>
            <w:tcMar>
              <w:top w:type="dxa" w:w="90"/>
              <w:left w:type="dxa" w:w="150"/>
              <w:bottom w:type="dxa" w:w="90"/>
              <w:right w:type="dxa" w:w="150"/>
            </w:tcMar>
          </w:tcPr>
          <w:p>
            <w:r>
              <w:rPr>
                <w:rFonts w:ascii="Cambria" w:cs="Cambria" w:eastAsia="Cambria" w:hAnsi="Cambria"/>
                <w:b/>
                <w:bCs/>
                <w:i w:val="false"/>
                <w:iCs w:val="false"/>
                <w:strike w:val="false"/>
                <w:color w:val="003366"/>
                <w:sz w:val="22"/>
                <w:szCs w:val="22"/>
              </w:rPr>
              <w:t xml:space="preserve">Clearance / Eligibility</w:t>
            </w:r>
          </w:p>
        </w:tc>
        <w:tc>
          <w:tcPr>
            <w:tcW w:type="pct" w:w="26%"/>
            <w:shd w:fill="D6DFE8" w:color="auto" w:val="clear"/>
            <w:tcMar>
              <w:top w:type="dxa" w:w="90"/>
              <w:left w:type="dxa" w:w="150"/>
              <w:bottom w:type="dxa" w:w="90"/>
              <w:right w:type="dxa" w:w="150"/>
            </w:tcMar>
          </w:tcPr>
          <w:p>
            <w:r>
              <w:rPr>
                <w:rFonts w:ascii="Cambria" w:cs="Cambria" w:eastAsia="Cambria" w:hAnsi="Cambria"/>
                <w:b/>
                <w:bCs/>
                <w:i w:val="false"/>
                <w:iCs w:val="false"/>
                <w:strike w:val="false"/>
                <w:color w:val="003366"/>
                <w:sz w:val="22"/>
                <w:szCs w:val="22"/>
              </w:rPr>
              <w:t xml:space="preserve">Level</w:t>
            </w:r>
          </w:p>
        </w:tc>
        <w:tc>
          <w:tcPr>
            <w:tcW w:type="pct" w:w="28%"/>
            <w:shd w:fill="D6DFE8" w:color="auto" w:val="clear"/>
            <w:tcMar>
              <w:top w:type="dxa" w:w="90"/>
              <w:left w:type="dxa" w:w="150"/>
              <w:bottom w:type="dxa" w:w="90"/>
              <w:right w:type="dxa" w:w="150"/>
            </w:tcMar>
          </w:tcPr>
          <w:p>
            <w:r>
              <w:rPr>
                <w:rFonts w:ascii="Cambria" w:cs="Cambria" w:eastAsia="Cambria" w:hAnsi="Cambria"/>
                <w:b/>
                <w:bCs/>
                <w:i w:val="false"/>
                <w:iCs w:val="false"/>
                <w:strike w:val="false"/>
                <w:color w:val="003366"/>
                <w:sz w:val="22"/>
                <w:szCs w:val="22"/>
              </w:rPr>
              <w:t xml:space="preserve">Granting Authority</w:t>
            </w:r>
          </w:p>
        </w:tc>
        <w:tc>
          <w:tcPr>
            <w:tcW w:type="pct" w:w="12%"/>
            <w:shd w:fill="D6DFE8" w:color="auto" w:val="clear"/>
            <w:tcMar>
              <w:top w:type="dxa" w:w="90"/>
              <w:left w:type="dxa" w:w="150"/>
              <w:bottom w:type="dxa" w:w="90"/>
              <w:right w:type="dxa" w:w="150"/>
            </w:tcMar>
          </w:tcPr>
          <w:p>
            <w:r>
              <w:rPr>
                <w:rFonts w:ascii="Cambria" w:cs="Cambria" w:eastAsia="Cambria" w:hAnsi="Cambria"/>
                <w:b/>
                <w:bCs/>
                <w:i w:val="false"/>
                <w:iCs w:val="false"/>
                <w:strike w:val="false"/>
                <w:color w:val="003366"/>
                <w:sz w:val="22"/>
                <w:szCs w:val="22"/>
              </w:rPr>
              <w:t xml:space="preserve">Status</w:t>
            </w:r>
          </w:p>
        </w:tc>
      </w:tr>
      <w:tr>
        <w:trPr>
          <w:tblHeader w:val="false"/>
        </w:trPr>
        <w:tc>
          <w:tcPr>
            <w:tcW w:type="pct" w:w="34%"/>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2"/>
                <w:szCs w:val="22"/>
              </w:rPr>
              <w:t xml:space="preserve">Personnel Security Clearance</w:t>
            </w:r>
          </w:p>
        </w:tc>
        <w:tc>
          <w:tcPr>
            <w:tcW w:type="pct" w:w="26%"/>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2"/>
                <w:szCs w:val="22"/>
              </w:rPr>
              <w:t xml:space="preserve">TOP SECRET (TS)</w:t>
            </w:r>
          </w:p>
        </w:tc>
        <w:tc>
          <w:tcPr>
            <w:tcW w:type="pct" w:w="28%"/>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2"/>
                <w:szCs w:val="22"/>
              </w:rPr>
              <w:t xml:space="preserve">DoD CAF</w:t>
            </w:r>
          </w:p>
        </w:tc>
        <w:tc>
          <w:tcPr>
            <w:tcW w:type="pct" w:w="12%"/>
            <w:tcMar>
              <w:top w:type="dxa" w:w="90"/>
              <w:left w:type="dxa" w:w="150"/>
              <w:bottom w:type="dxa" w:w="90"/>
              <w:right w:type="dxa" w:w="150"/>
            </w:tcMar>
          </w:tcPr>
          <w:p>
            <w:r>
              <w:rPr>
                <w:rFonts w:ascii="Cambria" w:cs="Cambria" w:eastAsia="Cambria" w:hAnsi="Cambria"/>
                <w:b/>
                <w:bCs/>
                <w:i w:val="false"/>
                <w:iCs w:val="false"/>
                <w:strike w:val="false"/>
                <w:color w:val="000000"/>
                <w:sz w:val="24"/>
                <w:szCs w:val="24"/>
              </w:rPr>
              <w:t xml:space="preserve">Active</w:t>
            </w:r>
          </w:p>
        </w:tc>
      </w:tr>
      <w:tr>
        <w:trPr>
          <w:tblHeader w:val="false"/>
        </w:trPr>
        <w:tc>
          <w:tcPr>
            <w:tcW w:type="pct" w:w="34%"/>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2"/>
                <w:szCs w:val="22"/>
              </w:rPr>
              <w:t xml:space="preserve">Sensitive Compartmented Information</w:t>
            </w:r>
          </w:p>
        </w:tc>
        <w:tc>
          <w:tcPr>
            <w:tcW w:type="pct" w:w="26%"/>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2"/>
                <w:szCs w:val="22"/>
              </w:rPr>
              <w:t xml:space="preserve">SCI-Eligible</w:t>
            </w:r>
          </w:p>
        </w:tc>
        <w:tc>
          <w:tcPr>
            <w:tcW w:type="pct" w:w="28%"/>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2"/>
                <w:szCs w:val="22"/>
              </w:rPr>
              <w:t xml:space="preserve">DoD CAF / IC</w:t>
            </w:r>
          </w:p>
        </w:tc>
        <w:tc>
          <w:tcPr>
            <w:tcW w:type="pct" w:w="12%"/>
            <w:tcMar>
              <w:top w:type="dxa" w:w="90"/>
              <w:left w:type="dxa" w:w="150"/>
              <w:bottom w:type="dxa" w:w="90"/>
              <w:right w:type="dxa" w:w="150"/>
            </w:tcMar>
          </w:tcPr>
          <w:p>
            <w:r>
              <w:rPr>
                <w:rFonts w:ascii="Cambria" w:cs="Cambria" w:eastAsia="Cambria" w:hAnsi="Cambria"/>
                <w:b/>
                <w:bCs/>
                <w:i w:val="false"/>
                <w:iCs w:val="false"/>
                <w:strike w:val="false"/>
                <w:color w:val="000000"/>
                <w:sz w:val="24"/>
                <w:szCs w:val="24"/>
              </w:rPr>
              <w:t xml:space="preserve">Active</w:t>
            </w:r>
          </w:p>
        </w:tc>
      </w:tr>
      <w:tr>
        <w:trPr>
          <w:tblHeader w:val="false"/>
        </w:trPr>
        <w:tc>
          <w:tcPr>
            <w:tcW w:type="pct" w:w="34%"/>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2"/>
                <w:szCs w:val="22"/>
              </w:rPr>
              <w:t xml:space="preserve">Special Access Programs</w:t>
            </w:r>
          </w:p>
        </w:tc>
        <w:tc>
          <w:tcPr>
            <w:tcW w:type="pct" w:w="26%"/>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2"/>
                <w:szCs w:val="22"/>
              </w:rPr>
              <w:t xml:space="preserve">SAP-Eligible</w:t>
            </w:r>
          </w:p>
        </w:tc>
        <w:tc>
          <w:tcPr>
            <w:tcW w:type="pct" w:w="28%"/>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2"/>
                <w:szCs w:val="22"/>
              </w:rPr>
              <w:t xml:space="preserve">DoD SAP Central Office</w:t>
            </w:r>
          </w:p>
        </w:tc>
        <w:tc>
          <w:tcPr>
            <w:tcW w:type="pct" w:w="12%"/>
            <w:tcMar>
              <w:top w:type="dxa" w:w="90"/>
              <w:left w:type="dxa" w:w="150"/>
              <w:bottom w:type="dxa" w:w="90"/>
              <w:right w:type="dxa" w:w="150"/>
            </w:tcMar>
          </w:tcPr>
          <w:p>
            <w:r>
              <w:rPr>
                <w:rFonts w:ascii="Cambria" w:cs="Cambria" w:eastAsia="Cambria" w:hAnsi="Cambria"/>
                <w:b/>
                <w:bCs/>
                <w:i w:val="false"/>
                <w:iCs w:val="false"/>
                <w:strike w:val="false"/>
                <w:color w:val="000000"/>
                <w:sz w:val="24"/>
                <w:szCs w:val="24"/>
              </w:rPr>
              <w:t xml:space="preserve">Active</w:t>
            </w:r>
          </w:p>
        </w:tc>
      </w:tr>
      <w:tr>
        <w:trPr>
          <w:tblHeader w:val="false"/>
        </w:trPr>
        <w:tc>
          <w:tcPr>
            <w:tcW w:type="pct" w:w="34%"/>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2"/>
                <w:szCs w:val="22"/>
              </w:rPr>
              <w:t xml:space="preserve">Yankee White</w:t>
            </w:r>
          </w:p>
        </w:tc>
        <w:tc>
          <w:tcPr>
            <w:tcW w:type="pct" w:w="26%"/>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2"/>
                <w:szCs w:val="22"/>
              </w:rPr>
              <w:t xml:space="preserve">Presidential Support Duty</w:t>
            </w:r>
          </w:p>
        </w:tc>
        <w:tc>
          <w:tcPr>
            <w:tcW w:type="pct" w:w="28%"/>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2"/>
                <w:szCs w:val="22"/>
              </w:rPr>
              <w:t xml:space="preserve">White House Military Office</w:t>
            </w:r>
          </w:p>
        </w:tc>
        <w:tc>
          <w:tcPr>
            <w:tcW w:type="pct" w:w="12%"/>
            <w:tcMar>
              <w:top w:type="dxa" w:w="90"/>
              <w:left w:type="dxa" w:w="150"/>
              <w:bottom w:type="dxa" w:w="90"/>
              <w:right w:type="dxa" w:w="150"/>
            </w:tcMar>
          </w:tcPr>
          <w:p>
            <w:r>
              <w:rPr>
                <w:rFonts w:ascii="Cambria" w:cs="Cambria" w:eastAsia="Cambria" w:hAnsi="Cambria"/>
                <w:b/>
                <w:bCs/>
                <w:i w:val="false"/>
                <w:iCs w:val="false"/>
                <w:strike w:val="false"/>
                <w:color w:val="000000"/>
                <w:sz w:val="24"/>
                <w:szCs w:val="24"/>
              </w:rPr>
              <w:t xml:space="preserve">Active</w:t>
            </w:r>
          </w:p>
        </w:tc>
      </w:tr>
      <w:tr>
        <w:trPr>
          <w:tblHeader w:val="false"/>
        </w:trPr>
        <w:tc>
          <w:tcPr>
            <w:tcW w:type="pct" w:w="34%"/>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2"/>
                <w:szCs w:val="22"/>
              </w:rPr>
              <w:t xml:space="preserve">Personnel Vetting Tier</w:t>
            </w:r>
          </w:p>
        </w:tc>
        <w:tc>
          <w:tcPr>
            <w:tcW w:type="pct" w:w="26%"/>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2"/>
                <w:szCs w:val="22"/>
              </w:rPr>
              <w:t xml:space="preserve">Tier 5 (T5)</w:t>
            </w:r>
          </w:p>
        </w:tc>
        <w:tc>
          <w:tcPr>
            <w:tcW w:type="pct" w:w="28%"/>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2"/>
                <w:szCs w:val="22"/>
              </w:rPr>
              <w:t xml:space="preserve">DCSA</w:t>
            </w:r>
          </w:p>
        </w:tc>
        <w:tc>
          <w:tcPr>
            <w:tcW w:type="pct" w:w="12%"/>
            <w:tcMar>
              <w:top w:type="dxa" w:w="90"/>
              <w:left w:type="dxa" w:w="150"/>
              <w:bottom w:type="dxa" w:w="90"/>
              <w:right w:type="dxa" w:w="150"/>
            </w:tcMar>
          </w:tcPr>
          <w:p>
            <w:r>
              <w:rPr>
                <w:rFonts w:ascii="Cambria" w:cs="Cambria" w:eastAsia="Cambria" w:hAnsi="Cambria"/>
                <w:b/>
                <w:bCs/>
                <w:i w:val="false"/>
                <w:iCs w:val="false"/>
                <w:strike w:val="false"/>
                <w:color w:val="000000"/>
                <w:sz w:val="24"/>
                <w:szCs w:val="24"/>
              </w:rPr>
              <w:t xml:space="preserve">Active</w:t>
            </w:r>
          </w:p>
        </w:tc>
      </w:tr>
      <w:tr>
        <w:trPr>
          <w:tblHeader w:val="false"/>
        </w:trPr>
        <w:tc>
          <w:tcPr>
            <w:tcW w:type="pct" w:w="34%"/>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2"/>
                <w:szCs w:val="22"/>
              </w:rPr>
              <w:t xml:space="preserve">Sensitivity Designation</w:t>
            </w:r>
          </w:p>
        </w:tc>
        <w:tc>
          <w:tcPr>
            <w:tcW w:type="pct" w:w="26%"/>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2"/>
                <w:szCs w:val="22"/>
              </w:rPr>
              <w:t xml:space="preserve">Special-Sensitive</w:t>
            </w:r>
          </w:p>
        </w:tc>
        <w:tc>
          <w:tcPr>
            <w:tcW w:type="pct" w:w="28%"/>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2"/>
                <w:szCs w:val="22"/>
              </w:rPr>
              <w:t xml:space="preserve">OSD</w:t>
            </w:r>
          </w:p>
        </w:tc>
        <w:tc>
          <w:tcPr>
            <w:tcW w:type="pct" w:w="12%"/>
            <w:tcMar>
              <w:top w:type="dxa" w:w="90"/>
              <w:left w:type="dxa" w:w="150"/>
              <w:bottom w:type="dxa" w:w="90"/>
              <w:right w:type="dxa" w:w="150"/>
            </w:tcMar>
          </w:tcPr>
          <w:p>
            <w:r>
              <w:rPr>
                <w:rFonts w:ascii="Cambria" w:cs="Cambria" w:eastAsia="Cambria" w:hAnsi="Cambria"/>
                <w:b/>
                <w:bCs/>
                <w:i w:val="false"/>
                <w:iCs w:val="false"/>
                <w:strike w:val="false"/>
                <w:color w:val="000000"/>
                <w:sz w:val="24"/>
                <w:szCs w:val="24"/>
              </w:rPr>
              <w:t xml:space="preserve">Active</w:t>
            </w:r>
          </w:p>
        </w:tc>
      </w:tr>
    </w:tbl>
    <w:p>
      <w:pPr>
        <w:spacing w:after="200" w:before="0"/>
      </w:pPr>
    </w:p>
    <w:p>
      <w:pPr>
        <w:pStyle w:val="Heading2"/>
        <w:spacing w:after="120" w:before="280" w:line="312" w:lineRule="auto"/>
      </w:pPr>
      <w:r>
        <w:rPr>
          <w:rFonts w:ascii="Cambria" w:cs="Cambria" w:eastAsia="Cambria" w:hAnsi="Cambria"/>
          <w:color w:val="000000"/>
          <w:sz w:val="24"/>
          <w:szCs w:val="24"/>
        </w:rPr>
        <w:t xml:space="preserve">3.3   Clearance Descriptions</w:t>
      </w:r>
    </w:p>
    <w:p>
      <w:pPr>
        <w:pStyle w:val="Heading3"/>
        <w:spacing w:after="80" w:before="200" w:line="312" w:lineRule="auto"/>
      </w:pPr>
      <w:r>
        <w:rPr>
          <w:rFonts w:ascii="Cambria" w:cs="Cambria" w:eastAsia="Cambria" w:hAnsi="Cambria"/>
          <w:color w:val="000000"/>
          <w:sz w:val="24"/>
          <w:szCs w:val="24"/>
        </w:rPr>
        <w:t xml:space="preserve">3.3.1   TOP SECRET (TS)</w:t>
      </w:r>
    </w:p>
    <w:p>
      <w:pPr>
        <w:spacing w:after="240" w:before="60" w:line="336" w:lineRule="auto"/>
        <w:jc w:val="both"/>
      </w:pPr>
      <w:r>
        <w:rPr>
          <w:rFonts w:ascii="Cambria" w:cs="Cambria" w:eastAsia="Cambria" w:hAnsi="Cambria"/>
          <w:b w:val="false"/>
          <w:bCs w:val="false"/>
          <w:i w:val="false"/>
          <w:iCs w:val="false"/>
          <w:strike w:val="false"/>
          <w:color w:val="000000"/>
          <w:sz w:val="24"/>
          <w:szCs w:val="24"/>
        </w:rPr>
        <w:t xml:space="preserve">Authorizes access to information the unauthorized disclosure of which could reasonably be expected to cause exceptionally grave damage to national security (E.O. 13526, §1.2).</w:t>
      </w:r>
    </w:p>
    <w:p>
      <w:pPr>
        <w:pStyle w:val="Heading3"/>
        <w:spacing w:after="80" w:before="200" w:line="312" w:lineRule="auto"/>
      </w:pPr>
      <w:r>
        <w:rPr>
          <w:rFonts w:ascii="Cambria" w:cs="Cambria" w:eastAsia="Cambria" w:hAnsi="Cambria"/>
          <w:color w:val="000000"/>
          <w:sz w:val="24"/>
          <w:szCs w:val="24"/>
        </w:rPr>
        <w:t xml:space="preserve">3.3.2   SCI Eligibility</w:t>
      </w:r>
    </w:p>
    <w:p>
      <w:pPr>
        <w:spacing w:after="240" w:before="60" w:line="336" w:lineRule="auto"/>
        <w:jc w:val="both"/>
      </w:pPr>
      <w:r>
        <w:rPr>
          <w:rFonts w:ascii="Cambria" w:cs="Cambria" w:eastAsia="Cambria" w:hAnsi="Cambria"/>
          <w:b w:val="false"/>
          <w:bCs w:val="false"/>
          <w:i w:val="false"/>
          <w:iCs w:val="false"/>
          <w:strike w:val="false"/>
          <w:color w:val="000000"/>
          <w:sz w:val="24"/>
          <w:szCs w:val="24"/>
        </w:rPr>
        <w:t xml:space="preserve">Grants eligibility to access Sensitive Compartmented Information within approved compartments, subject to need-to-know and program-specific indoctrination.</w:t>
      </w:r>
    </w:p>
    <w:p>
      <w:pPr>
        <w:pStyle w:val="Heading3"/>
        <w:spacing w:after="80" w:before="200" w:line="312" w:lineRule="auto"/>
      </w:pPr>
      <w:r>
        <w:rPr>
          <w:rFonts w:ascii="Cambria" w:cs="Cambria" w:eastAsia="Cambria" w:hAnsi="Cambria"/>
          <w:color w:val="000000"/>
          <w:sz w:val="24"/>
          <w:szCs w:val="24"/>
        </w:rPr>
        <w:t xml:space="preserve">3.3.3   SAP Eligibility</w:t>
      </w:r>
    </w:p>
    <w:p>
      <w:pPr>
        <w:spacing w:after="240" w:before="60" w:line="336" w:lineRule="auto"/>
        <w:jc w:val="both"/>
      </w:pPr>
      <w:r>
        <w:rPr>
          <w:rFonts w:ascii="Cambria" w:cs="Cambria" w:eastAsia="Cambria" w:hAnsi="Cambria"/>
          <w:b w:val="false"/>
          <w:bCs w:val="false"/>
          <w:i w:val="false"/>
          <w:iCs w:val="false"/>
          <w:strike w:val="false"/>
          <w:color w:val="000000"/>
          <w:sz w:val="24"/>
          <w:szCs w:val="24"/>
        </w:rPr>
        <w:t xml:space="preserve">Grants eligibility for access to Special Access Programs, which impose need-to-know and access controls above those normally required for information at the same classification level.</w:t>
      </w:r>
    </w:p>
    <w:p>
      <w:pPr>
        <w:pStyle w:val="Heading3"/>
        <w:spacing w:after="80" w:before="200" w:line="312" w:lineRule="auto"/>
      </w:pPr>
      <w:r>
        <w:rPr>
          <w:rFonts w:ascii="Cambria" w:cs="Cambria" w:eastAsia="Cambria" w:hAnsi="Cambria"/>
          <w:color w:val="000000"/>
          <w:sz w:val="24"/>
          <w:szCs w:val="24"/>
        </w:rPr>
        <w:t xml:space="preserve">3.3.4   Yankee White</w:t>
      </w:r>
    </w:p>
    <w:p>
      <w:pPr>
        <w:spacing w:after="240" w:before="60" w:line="336" w:lineRule="auto"/>
        <w:jc w:val="both"/>
      </w:pPr>
      <w:r>
        <w:rPr>
          <w:rFonts w:ascii="Cambria" w:cs="Cambria" w:eastAsia="Cambria" w:hAnsi="Cambria"/>
          <w:b w:val="false"/>
          <w:bCs w:val="false"/>
          <w:i w:val="false"/>
          <w:iCs w:val="false"/>
          <w:strike w:val="false"/>
          <w:color w:val="000000"/>
          <w:sz w:val="24"/>
          <w:szCs w:val="24"/>
        </w:rPr>
        <w:t xml:space="preserve">A specialized security program administered by the White House Military Office for personnel who work in direct proximity to the President of the United States. Requires the most stringent background investigation and adjudication standards.</w:t>
      </w:r>
    </w:p>
    <w:p>
      <w:pPr>
        <w:pStyle w:val="Heading3"/>
        <w:spacing w:after="80" w:before="200" w:line="312" w:lineRule="auto"/>
      </w:pPr>
      <w:r>
        <w:rPr>
          <w:rFonts w:ascii="Cambria" w:cs="Cambria" w:eastAsia="Cambria" w:hAnsi="Cambria"/>
          <w:color w:val="000000"/>
          <w:sz w:val="24"/>
          <w:szCs w:val="24"/>
        </w:rPr>
        <w:t xml:space="preserve">3.3.5   Tier 5 Investigation</w:t>
      </w:r>
    </w:p>
    <w:p>
      <w:pPr>
        <w:spacing w:after="240" w:before="60" w:line="336" w:lineRule="auto"/>
        <w:jc w:val="both"/>
      </w:pPr>
      <w:r>
        <w:rPr>
          <w:rFonts w:ascii="Cambria" w:cs="Cambria" w:eastAsia="Cambria" w:hAnsi="Cambria"/>
          <w:b w:val="false"/>
          <w:bCs w:val="false"/>
          <w:i w:val="false"/>
          <w:iCs w:val="false"/>
          <w:strike w:val="false"/>
          <w:color w:val="000000"/>
          <w:sz w:val="24"/>
          <w:szCs w:val="24"/>
        </w:rPr>
        <w:t xml:space="preserve">The highest tier of personnel vetting under the Federal Investigative Standards, combining a full-scope background investigation with polygraph eligibility as required.</w:t>
      </w:r>
    </w:p>
    <w:p>
      <w:pPr>
        <w:pBdr>
          <w:bottom w:val="single" w:color="003366" w:sz="6"/>
        </w:pBdr>
        <w:spacing w:after="240" w:before="240"/>
      </w:pP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81%"/>
            <w:tcMar>
              <w:top w:type="dxa" w:w="90"/>
              <w:left w:type="dxa" w:w="150"/>
              <w:bottom w:type="dxa" w:w="90"/>
              <w:right w:type="dxa" w:w="150"/>
            </w:tcMar>
          </w:tcPr>
          <w:p>
            <w:r>
              <w:rPr>
                <w:rFonts w:ascii="Cambria" w:cs="Cambria" w:eastAsia="Cambria" w:hAnsi="Cambria"/>
                <w:b w:val="false"/>
                <w:bCs w:val="false"/>
                <w:i w:val="false"/>
                <w:iCs w:val="false"/>
                <w:strike w:val="false"/>
                <w:color w:val="555555"/>
                <w:sz w:val="18"/>
                <w:szCs w:val="18"/>
              </w:rPr>
              <w:t xml:space="preserve">Brian Michael Frost – Senior Advisor, OSD</w:t>
            </w:r>
          </w:p>
        </w:tc>
        <w:tc>
          <w:tcPr>
            <w:tcW w:type="pct" w:w="19%"/>
            <w:tcMar>
              <w:top w:type="dxa" w:w="90"/>
              <w:left w:type="dxa" w:w="150"/>
              <w:bottom w:type="dxa" w:w="90"/>
              <w:right w:type="dxa" w:w="150"/>
            </w:tcMar>
          </w:tcPr>
          <w:p>
            <w:r>
              <w:rPr>
                <w:rFonts w:ascii="Cambria" w:cs="Cambria" w:eastAsia="Cambria" w:hAnsi="Cambria"/>
                <w:b w:val="false"/>
                <w:bCs w:val="false"/>
                <w:i w:val="false"/>
                <w:iCs w:val="false"/>
                <w:strike w:val="false"/>
                <w:color w:val="555555"/>
                <w:sz w:val="18"/>
                <w:szCs w:val="18"/>
              </w:rPr>
              <w:t xml:space="preserve">Page 4</w:t>
            </w:r>
          </w:p>
        </w:tc>
      </w:tr>
    </w:tbl>
    <w:p>
      <w:pPr>
        <w:spacing w:after="200" w:before="0"/>
      </w:pPr>
    </w:p>
    <w:p>
      <w:pPr>
        <w:pBdr>
          <w:bottom w:val="single" w:color="8B0000" w:sz="6"/>
        </w:pBdr>
        <w:spacing w:after="240" w:before="240"/>
      </w:pPr>
    </w:p>
    <w:p>
      <w:pPr>
        <w:spacing w:after="240" w:line="336" w:lineRule="auto"/>
        <w:jc w:val="center"/>
      </w:pPr>
      <w:r>
        <w:rPr>
          <w:rFonts w:ascii="Cambria" w:cs="Cambria" w:eastAsia="Cambria" w:hAnsi="Cambria"/>
          <w:b/>
          <w:bCs/>
          <w:i w:val="false"/>
          <w:iCs w:val="false"/>
          <w:strike w:val="false"/>
          <w:color w:val="8B0000"/>
          <w:spacing w:val="10"/>
          <w:sz w:val="20"/>
          <w:szCs w:val="20"/>
        </w:rPr>
        <w:t xml:space="preserve">UNCLASSIFIED // FOR OFFICIAL USE ONLY</w:t>
      </w:r>
    </w:p>
    <w:p>
      <w:pPr>
        <w:spacing w:after="240" w:line="336" w:lineRule="auto"/>
        <w:jc w:val="center"/>
      </w:pPr>
      <w:r>
        <w:rPr>
          <w:rFonts w:ascii="Cambria" w:cs="Cambria" w:eastAsia="Cambria" w:hAnsi="Cambria"/>
          <w:b/>
          <w:bCs/>
          <w:i w:val="false"/>
          <w:iCs w:val="false"/>
          <w:strike w:val="false"/>
          <w:color w:val="8B0000"/>
          <w:spacing w:val="10"/>
          <w:sz w:val="20"/>
          <w:szCs w:val="20"/>
        </w:rPr>
        <w:t xml:space="preserve">UNCLASSIFIED // FOR OFFICIAL USE ONLY</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41%"/>
            <w:tcMar>
              <w:top w:type="dxa" w:w="90"/>
              <w:left w:type="dxa" w:w="150"/>
              <w:bottom w:type="dxa" w:w="90"/>
              <w:right w:type="dxa" w:w="150"/>
            </w:tcMar>
          </w:tcPr>
          <w:p>
            <w:r>
              <w:rPr>
                <w:rFonts w:ascii="Cambria" w:cs="Cambria" w:eastAsia="Cambria" w:hAnsi="Cambria"/>
                <w:b/>
                <w:bCs/>
                <w:i/>
                <w:iCs/>
                <w:strike w:val="false"/>
                <w:color w:val="333333"/>
                <w:sz w:val="20"/>
                <w:szCs w:val="20"/>
              </w:rPr>
              <w:t xml:space="preserve">Department of Defense</w:t>
            </w:r>
          </w:p>
        </w:tc>
        <w:tc>
          <w:tcPr>
            <w:tcW w:type="pct" w:w="59%"/>
            <w:tcMar>
              <w:top w:type="dxa" w:w="90"/>
              <w:left w:type="dxa" w:w="150"/>
              <w:bottom w:type="dxa" w:w="90"/>
              <w:right w:type="dxa" w:w="150"/>
            </w:tcMar>
          </w:tcPr>
          <w:p>
            <w:r>
              <w:rPr>
                <w:rFonts w:ascii="Cambria" w:cs="Cambria" w:eastAsia="Cambria" w:hAnsi="Cambria"/>
                <w:b/>
                <w:bCs/>
                <w:i/>
                <w:iCs/>
                <w:strike w:val="false"/>
                <w:color w:val="333333"/>
                <w:sz w:val="20"/>
                <w:szCs w:val="20"/>
              </w:rPr>
              <w:t xml:space="preserve">Clearance Responsibility Summary</w:t>
            </w:r>
          </w:p>
        </w:tc>
      </w:tr>
    </w:tbl>
    <w:p>
      <w:pPr>
        <w:spacing w:after="200" w:before="0"/>
      </w:pPr>
    </w:p>
    <w:p>
      <w:pPr>
        <w:pBdr>
          <w:bottom w:val="single" w:color="003366" w:sz="6"/>
        </w:pBdr>
        <w:spacing w:after="240" w:before="240"/>
      </w:pPr>
    </w:p>
    <w:p>
      <w:pPr>
        <w:pStyle w:val="Heading1"/>
        <w:spacing w:after="60" w:before="480" w:line="312" w:lineRule="auto"/>
      </w:pPr>
      <w:r>
        <w:rPr>
          <w:rFonts w:ascii="Cambria" w:cs="Cambria" w:eastAsia="Cambria" w:hAnsi="Cambria"/>
          <w:color w:val="000000"/>
          <w:sz w:val="28"/>
          <w:szCs w:val="28"/>
        </w:rPr>
        <w:t xml:space="preserve">4.0   INTERAGENCY ASSIGNMENTS AND RESPONSIBILITIES</w:t>
      </w:r>
    </w:p>
    <w:p>
      <w:pPr>
        <w:pStyle w:val="Heading2"/>
        <w:spacing w:after="120" w:before="280" w:line="312" w:lineRule="auto"/>
      </w:pPr>
      <w:r>
        <w:rPr>
          <w:rFonts w:ascii="Cambria" w:cs="Cambria" w:eastAsia="Cambria" w:hAnsi="Cambria"/>
          <w:color w:val="000000"/>
          <w:sz w:val="24"/>
          <w:szCs w:val="24"/>
        </w:rPr>
        <w:t xml:space="preserve">4.1   Department of Defense — Office of the Secretary of Defense (OSD)</w:t>
      </w:r>
    </w:p>
    <w:p>
      <w:pPr>
        <w:spacing w:after="240" w:before="60" w:line="336" w:lineRule="auto"/>
        <w:jc w:val="both"/>
      </w:pPr>
      <w:r>
        <w:rPr>
          <w:rFonts w:ascii="Cambria" w:cs="Cambria" w:eastAsia="Cambria" w:hAnsi="Cambria"/>
          <w:b/>
          <w:bCs/>
          <w:i w:val="false"/>
          <w:iCs w:val="false"/>
          <w:strike w:val="false"/>
          <w:color w:val="000000"/>
          <w:sz w:val="24"/>
          <w:szCs w:val="24"/>
        </w:rPr>
        <w:t xml:space="preserve">4.1.1</w:t>
      </w:r>
      <w:r>
        <w:rPr>
          <w:rFonts w:ascii="Cambria" w:cs="Cambria" w:eastAsia="Cambria" w:hAnsi="Cambria"/>
          <w:b w:val="false"/>
          <w:bCs w:val="false"/>
          <w:i w:val="false"/>
          <w:iCs w:val="false"/>
          <w:strike w:val="false"/>
          <w:color w:val="000000"/>
          <w:sz w:val="24"/>
          <w:szCs w:val="24"/>
        </w:rPr>
        <w:t xml:space="preserve">   Serves as Senior Advisor providing direct advisory support to the Secretary of Defense on matters of policy, technology modernization, cybersecurity, and digital transformation.</w:t>
      </w:r>
    </w:p>
    <w:p>
      <w:pPr>
        <w:spacing w:after="240" w:before="60" w:line="336" w:lineRule="auto"/>
        <w:jc w:val="both"/>
      </w:pPr>
      <w:r>
        <w:rPr>
          <w:rFonts w:ascii="Cambria" w:cs="Cambria" w:eastAsia="Cambria" w:hAnsi="Cambria"/>
          <w:b/>
          <w:bCs/>
          <w:i w:val="false"/>
          <w:iCs w:val="false"/>
          <w:strike w:val="false"/>
          <w:color w:val="000000"/>
          <w:sz w:val="24"/>
          <w:szCs w:val="24"/>
        </w:rPr>
        <w:t xml:space="preserve">4.1.2</w:t>
      </w:r>
      <w:r>
        <w:rPr>
          <w:rFonts w:ascii="Cambria" w:cs="Cambria" w:eastAsia="Cambria" w:hAnsi="Cambria"/>
          <w:b w:val="false"/>
          <w:bCs w:val="false"/>
          <w:i w:val="false"/>
          <w:iCs w:val="false"/>
          <w:strike w:val="false"/>
          <w:color w:val="000000"/>
          <w:sz w:val="24"/>
          <w:szCs w:val="24"/>
        </w:rPr>
        <w:t xml:space="preserve">   Authorized to access TS/SCI and SAP materials in support of OSD mission requirements.</w:t>
      </w:r>
    </w:p>
    <w:p>
      <w:pPr>
        <w:spacing w:after="240" w:before="60" w:line="336" w:lineRule="auto"/>
        <w:jc w:val="both"/>
      </w:pPr>
      <w:r>
        <w:rPr>
          <w:rFonts w:ascii="Cambria" w:cs="Cambria" w:eastAsia="Cambria" w:hAnsi="Cambria"/>
          <w:b/>
          <w:bCs/>
          <w:i w:val="false"/>
          <w:iCs w:val="false"/>
          <w:strike w:val="false"/>
          <w:color w:val="000000"/>
          <w:sz w:val="24"/>
          <w:szCs w:val="24"/>
        </w:rPr>
        <w:t xml:space="preserve">4.1.3</w:t>
      </w:r>
      <w:r>
        <w:rPr>
          <w:rFonts w:ascii="Cambria" w:cs="Cambria" w:eastAsia="Cambria" w:hAnsi="Cambria"/>
          <w:b w:val="false"/>
          <w:bCs w:val="false"/>
          <w:i w:val="false"/>
          <w:iCs w:val="false"/>
          <w:strike w:val="false"/>
          <w:color w:val="000000"/>
          <w:sz w:val="24"/>
          <w:szCs w:val="24"/>
        </w:rPr>
        <w:t xml:space="preserve">   Coordinates interagency policy development across DoD Components, Intelligence Community elements, and Executive Branch stakeholders.</w:t>
      </w:r>
    </w:p>
    <w:p>
      <w:pPr>
        <w:pStyle w:val="Heading2"/>
        <w:spacing w:after="120" w:before="280" w:line="312" w:lineRule="auto"/>
      </w:pPr>
      <w:r>
        <w:rPr>
          <w:rFonts w:ascii="Cambria" w:cs="Cambria" w:eastAsia="Cambria" w:hAnsi="Cambria"/>
          <w:color w:val="000000"/>
          <w:sz w:val="24"/>
          <w:szCs w:val="24"/>
        </w:rPr>
        <w:t xml:space="preserve">4.2   Defense Information Systems Agency (DISA)</w:t>
      </w:r>
    </w:p>
    <w:p>
      <w:pPr>
        <w:spacing w:after="240" w:before="60" w:line="336" w:lineRule="auto"/>
        <w:jc w:val="both"/>
      </w:pPr>
      <w:r>
        <w:rPr>
          <w:rFonts w:ascii="Cambria" w:cs="Cambria" w:eastAsia="Cambria" w:hAnsi="Cambria"/>
          <w:b/>
          <w:bCs/>
          <w:i w:val="false"/>
          <w:iCs w:val="false"/>
          <w:strike w:val="false"/>
          <w:color w:val="000000"/>
          <w:sz w:val="24"/>
          <w:szCs w:val="24"/>
        </w:rPr>
        <w:t xml:space="preserve">4.2.1</w:t>
      </w:r>
      <w:r>
        <w:rPr>
          <w:rFonts w:ascii="Cambria" w:cs="Cambria" w:eastAsia="Cambria" w:hAnsi="Cambria"/>
          <w:b w:val="false"/>
          <w:bCs w:val="false"/>
          <w:i w:val="false"/>
          <w:iCs w:val="false"/>
          <w:strike w:val="false"/>
          <w:color w:val="000000"/>
          <w:sz w:val="24"/>
          <w:szCs w:val="24"/>
        </w:rPr>
        <w:t xml:space="preserve">   Supports DISA mission sets in enterprise IT modernization, cybersecurity operations, and command, control, communications, and computers (C4) infrastructure.</w:t>
      </w:r>
    </w:p>
    <w:p>
      <w:pPr>
        <w:spacing w:after="240" w:before="60" w:line="336" w:lineRule="auto"/>
        <w:jc w:val="both"/>
      </w:pPr>
      <w:r>
        <w:rPr>
          <w:rFonts w:ascii="Cambria" w:cs="Cambria" w:eastAsia="Cambria" w:hAnsi="Cambria"/>
          <w:b/>
          <w:bCs/>
          <w:i w:val="false"/>
          <w:iCs w:val="false"/>
          <w:strike w:val="false"/>
          <w:color w:val="000000"/>
          <w:sz w:val="24"/>
          <w:szCs w:val="24"/>
        </w:rPr>
        <w:t xml:space="preserve">4.2.2</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COMSEC Responsibilities:</w:t>
      </w:r>
      <w:r>
        <w:rPr>
          <w:rFonts w:ascii="Cambria" w:cs="Cambria" w:eastAsia="Cambria" w:hAnsi="Cambria"/>
          <w:b w:val="false"/>
          <w:bCs w:val="false"/>
          <w:i w:val="false"/>
          <w:iCs w:val="false"/>
          <w:strike w:val="false"/>
          <w:color w:val="000000"/>
          <w:sz w:val="24"/>
          <w:szCs w:val="24"/>
        </w:rPr>
        <w:t xml:space="preserve"> Accountable for the handling, storage, and destruction of Communications Security (COMSEC) material in accordance with CNSSI 4005 and DISA COMSEC procedures.</w:t>
      </w:r>
    </w:p>
    <w:p>
      <w:pPr>
        <w:spacing w:after="240" w:before="60" w:line="336" w:lineRule="auto"/>
        <w:jc w:val="both"/>
      </w:pPr>
      <w:r>
        <w:rPr>
          <w:rFonts w:ascii="Cambria" w:cs="Cambria" w:eastAsia="Cambria" w:hAnsi="Cambria"/>
          <w:b/>
          <w:bCs/>
          <w:i w:val="false"/>
          <w:iCs w:val="false"/>
          <w:strike w:val="false"/>
          <w:color w:val="000000"/>
          <w:sz w:val="24"/>
          <w:szCs w:val="24"/>
        </w:rPr>
        <w:t xml:space="preserve">4.2.3</w:t>
      </w:r>
      <w:r>
        <w:rPr>
          <w:rFonts w:ascii="Cambria" w:cs="Cambria" w:eastAsia="Cambria" w:hAnsi="Cambria"/>
          <w:b w:val="false"/>
          <w:bCs w:val="false"/>
          <w:i w:val="false"/>
          <w:iCs w:val="false"/>
          <w:strike w:val="false"/>
          <w:color w:val="000000"/>
          <w:sz w:val="24"/>
          <w:szCs w:val="24"/>
        </w:rPr>
        <w:t xml:space="preserve">   System access includes DISA enterprise networks, classified enclaves (SIPRNet, JWICS), and mission-specific applications.</w:t>
      </w:r>
    </w:p>
    <w:p>
      <w:pPr>
        <w:pStyle w:val="Heading2"/>
        <w:spacing w:after="120" w:before="280" w:line="312" w:lineRule="auto"/>
      </w:pPr>
      <w:r>
        <w:rPr>
          <w:rFonts w:ascii="Cambria" w:cs="Cambria" w:eastAsia="Cambria" w:hAnsi="Cambria"/>
          <w:color w:val="000000"/>
          <w:sz w:val="24"/>
          <w:szCs w:val="24"/>
        </w:rPr>
        <w:t xml:space="preserve">4.3   United States Digital Service (USDS)</w:t>
      </w:r>
    </w:p>
    <w:p>
      <w:pPr>
        <w:spacing w:after="240" w:before="60" w:line="336" w:lineRule="auto"/>
        <w:jc w:val="both"/>
      </w:pPr>
      <w:r>
        <w:rPr>
          <w:rFonts w:ascii="Cambria" w:cs="Cambria" w:eastAsia="Cambria" w:hAnsi="Cambria"/>
          <w:b/>
          <w:bCs/>
          <w:i w:val="false"/>
          <w:iCs w:val="false"/>
          <w:strike w:val="false"/>
          <w:color w:val="000000"/>
          <w:sz w:val="24"/>
          <w:szCs w:val="24"/>
        </w:rPr>
        <w:t xml:space="preserve">4.3.1</w:t>
      </w:r>
      <w:r>
        <w:rPr>
          <w:rFonts w:ascii="Cambria" w:cs="Cambria" w:eastAsia="Cambria" w:hAnsi="Cambria"/>
          <w:b w:val="false"/>
          <w:bCs w:val="false"/>
          <w:i w:val="false"/>
          <w:iCs w:val="false"/>
          <w:strike w:val="false"/>
          <w:color w:val="000000"/>
          <w:sz w:val="24"/>
          <w:szCs w:val="24"/>
        </w:rPr>
        <w:t xml:space="preserve">   Served in digital service capacity supporting technology delivery, user-centered design, and IT acquisition reform across federal agencies.</w:t>
      </w:r>
    </w:p>
    <w:p>
      <w:pPr>
        <w:spacing w:after="240" w:before="60" w:line="336" w:lineRule="auto"/>
        <w:jc w:val="both"/>
      </w:pPr>
      <w:r>
        <w:rPr>
          <w:rFonts w:ascii="Cambria" w:cs="Cambria" w:eastAsia="Cambria" w:hAnsi="Cambria"/>
          <w:b/>
          <w:bCs/>
          <w:i w:val="false"/>
          <w:iCs w:val="false"/>
          <w:strike w:val="false"/>
          <w:color w:val="000000"/>
          <w:sz w:val="24"/>
          <w:szCs w:val="24"/>
        </w:rPr>
        <w:t xml:space="preserve">4.3.2</w:t>
      </w:r>
      <w:r>
        <w:rPr>
          <w:rFonts w:ascii="Cambria" w:cs="Cambria" w:eastAsia="Cambria" w:hAnsi="Cambria"/>
          <w:b w:val="false"/>
          <w:bCs w:val="false"/>
          <w:i w:val="false"/>
          <w:iCs w:val="false"/>
          <w:strike w:val="false"/>
          <w:color w:val="000000"/>
          <w:sz w:val="24"/>
          <w:szCs w:val="24"/>
        </w:rPr>
        <w:t xml:space="preserve">   Applied expertise in federal acquisition standards, Agile development, and technology modernization to high-priority government programs.</w:t>
      </w:r>
    </w:p>
    <w:p>
      <w:pPr>
        <w:spacing w:after="240" w:before="60" w:line="336" w:lineRule="auto"/>
        <w:jc w:val="both"/>
      </w:pPr>
      <w:r>
        <w:rPr>
          <w:rFonts w:ascii="Cambria" w:cs="Cambria" w:eastAsia="Cambria" w:hAnsi="Cambria"/>
          <w:b/>
          <w:bCs/>
          <w:i w:val="false"/>
          <w:iCs w:val="false"/>
          <w:strike w:val="false"/>
          <w:color w:val="000000"/>
          <w:sz w:val="24"/>
          <w:szCs w:val="24"/>
        </w:rPr>
        <w:t xml:space="preserve">4.3.3</w:t>
      </w:r>
      <w:r>
        <w:rPr>
          <w:rFonts w:ascii="Cambria" w:cs="Cambria" w:eastAsia="Cambria" w:hAnsi="Cambria"/>
          <w:b w:val="false"/>
          <w:bCs w:val="false"/>
          <w:i w:val="false"/>
          <w:iCs w:val="false"/>
          <w:strike w:val="false"/>
          <w:color w:val="000000"/>
          <w:sz w:val="24"/>
          <w:szCs w:val="24"/>
        </w:rPr>
        <w:t xml:space="preserve">   Maintained all applicable clearance levels during USDS tenure to support cross-agency mission requirements.</w:t>
      </w:r>
    </w:p>
    <w:p>
      <w:pPr>
        <w:pBdr>
          <w:bottom w:val="single" w:color="003366" w:sz="6"/>
        </w:pBdr>
        <w:spacing w:after="240" w:before="240"/>
      </w:pP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81%"/>
            <w:tcMar>
              <w:top w:type="dxa" w:w="90"/>
              <w:left w:type="dxa" w:w="150"/>
              <w:bottom w:type="dxa" w:w="90"/>
              <w:right w:type="dxa" w:w="150"/>
            </w:tcMar>
          </w:tcPr>
          <w:p>
            <w:r>
              <w:rPr>
                <w:rFonts w:ascii="Cambria" w:cs="Cambria" w:eastAsia="Cambria" w:hAnsi="Cambria"/>
                <w:b w:val="false"/>
                <w:bCs w:val="false"/>
                <w:i w:val="false"/>
                <w:iCs w:val="false"/>
                <w:strike w:val="false"/>
                <w:color w:val="555555"/>
                <w:sz w:val="18"/>
                <w:szCs w:val="18"/>
              </w:rPr>
              <w:t xml:space="preserve">Brian Michael Frost – Senior Advisor, OSD</w:t>
            </w:r>
          </w:p>
        </w:tc>
        <w:tc>
          <w:tcPr>
            <w:tcW w:type="pct" w:w="19%"/>
            <w:tcMar>
              <w:top w:type="dxa" w:w="90"/>
              <w:left w:type="dxa" w:w="150"/>
              <w:bottom w:type="dxa" w:w="90"/>
              <w:right w:type="dxa" w:w="150"/>
            </w:tcMar>
          </w:tcPr>
          <w:p>
            <w:r>
              <w:rPr>
                <w:rFonts w:ascii="Cambria" w:cs="Cambria" w:eastAsia="Cambria" w:hAnsi="Cambria"/>
                <w:b w:val="false"/>
                <w:bCs w:val="false"/>
                <w:i w:val="false"/>
                <w:iCs w:val="false"/>
                <w:strike w:val="false"/>
                <w:color w:val="555555"/>
                <w:sz w:val="18"/>
                <w:szCs w:val="18"/>
              </w:rPr>
              <w:t xml:space="preserve">Page 5</w:t>
            </w:r>
          </w:p>
        </w:tc>
      </w:tr>
    </w:tbl>
    <w:p>
      <w:pPr>
        <w:spacing w:after="200" w:before="0"/>
      </w:pPr>
    </w:p>
    <w:p>
      <w:pPr>
        <w:pBdr>
          <w:bottom w:val="single" w:color="8B0000" w:sz="6"/>
        </w:pBdr>
        <w:spacing w:after="240" w:before="240"/>
      </w:pPr>
    </w:p>
    <w:p>
      <w:pPr>
        <w:spacing w:after="240" w:line="336" w:lineRule="auto"/>
        <w:jc w:val="center"/>
      </w:pPr>
      <w:r>
        <w:rPr>
          <w:rFonts w:ascii="Cambria" w:cs="Cambria" w:eastAsia="Cambria" w:hAnsi="Cambria"/>
          <w:b/>
          <w:bCs/>
          <w:i w:val="false"/>
          <w:iCs w:val="false"/>
          <w:strike w:val="false"/>
          <w:color w:val="8B0000"/>
          <w:spacing w:val="10"/>
          <w:sz w:val="20"/>
          <w:szCs w:val="20"/>
        </w:rPr>
        <w:t xml:space="preserve">UNCLASSIFIED // FOR OFFICIAL USE ONLY</w:t>
      </w:r>
    </w:p>
    <w:p>
      <w:pPr>
        <w:spacing w:after="240" w:line="336" w:lineRule="auto"/>
        <w:jc w:val="center"/>
      </w:pPr>
      <w:r>
        <w:rPr>
          <w:rFonts w:ascii="Cambria" w:cs="Cambria" w:eastAsia="Cambria" w:hAnsi="Cambria"/>
          <w:b/>
          <w:bCs/>
          <w:i w:val="false"/>
          <w:iCs w:val="false"/>
          <w:strike w:val="false"/>
          <w:color w:val="8B0000"/>
          <w:spacing w:val="10"/>
          <w:sz w:val="20"/>
          <w:szCs w:val="20"/>
        </w:rPr>
        <w:t xml:space="preserve">UNCLASSIFIED // FOR OFFICIAL USE ONLY</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41%"/>
            <w:tcMar>
              <w:top w:type="dxa" w:w="90"/>
              <w:left w:type="dxa" w:w="150"/>
              <w:bottom w:type="dxa" w:w="90"/>
              <w:right w:type="dxa" w:w="150"/>
            </w:tcMar>
          </w:tcPr>
          <w:p>
            <w:r>
              <w:rPr>
                <w:rFonts w:ascii="Cambria" w:cs="Cambria" w:eastAsia="Cambria" w:hAnsi="Cambria"/>
                <w:b/>
                <w:bCs/>
                <w:i/>
                <w:iCs/>
                <w:strike w:val="false"/>
                <w:color w:val="333333"/>
                <w:sz w:val="20"/>
                <w:szCs w:val="20"/>
              </w:rPr>
              <w:t xml:space="preserve">Department of Defense</w:t>
            </w:r>
          </w:p>
        </w:tc>
        <w:tc>
          <w:tcPr>
            <w:tcW w:type="pct" w:w="59%"/>
            <w:tcMar>
              <w:top w:type="dxa" w:w="90"/>
              <w:left w:type="dxa" w:w="150"/>
              <w:bottom w:type="dxa" w:w="90"/>
              <w:right w:type="dxa" w:w="150"/>
            </w:tcMar>
          </w:tcPr>
          <w:p>
            <w:r>
              <w:rPr>
                <w:rFonts w:ascii="Cambria" w:cs="Cambria" w:eastAsia="Cambria" w:hAnsi="Cambria"/>
                <w:b/>
                <w:bCs/>
                <w:i/>
                <w:iCs/>
                <w:strike w:val="false"/>
                <w:color w:val="333333"/>
                <w:sz w:val="20"/>
                <w:szCs w:val="20"/>
              </w:rPr>
              <w:t xml:space="preserve">Clearance Responsibility Summary</w:t>
            </w:r>
          </w:p>
        </w:tc>
      </w:tr>
    </w:tbl>
    <w:p>
      <w:pPr>
        <w:spacing w:after="200" w:before="0"/>
      </w:pPr>
    </w:p>
    <w:p>
      <w:pPr>
        <w:pBdr>
          <w:bottom w:val="single" w:color="003366" w:sz="6"/>
        </w:pBdr>
        <w:spacing w:after="240" w:before="240"/>
      </w:pPr>
    </w:p>
    <w:p>
      <w:pPr>
        <w:pStyle w:val="Heading1"/>
        <w:spacing w:after="60" w:before="480" w:line="312" w:lineRule="auto"/>
      </w:pPr>
      <w:r>
        <w:rPr>
          <w:rFonts w:ascii="Cambria" w:cs="Cambria" w:eastAsia="Cambria" w:hAnsi="Cambria"/>
          <w:color w:val="000000"/>
          <w:sz w:val="28"/>
          <w:szCs w:val="28"/>
        </w:rPr>
        <w:t xml:space="preserve">5.0   ACCESS PROGRAMS AND COMPARTMENTED INFORMATION</w:t>
      </w:r>
    </w:p>
    <w:p>
      <w:pPr>
        <w:spacing w:after="240" w:before="60" w:line="336" w:lineRule="auto"/>
        <w:jc w:val="both"/>
      </w:pPr>
      <w:r>
        <w:rPr>
          <w:rFonts w:ascii="Cambria" w:cs="Cambria" w:eastAsia="Cambria" w:hAnsi="Cambria"/>
          <w:b/>
          <w:bCs/>
          <w:i w:val="false"/>
          <w:iCs w:val="false"/>
          <w:strike w:val="false"/>
          <w:color w:val="000000"/>
          <w:sz w:val="24"/>
          <w:szCs w:val="24"/>
        </w:rPr>
        <w:t xml:space="preserve">5.1</w:t>
      </w:r>
      <w:r>
        <w:rPr>
          <w:rFonts w:ascii="Cambria" w:cs="Cambria" w:eastAsia="Cambria" w:hAnsi="Cambria"/>
          <w:b w:val="false"/>
          <w:bCs w:val="false"/>
          <w:i w:val="false"/>
          <w:iCs w:val="false"/>
          <w:strike w:val="false"/>
          <w:color w:val="000000"/>
          <w:sz w:val="24"/>
          <w:szCs w:val="24"/>
        </w:rPr>
        <w:t xml:space="preserve">   The holder is eligible for indoctrination into compartmented programs on a need-to-know basis as determined by the cognizant security authority.</w:t>
      </w:r>
    </w:p>
    <w:p>
      <w:pPr>
        <w:spacing w:after="240" w:before="60" w:line="336" w:lineRule="auto"/>
        <w:jc w:val="both"/>
      </w:pPr>
      <w:r>
        <w:rPr>
          <w:rFonts w:ascii="Cambria" w:cs="Cambria" w:eastAsia="Cambria" w:hAnsi="Cambria"/>
          <w:b/>
          <w:bCs/>
          <w:i w:val="false"/>
          <w:iCs w:val="false"/>
          <w:strike w:val="false"/>
          <w:color w:val="000000"/>
          <w:sz w:val="24"/>
          <w:szCs w:val="24"/>
        </w:rPr>
        <w:t xml:space="preserve">5.2</w:t>
      </w:r>
      <w:r>
        <w:rPr>
          <w:rFonts w:ascii="Cambria" w:cs="Cambria" w:eastAsia="Cambria" w:hAnsi="Cambria"/>
          <w:b w:val="false"/>
          <w:bCs w:val="false"/>
          <w:i w:val="false"/>
          <w:iCs w:val="false"/>
          <w:strike w:val="false"/>
          <w:color w:val="000000"/>
          <w:sz w:val="24"/>
          <w:szCs w:val="24"/>
        </w:rPr>
        <w:t xml:space="preserve">   All access is contingent upon: (a) valid need-to-know; (b) signed non-disclosure agreements (SF 312, SCI NDA); (c) current and favorable adjudication; and (d) program-specific indoctrination briefings.</w:t>
      </w:r>
    </w:p>
    <w:p>
      <w:pPr>
        <w:spacing w:after="240" w:before="60" w:line="336" w:lineRule="auto"/>
        <w:jc w:val="both"/>
      </w:pPr>
      <w:r>
        <w:rPr>
          <w:rFonts w:ascii="Cambria" w:cs="Cambria" w:eastAsia="Cambria" w:hAnsi="Cambria"/>
          <w:b/>
          <w:bCs/>
          <w:i w:val="false"/>
          <w:iCs w:val="false"/>
          <w:strike w:val="false"/>
          <w:color w:val="000000"/>
          <w:sz w:val="24"/>
          <w:szCs w:val="24"/>
        </w:rPr>
        <w:t xml:space="preserve">5.3</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Debriefing Requirements:</w:t>
      </w:r>
      <w:r>
        <w:rPr>
          <w:rFonts w:ascii="Cambria" w:cs="Cambria" w:eastAsia="Cambria" w:hAnsi="Cambria"/>
          <w:b w:val="false"/>
          <w:bCs w:val="false"/>
          <w:i w:val="false"/>
          <w:iCs w:val="false"/>
          <w:strike w:val="false"/>
          <w:color w:val="000000"/>
          <w:sz w:val="24"/>
          <w:szCs w:val="24"/>
        </w:rPr>
        <w:t xml:space="preserve"> Upon completion of any assignment or separation, the holder shall be debriefed from all compartmented programs in accordance with applicable IC and DoD directives.</w:t>
      </w:r>
    </w:p>
    <w:p>
      <w:pPr>
        <w:pStyle w:val="Heading1"/>
        <w:spacing w:after="60" w:before="480" w:line="312" w:lineRule="auto"/>
      </w:pPr>
      <w:r>
        <w:rPr>
          <w:rFonts w:ascii="Cambria" w:cs="Cambria" w:eastAsia="Cambria" w:hAnsi="Cambria"/>
          <w:color w:val="000000"/>
          <w:sz w:val="28"/>
          <w:szCs w:val="28"/>
        </w:rPr>
        <w:t xml:space="preserve">6.0   COMSEC AND CRYPTOGRAPHIC MATERIAL RESPONSIBILITIES</w:t>
      </w:r>
    </w:p>
    <w:p>
      <w:pPr>
        <w:spacing w:after="240" w:before="60" w:line="336" w:lineRule="auto"/>
        <w:jc w:val="both"/>
      </w:pPr>
      <w:r>
        <w:rPr>
          <w:rFonts w:ascii="Cambria" w:cs="Cambria" w:eastAsia="Cambria" w:hAnsi="Cambria"/>
          <w:b/>
          <w:bCs/>
          <w:i w:val="false"/>
          <w:iCs w:val="false"/>
          <w:strike w:val="false"/>
          <w:color w:val="000000"/>
          <w:sz w:val="24"/>
          <w:szCs w:val="24"/>
        </w:rPr>
        <w:t xml:space="preserve">6.1</w:t>
      </w:r>
      <w:r>
        <w:rPr>
          <w:rFonts w:ascii="Cambria" w:cs="Cambria" w:eastAsia="Cambria" w:hAnsi="Cambria"/>
          <w:b w:val="false"/>
          <w:bCs w:val="false"/>
          <w:i w:val="false"/>
          <w:iCs w:val="false"/>
          <w:strike w:val="false"/>
          <w:color w:val="000000"/>
          <w:sz w:val="24"/>
          <w:szCs w:val="24"/>
        </w:rPr>
        <w:t xml:space="preserve">   The holder is accountable for COMSEC material entrusted to their custody in accordance with CNSSI 4005 and DoDI 8523.01.</w:t>
      </w:r>
    </w:p>
    <w:p>
      <w:pPr>
        <w:spacing w:after="240" w:before="60" w:line="336" w:lineRule="auto"/>
        <w:jc w:val="both"/>
      </w:pPr>
      <w:r>
        <w:rPr>
          <w:rFonts w:ascii="Cambria" w:cs="Cambria" w:eastAsia="Cambria" w:hAnsi="Cambria"/>
          <w:b/>
          <w:bCs/>
          <w:i w:val="false"/>
          <w:iCs w:val="false"/>
          <w:strike w:val="false"/>
          <w:color w:val="000000"/>
          <w:sz w:val="24"/>
          <w:szCs w:val="24"/>
        </w:rPr>
        <w:t xml:space="preserve">6.2</w:t>
      </w:r>
      <w:r>
        <w:rPr>
          <w:rFonts w:ascii="Cambria" w:cs="Cambria" w:eastAsia="Cambria" w:hAnsi="Cambria"/>
          <w:b w:val="false"/>
          <w:bCs w:val="false"/>
          <w:i w:val="false"/>
          <w:iCs w:val="false"/>
          <w:strike w:val="false"/>
          <w:color w:val="000000"/>
          <w:sz w:val="24"/>
          <w:szCs w:val="24"/>
        </w:rPr>
        <w:t xml:space="preserve">   Responsibilities include: proper receipt, handling, storage, accounting, and destruction of cryptographic keying material and COMSEC equipment.</w:t>
      </w:r>
    </w:p>
    <w:p>
      <w:pPr>
        <w:spacing w:after="240" w:before="60" w:line="336" w:lineRule="auto"/>
        <w:jc w:val="both"/>
      </w:pPr>
      <w:r>
        <w:rPr>
          <w:rFonts w:ascii="Cambria" w:cs="Cambria" w:eastAsia="Cambria" w:hAnsi="Cambria"/>
          <w:b/>
          <w:bCs/>
          <w:i w:val="false"/>
          <w:iCs w:val="false"/>
          <w:strike w:val="false"/>
          <w:color w:val="000000"/>
          <w:sz w:val="24"/>
          <w:szCs w:val="24"/>
        </w:rPr>
        <w:t xml:space="preserve">6.3</w:t>
      </w:r>
      <w:r>
        <w:rPr>
          <w:rFonts w:ascii="Cambria" w:cs="Cambria" w:eastAsia="Cambria" w:hAnsi="Cambria"/>
          <w:b w:val="false"/>
          <w:bCs w:val="false"/>
          <w:i w:val="false"/>
          <w:iCs w:val="false"/>
          <w:strike w:val="false"/>
          <w:color w:val="000000"/>
          <w:sz w:val="24"/>
          <w:szCs w:val="24"/>
        </w:rPr>
        <w:t xml:space="preserve">   The holder shall report any COMSEC incident (compromise, loss, or unauthorized access) immediately to the COMSEC Custodian, Information Systems Security Manager (ISSM), and the cognizant security authority.</w:t>
      </w:r>
    </w:p>
    <w:p>
      <w:pPr>
        <w:pStyle w:val="Heading1"/>
        <w:spacing w:after="60" w:before="480" w:line="312" w:lineRule="auto"/>
      </w:pPr>
      <w:r>
        <w:rPr>
          <w:rFonts w:ascii="Cambria" w:cs="Cambria" w:eastAsia="Cambria" w:hAnsi="Cambria"/>
          <w:color w:val="000000"/>
          <w:sz w:val="28"/>
          <w:szCs w:val="28"/>
        </w:rPr>
        <w:t xml:space="preserve">7.0   CONTINUOUS EVALUATION AND VETTING</w:t>
      </w:r>
    </w:p>
    <w:p>
      <w:pPr>
        <w:spacing w:after="240" w:before="60" w:line="336" w:lineRule="auto"/>
        <w:jc w:val="both"/>
      </w:pPr>
      <w:r>
        <w:rPr>
          <w:rFonts w:ascii="Cambria" w:cs="Cambria" w:eastAsia="Cambria" w:hAnsi="Cambria"/>
          <w:b/>
          <w:bCs/>
          <w:i w:val="false"/>
          <w:iCs w:val="false"/>
          <w:strike w:val="false"/>
          <w:color w:val="000000"/>
          <w:sz w:val="24"/>
          <w:szCs w:val="24"/>
        </w:rPr>
        <w:t xml:space="preserve">7.1</w:t>
      </w:r>
      <w:r>
        <w:rPr>
          <w:rFonts w:ascii="Cambria" w:cs="Cambria" w:eastAsia="Cambria" w:hAnsi="Cambria"/>
          <w:b w:val="false"/>
          <w:bCs w:val="false"/>
          <w:i w:val="false"/>
          <w:iCs w:val="false"/>
          <w:strike w:val="false"/>
          <w:color w:val="000000"/>
          <w:sz w:val="24"/>
          <w:szCs w:val="24"/>
        </w:rPr>
        <w:t xml:space="preserve">   The holder is enrolled in the DoD Continuous Vetting (CV) program administered by the Defense Counterintelligence and Security Agency (DCSA).</w:t>
      </w:r>
    </w:p>
    <w:p>
      <w:pPr>
        <w:spacing w:after="240" w:before="60" w:line="336" w:lineRule="auto"/>
        <w:jc w:val="both"/>
      </w:pPr>
      <w:r>
        <w:rPr>
          <w:rFonts w:ascii="Cambria" w:cs="Cambria" w:eastAsia="Cambria" w:hAnsi="Cambria"/>
          <w:b/>
          <w:bCs/>
          <w:i w:val="false"/>
          <w:iCs w:val="false"/>
          <w:strike w:val="false"/>
          <w:color w:val="000000"/>
          <w:sz w:val="24"/>
          <w:szCs w:val="24"/>
        </w:rPr>
        <w:t xml:space="preserve">7.2</w:t>
      </w:r>
      <w:r>
        <w:rPr>
          <w:rFonts w:ascii="Cambria" w:cs="Cambria" w:eastAsia="Cambria" w:hAnsi="Cambria"/>
          <w:b w:val="false"/>
          <w:bCs w:val="false"/>
          <w:i w:val="false"/>
          <w:iCs w:val="false"/>
          <w:strike w:val="false"/>
          <w:color w:val="000000"/>
          <w:sz w:val="24"/>
          <w:szCs w:val="24"/>
        </w:rPr>
        <w:t xml:space="preserve">   Continuous vetting includes automated checks of financial records, criminal databases, public records, and other relevant data sources to ensure ongoing eligibility.</w:t>
      </w:r>
    </w:p>
    <w:p>
      <w:pPr>
        <w:spacing w:after="240" w:before="60" w:line="336" w:lineRule="auto"/>
        <w:jc w:val="both"/>
      </w:pPr>
      <w:r>
        <w:rPr>
          <w:rFonts w:ascii="Cambria" w:cs="Cambria" w:eastAsia="Cambria" w:hAnsi="Cambria"/>
          <w:b/>
          <w:bCs/>
          <w:i w:val="false"/>
          <w:iCs w:val="false"/>
          <w:strike w:val="false"/>
          <w:color w:val="000000"/>
          <w:sz w:val="24"/>
          <w:szCs w:val="24"/>
        </w:rPr>
        <w:t xml:space="preserve">7.3</w:t>
      </w:r>
      <w:r>
        <w:rPr>
          <w:rFonts w:ascii="Cambria" w:cs="Cambria" w:eastAsia="Cambria" w:hAnsi="Cambria"/>
          <w:b w:val="false"/>
          <w:bCs w:val="false"/>
          <w:i w:val="false"/>
          <w:iCs w:val="false"/>
          <w:strike w:val="false"/>
          <w:color w:val="000000"/>
          <w:sz w:val="24"/>
          <w:szCs w:val="24"/>
        </w:rPr>
        <w:t xml:space="preserve">   The holder is obligated to self-report any relevant changes in personal circumstances, foreign contacts, financial hardship, legal issues, or other matters as defined in SEAD 3 (Reporting Requirements for Personnel with Access to Classified Information or Who Hold a Sensitive Position).</w:t>
      </w:r>
    </w:p>
    <w:p>
      <w:pPr>
        <w:pBdr>
          <w:bottom w:val="single" w:color="003366" w:sz="6"/>
        </w:pBdr>
        <w:spacing w:after="240" w:before="240"/>
      </w:pP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81%"/>
            <w:tcMar>
              <w:top w:type="dxa" w:w="90"/>
              <w:left w:type="dxa" w:w="150"/>
              <w:bottom w:type="dxa" w:w="90"/>
              <w:right w:type="dxa" w:w="150"/>
            </w:tcMar>
          </w:tcPr>
          <w:p>
            <w:r>
              <w:rPr>
                <w:rFonts w:ascii="Cambria" w:cs="Cambria" w:eastAsia="Cambria" w:hAnsi="Cambria"/>
                <w:b w:val="false"/>
                <w:bCs w:val="false"/>
                <w:i w:val="false"/>
                <w:iCs w:val="false"/>
                <w:strike w:val="false"/>
                <w:color w:val="555555"/>
                <w:sz w:val="18"/>
                <w:szCs w:val="18"/>
              </w:rPr>
              <w:t xml:space="preserve">Brian Michael Frost – Senior Advisor, OSD</w:t>
            </w:r>
          </w:p>
        </w:tc>
        <w:tc>
          <w:tcPr>
            <w:tcW w:type="pct" w:w="19%"/>
            <w:tcMar>
              <w:top w:type="dxa" w:w="90"/>
              <w:left w:type="dxa" w:w="150"/>
              <w:bottom w:type="dxa" w:w="90"/>
              <w:right w:type="dxa" w:w="150"/>
            </w:tcMar>
          </w:tcPr>
          <w:p>
            <w:r>
              <w:rPr>
                <w:rFonts w:ascii="Cambria" w:cs="Cambria" w:eastAsia="Cambria" w:hAnsi="Cambria"/>
                <w:b w:val="false"/>
                <w:bCs w:val="false"/>
                <w:i w:val="false"/>
                <w:iCs w:val="false"/>
                <w:strike w:val="false"/>
                <w:color w:val="555555"/>
                <w:sz w:val="18"/>
                <w:szCs w:val="18"/>
              </w:rPr>
              <w:t xml:space="preserve">Page 6</w:t>
            </w:r>
          </w:p>
        </w:tc>
      </w:tr>
    </w:tbl>
    <w:p>
      <w:pPr>
        <w:spacing w:after="200" w:before="0"/>
      </w:pPr>
    </w:p>
    <w:p>
      <w:pPr>
        <w:pBdr>
          <w:bottom w:val="single" w:color="8B0000" w:sz="6"/>
        </w:pBdr>
        <w:spacing w:after="240" w:before="240"/>
      </w:pPr>
    </w:p>
    <w:p>
      <w:pPr>
        <w:spacing w:after="240" w:line="336" w:lineRule="auto"/>
        <w:jc w:val="center"/>
      </w:pPr>
      <w:r>
        <w:rPr>
          <w:rFonts w:ascii="Cambria" w:cs="Cambria" w:eastAsia="Cambria" w:hAnsi="Cambria"/>
          <w:b/>
          <w:bCs/>
          <w:i w:val="false"/>
          <w:iCs w:val="false"/>
          <w:strike w:val="false"/>
          <w:color w:val="8B0000"/>
          <w:spacing w:val="10"/>
          <w:sz w:val="20"/>
          <w:szCs w:val="20"/>
        </w:rPr>
        <w:t xml:space="preserve">UNCLASSIFIED // FOR OFFICIAL USE ONLY</w:t>
      </w:r>
    </w:p>
    <w:p>
      <w:pPr>
        <w:spacing w:after="240" w:line="336" w:lineRule="auto"/>
        <w:jc w:val="center"/>
      </w:pPr>
      <w:r>
        <w:rPr>
          <w:rFonts w:ascii="Cambria" w:cs="Cambria" w:eastAsia="Cambria" w:hAnsi="Cambria"/>
          <w:b/>
          <w:bCs/>
          <w:i w:val="false"/>
          <w:iCs w:val="false"/>
          <w:strike w:val="false"/>
          <w:color w:val="8B0000"/>
          <w:spacing w:val="10"/>
          <w:sz w:val="20"/>
          <w:szCs w:val="20"/>
        </w:rPr>
        <w:t xml:space="preserve">UNCLASSIFIED // FOR OFFICIAL USE ONLY</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41%"/>
            <w:tcMar>
              <w:top w:type="dxa" w:w="90"/>
              <w:left w:type="dxa" w:w="150"/>
              <w:bottom w:type="dxa" w:w="90"/>
              <w:right w:type="dxa" w:w="150"/>
            </w:tcMar>
          </w:tcPr>
          <w:p>
            <w:r>
              <w:rPr>
                <w:rFonts w:ascii="Cambria" w:cs="Cambria" w:eastAsia="Cambria" w:hAnsi="Cambria"/>
                <w:b/>
                <w:bCs/>
                <w:i/>
                <w:iCs/>
                <w:strike w:val="false"/>
                <w:color w:val="333333"/>
                <w:sz w:val="20"/>
                <w:szCs w:val="20"/>
              </w:rPr>
              <w:t xml:space="preserve">Department of Defense</w:t>
            </w:r>
          </w:p>
        </w:tc>
        <w:tc>
          <w:tcPr>
            <w:tcW w:type="pct" w:w="59%"/>
            <w:tcMar>
              <w:top w:type="dxa" w:w="90"/>
              <w:left w:type="dxa" w:w="150"/>
              <w:bottom w:type="dxa" w:w="90"/>
              <w:right w:type="dxa" w:w="150"/>
            </w:tcMar>
          </w:tcPr>
          <w:p>
            <w:r>
              <w:rPr>
                <w:rFonts w:ascii="Cambria" w:cs="Cambria" w:eastAsia="Cambria" w:hAnsi="Cambria"/>
                <w:b/>
                <w:bCs/>
                <w:i/>
                <w:iCs/>
                <w:strike w:val="false"/>
                <w:color w:val="333333"/>
                <w:sz w:val="20"/>
                <w:szCs w:val="20"/>
              </w:rPr>
              <w:t xml:space="preserve">Clearance Responsibility Summary</w:t>
            </w:r>
          </w:p>
        </w:tc>
      </w:tr>
    </w:tbl>
    <w:p>
      <w:pPr>
        <w:spacing w:after="200" w:before="0"/>
      </w:pPr>
    </w:p>
    <w:p>
      <w:pPr>
        <w:pBdr>
          <w:bottom w:val="single" w:color="003366" w:sz="6"/>
        </w:pBdr>
        <w:spacing w:after="240" w:before="240"/>
      </w:pPr>
    </w:p>
    <w:p>
      <w:pPr>
        <w:pStyle w:val="Heading1"/>
        <w:spacing w:after="60" w:before="480" w:line="312" w:lineRule="auto"/>
      </w:pPr>
      <w:r>
        <w:rPr>
          <w:rFonts w:ascii="Cambria" w:cs="Cambria" w:eastAsia="Cambria" w:hAnsi="Cambria"/>
          <w:color w:val="000000"/>
          <w:sz w:val="28"/>
          <w:szCs w:val="28"/>
        </w:rPr>
        <w:t xml:space="preserve">8.0   CREDENTIAL AND IDENTITY MANAGEMENT</w:t>
      </w:r>
    </w:p>
    <w:p>
      <w:pPr>
        <w:spacing w:after="240" w:before="60" w:line="336" w:lineRule="auto"/>
        <w:jc w:val="both"/>
      </w:pPr>
      <w:r>
        <w:rPr>
          <w:rFonts w:ascii="Cambria" w:cs="Cambria" w:eastAsia="Cambria" w:hAnsi="Cambria"/>
          <w:b/>
          <w:bCs/>
          <w:i w:val="false"/>
          <w:iCs w:val="false"/>
          <w:strike w:val="false"/>
          <w:color w:val="000000"/>
          <w:sz w:val="24"/>
          <w:szCs w:val="24"/>
        </w:rPr>
        <w:t xml:space="preserve">8.1</w:t>
      </w:r>
      <w:r>
        <w:rPr>
          <w:rFonts w:ascii="Cambria" w:cs="Cambria" w:eastAsia="Cambria" w:hAnsi="Cambria"/>
          <w:b w:val="false"/>
          <w:bCs w:val="false"/>
          <w:i w:val="false"/>
          <w:iCs w:val="false"/>
          <w:strike w:val="false"/>
          <w:color w:val="000000"/>
          <w:sz w:val="24"/>
          <w:szCs w:val="24"/>
        </w:rPr>
        <w:t xml:space="preserve">   The holder is issued a Common Access Card (CAC) and/or other agency-specific credentials for physical and logical access to DoD and DISA facilities and systems.</w:t>
      </w:r>
    </w:p>
    <w:p>
      <w:pPr>
        <w:spacing w:after="240" w:before="60" w:line="336" w:lineRule="auto"/>
        <w:jc w:val="both"/>
      </w:pPr>
      <w:r>
        <w:rPr>
          <w:rFonts w:ascii="Cambria" w:cs="Cambria" w:eastAsia="Cambria" w:hAnsi="Cambria"/>
          <w:b/>
          <w:bCs/>
          <w:i w:val="false"/>
          <w:iCs w:val="false"/>
          <w:strike w:val="false"/>
          <w:color w:val="000000"/>
          <w:sz w:val="24"/>
          <w:szCs w:val="24"/>
        </w:rPr>
        <w:t xml:space="preserve">8.2</w:t>
      </w:r>
      <w:r>
        <w:rPr>
          <w:rFonts w:ascii="Cambria" w:cs="Cambria" w:eastAsia="Cambria" w:hAnsi="Cambria"/>
          <w:b w:val="false"/>
          <w:bCs w:val="false"/>
          <w:i w:val="false"/>
          <w:iCs w:val="false"/>
          <w:strike w:val="false"/>
          <w:color w:val="000000"/>
          <w:sz w:val="24"/>
          <w:szCs w:val="24"/>
        </w:rPr>
        <w:t xml:space="preserve">   Credential management is governed by HSPD-12 and FIPS 201.</w:t>
      </w:r>
    </w:p>
    <w:p>
      <w:pPr>
        <w:spacing w:after="240" w:before="60" w:line="336" w:lineRule="auto"/>
        <w:jc w:val="both"/>
      </w:pPr>
      <w:r>
        <w:rPr>
          <w:rFonts w:ascii="Cambria" w:cs="Cambria" w:eastAsia="Cambria" w:hAnsi="Cambria"/>
          <w:b/>
          <w:bCs/>
          <w:i w:val="false"/>
          <w:iCs w:val="false"/>
          <w:strike w:val="false"/>
          <w:color w:val="000000"/>
          <w:sz w:val="24"/>
          <w:szCs w:val="24"/>
        </w:rPr>
        <w:t xml:space="preserve">8.3</w:t>
      </w:r>
      <w:r>
        <w:rPr>
          <w:rFonts w:ascii="Cambria" w:cs="Cambria" w:eastAsia="Cambria" w:hAnsi="Cambria"/>
          <w:b w:val="false"/>
          <w:bCs w:val="false"/>
          <w:i w:val="false"/>
          <w:iCs w:val="false"/>
          <w:strike w:val="false"/>
          <w:color w:val="000000"/>
          <w:sz w:val="24"/>
          <w:szCs w:val="24"/>
        </w:rPr>
        <w:t xml:space="preserve">   The holder shall safeguard all issued credentials and report any loss, theft, or compromise immediately to the issuing security office.</w:t>
      </w:r>
    </w:p>
    <w:p>
      <w:pPr>
        <w:pStyle w:val="Heading1"/>
        <w:spacing w:after="60" w:before="480" w:line="312" w:lineRule="auto"/>
      </w:pPr>
      <w:r>
        <w:rPr>
          <w:rFonts w:ascii="Cambria" w:cs="Cambria" w:eastAsia="Cambria" w:hAnsi="Cambria"/>
          <w:color w:val="000000"/>
          <w:sz w:val="28"/>
          <w:szCs w:val="28"/>
        </w:rPr>
        <w:t xml:space="preserve">9.0   TRAINING AND CERTIFICATION REQUIREMENTS</w:t>
      </w:r>
    </w:p>
    <w:p>
      <w:pPr>
        <w:spacing w:after="240" w:before="60" w:line="336" w:lineRule="auto"/>
        <w:jc w:val="both"/>
      </w:pPr>
      <w:r>
        <w:rPr>
          <w:rFonts w:ascii="Cambria" w:cs="Cambria" w:eastAsia="Cambria" w:hAnsi="Cambria"/>
          <w:b/>
          <w:bCs/>
          <w:i w:val="false"/>
          <w:iCs w:val="false"/>
          <w:strike w:val="false"/>
          <w:color w:val="000000"/>
          <w:sz w:val="24"/>
          <w:szCs w:val="24"/>
        </w:rPr>
        <w:t xml:space="preserve">9.1</w:t>
      </w:r>
      <w:r>
        <w:rPr>
          <w:rFonts w:ascii="Cambria" w:cs="Cambria" w:eastAsia="Cambria" w:hAnsi="Cambria"/>
          <w:b w:val="false"/>
          <w:bCs w:val="false"/>
          <w:i w:val="false"/>
          <w:iCs w:val="false"/>
          <w:strike w:val="false"/>
          <w:color w:val="000000"/>
          <w:sz w:val="24"/>
          <w:szCs w:val="24"/>
        </w:rPr>
        <w:t xml:space="preserve">   The holder has completed </w:t>
      </w:r>
      <w:r>
        <w:rPr>
          <w:rFonts w:ascii="Cambria" w:cs="Cambria" w:eastAsia="Cambria" w:hAnsi="Cambria"/>
          <w:b/>
          <w:bCs/>
          <w:i w:val="false"/>
          <w:iCs w:val="false"/>
          <w:strike w:val="false"/>
          <w:color w:val="000000"/>
          <w:sz w:val="24"/>
          <w:szCs w:val="24"/>
        </w:rPr>
        <w:t xml:space="preserve">308.75 Continuous Learning Points (CLPs)</w:t>
      </w:r>
      <w:r>
        <w:rPr>
          <w:rFonts w:ascii="Cambria" w:cs="Cambria" w:eastAsia="Cambria" w:hAnsi="Cambria"/>
          <w:b w:val="false"/>
          <w:bCs w:val="false"/>
          <w:i w:val="false"/>
          <w:iCs w:val="false"/>
          <w:strike w:val="false"/>
          <w:color w:val="000000"/>
          <w:sz w:val="24"/>
          <w:szCs w:val="24"/>
        </w:rPr>
        <w:t xml:space="preserve"> for the federal acquisition workforce certification period 2024–2026.</w:t>
      </w:r>
    </w:p>
    <w:p>
      <w:pPr>
        <w:spacing w:after="240" w:before="60" w:line="336" w:lineRule="auto"/>
        <w:jc w:val="both"/>
      </w:pPr>
      <w:r>
        <w:rPr>
          <w:rFonts w:ascii="Cambria" w:cs="Cambria" w:eastAsia="Cambria" w:hAnsi="Cambria"/>
          <w:b/>
          <w:bCs/>
          <w:i w:val="false"/>
          <w:iCs w:val="false"/>
          <w:strike w:val="false"/>
          <w:color w:val="000000"/>
          <w:sz w:val="24"/>
          <w:szCs w:val="24"/>
        </w:rPr>
        <w:t xml:space="preserve">9.2</w:t>
      </w:r>
      <w:r>
        <w:rPr>
          <w:rFonts w:ascii="Cambria" w:cs="Cambria" w:eastAsia="Cambria" w:hAnsi="Cambria"/>
          <w:b w:val="false"/>
          <w:bCs w:val="false"/>
          <w:i w:val="false"/>
          <w:iCs w:val="false"/>
          <w:strike w:val="false"/>
          <w:color w:val="000000"/>
          <w:sz w:val="24"/>
          <w:szCs w:val="24"/>
        </w:rPr>
        <w:t xml:space="preserve">   Required annual training includes but is not limited to:</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Cyber Awareness Challenge (annual)</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Personally Identifiable Information (PII) Training (annual)</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Insider Threat Awareness Training (annual)</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COMSEC User Training (annual)</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Controlled Unclassified Information (CUI) Training (annual)</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Counterintelligence Awareness Training (annual)</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Operations Security (OPSEC) Awareness Training (annual)</w:t>
      </w:r>
    </w:p>
    <w:p>
      <w:pPr>
        <w:spacing w:after="240" w:before="60" w:line="336" w:lineRule="auto"/>
        <w:jc w:val="both"/>
      </w:pPr>
      <w:r>
        <w:rPr>
          <w:rFonts w:ascii="Cambria" w:cs="Cambria" w:eastAsia="Cambria" w:hAnsi="Cambria"/>
          <w:b/>
          <w:bCs/>
          <w:i w:val="false"/>
          <w:iCs w:val="false"/>
          <w:strike w:val="false"/>
          <w:color w:val="000000"/>
          <w:sz w:val="24"/>
          <w:szCs w:val="24"/>
        </w:rPr>
        <w:t xml:space="preserve">9.3</w:t>
      </w:r>
      <w:r>
        <w:rPr>
          <w:rFonts w:ascii="Cambria" w:cs="Cambria" w:eastAsia="Cambria" w:hAnsi="Cambria"/>
          <w:b w:val="false"/>
          <w:bCs w:val="false"/>
          <w:i w:val="false"/>
          <w:iCs w:val="false"/>
          <w:strike w:val="false"/>
          <w:color w:val="000000"/>
          <w:sz w:val="24"/>
          <w:szCs w:val="24"/>
        </w:rPr>
        <w:t xml:space="preserve">   Records of completed training are maintained by the holder and the servicing human resources and security offices.</w:t>
      </w:r>
    </w:p>
    <w:p>
      <w:pPr>
        <w:pStyle w:val="Heading1"/>
        <w:spacing w:after="60" w:before="480" w:line="312" w:lineRule="auto"/>
      </w:pPr>
      <w:r>
        <w:rPr>
          <w:rFonts w:ascii="Cambria" w:cs="Cambria" w:eastAsia="Cambria" w:hAnsi="Cambria"/>
          <w:color w:val="000000"/>
          <w:sz w:val="28"/>
          <w:szCs w:val="28"/>
        </w:rPr>
        <w:t xml:space="preserve">10.0   COMPLIANCE AND ACCOUNTABILITY</w:t>
      </w:r>
    </w:p>
    <w:p>
      <w:pPr>
        <w:spacing w:after="240" w:before="60" w:line="336" w:lineRule="auto"/>
        <w:jc w:val="both"/>
      </w:pPr>
      <w:r>
        <w:rPr>
          <w:rFonts w:ascii="Cambria" w:cs="Cambria" w:eastAsia="Cambria" w:hAnsi="Cambria"/>
          <w:b/>
          <w:bCs/>
          <w:i w:val="false"/>
          <w:iCs w:val="false"/>
          <w:strike w:val="false"/>
          <w:color w:val="000000"/>
          <w:sz w:val="24"/>
          <w:szCs w:val="24"/>
        </w:rPr>
        <w:t xml:space="preserve">10.1</w:t>
      </w:r>
      <w:r>
        <w:rPr>
          <w:rFonts w:ascii="Cambria" w:cs="Cambria" w:eastAsia="Cambria" w:hAnsi="Cambria"/>
          <w:b w:val="false"/>
          <w:bCs w:val="false"/>
          <w:i w:val="false"/>
          <w:iCs w:val="false"/>
          <w:strike w:val="false"/>
          <w:color w:val="000000"/>
          <w:sz w:val="24"/>
          <w:szCs w:val="24"/>
        </w:rPr>
        <w:t xml:space="preserve">   The holder acknowledges and accepts all responsibilities associated with the clearance levels, access authorizations, and program eligibilities described in this document.</w:t>
      </w:r>
    </w:p>
    <w:p>
      <w:pPr>
        <w:spacing w:after="240" w:before="60" w:line="336" w:lineRule="auto"/>
        <w:jc w:val="both"/>
      </w:pPr>
      <w:r>
        <w:rPr>
          <w:rFonts w:ascii="Cambria" w:cs="Cambria" w:eastAsia="Cambria" w:hAnsi="Cambria"/>
          <w:b/>
          <w:bCs/>
          <w:i w:val="false"/>
          <w:iCs w:val="false"/>
          <w:strike w:val="false"/>
          <w:color w:val="000000"/>
          <w:sz w:val="24"/>
          <w:szCs w:val="24"/>
        </w:rPr>
        <w:t xml:space="preserve">10.2</w:t>
      </w:r>
      <w:r>
        <w:rPr>
          <w:rFonts w:ascii="Cambria" w:cs="Cambria" w:eastAsia="Cambria" w:hAnsi="Cambria"/>
          <w:b w:val="false"/>
          <w:bCs w:val="false"/>
          <w:i w:val="false"/>
          <w:iCs w:val="false"/>
          <w:strike w:val="false"/>
          <w:color w:val="000000"/>
          <w:sz w:val="24"/>
          <w:szCs w:val="24"/>
        </w:rPr>
        <w:t xml:space="preserve">   Violations of security regulations, unauthorized disclosures, or failure to comply with applicable directives may result in administrative, civil, or criminal penalties, including but not limited to revocation of clearance, removal from sensitive duties, and prosecution under applicable federal statutes (18 U.S.C. §§ 793, 798, 1924; 50 U.S.C. § 3121).</w:t>
      </w:r>
    </w:p>
    <w:p>
      <w:pPr>
        <w:spacing w:after="240" w:before="60" w:line="336" w:lineRule="auto"/>
        <w:jc w:val="both"/>
      </w:pPr>
      <w:r>
        <w:rPr>
          <w:rFonts w:ascii="Cambria" w:cs="Cambria" w:eastAsia="Cambria" w:hAnsi="Cambria"/>
          <w:b/>
          <w:bCs/>
          <w:i w:val="false"/>
          <w:iCs w:val="false"/>
          <w:strike w:val="false"/>
          <w:color w:val="000000"/>
          <w:sz w:val="24"/>
          <w:szCs w:val="24"/>
        </w:rPr>
        <w:t xml:space="preserve">10.3</w:t>
      </w:r>
      <w:r>
        <w:rPr>
          <w:rFonts w:ascii="Cambria" w:cs="Cambria" w:eastAsia="Cambria" w:hAnsi="Cambria"/>
          <w:b w:val="false"/>
          <w:bCs w:val="false"/>
          <w:i w:val="false"/>
          <w:iCs w:val="false"/>
          <w:strike w:val="false"/>
          <w:color w:val="000000"/>
          <w:sz w:val="24"/>
          <w:szCs w:val="24"/>
        </w:rPr>
        <w:t xml:space="preserve">   This document does not supersede or replace any agency-specific security agreement, non-disclosure agreement, or access authorization. It serves as a consolidated reference companion to existing instruments of record.</w:t>
      </w:r>
    </w:p>
    <w:p>
      <w:pPr>
        <w:pBdr>
          <w:bottom w:val="single" w:color="003366" w:sz="6"/>
        </w:pBdr>
        <w:spacing w:after="240" w:before="240"/>
      </w:pP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81%"/>
            <w:tcMar>
              <w:top w:type="dxa" w:w="90"/>
              <w:left w:type="dxa" w:w="150"/>
              <w:bottom w:type="dxa" w:w="90"/>
              <w:right w:type="dxa" w:w="150"/>
            </w:tcMar>
          </w:tcPr>
          <w:p>
            <w:r>
              <w:rPr>
                <w:rFonts w:ascii="Cambria" w:cs="Cambria" w:eastAsia="Cambria" w:hAnsi="Cambria"/>
                <w:b w:val="false"/>
                <w:bCs w:val="false"/>
                <w:i w:val="false"/>
                <w:iCs w:val="false"/>
                <w:strike w:val="false"/>
                <w:color w:val="555555"/>
                <w:sz w:val="18"/>
                <w:szCs w:val="18"/>
              </w:rPr>
              <w:t xml:space="preserve">Brian Michael Frost – Senior Advisor, OSD</w:t>
            </w:r>
          </w:p>
        </w:tc>
        <w:tc>
          <w:tcPr>
            <w:tcW w:type="pct" w:w="19%"/>
            <w:tcMar>
              <w:top w:type="dxa" w:w="90"/>
              <w:left w:type="dxa" w:w="150"/>
              <w:bottom w:type="dxa" w:w="90"/>
              <w:right w:type="dxa" w:w="150"/>
            </w:tcMar>
          </w:tcPr>
          <w:p>
            <w:r>
              <w:rPr>
                <w:rFonts w:ascii="Cambria" w:cs="Cambria" w:eastAsia="Cambria" w:hAnsi="Cambria"/>
                <w:b w:val="false"/>
                <w:bCs w:val="false"/>
                <w:i w:val="false"/>
                <w:iCs w:val="false"/>
                <w:strike w:val="false"/>
                <w:color w:val="555555"/>
                <w:sz w:val="18"/>
                <w:szCs w:val="18"/>
              </w:rPr>
              <w:t xml:space="preserve">Page 7</w:t>
            </w:r>
          </w:p>
        </w:tc>
      </w:tr>
    </w:tbl>
    <w:p>
      <w:pPr>
        <w:spacing w:after="200" w:before="0"/>
      </w:pPr>
    </w:p>
    <w:p>
      <w:pPr>
        <w:pBdr>
          <w:bottom w:val="single" w:color="8B0000" w:sz="6"/>
        </w:pBdr>
        <w:spacing w:after="240" w:before="240"/>
      </w:pPr>
    </w:p>
    <w:p>
      <w:pPr>
        <w:spacing w:after="240" w:line="336" w:lineRule="auto"/>
        <w:jc w:val="center"/>
      </w:pPr>
      <w:r>
        <w:rPr>
          <w:rFonts w:ascii="Cambria" w:cs="Cambria" w:eastAsia="Cambria" w:hAnsi="Cambria"/>
          <w:b/>
          <w:bCs/>
          <w:i w:val="false"/>
          <w:iCs w:val="false"/>
          <w:strike w:val="false"/>
          <w:color w:val="8B0000"/>
          <w:spacing w:val="10"/>
          <w:sz w:val="20"/>
          <w:szCs w:val="20"/>
        </w:rPr>
        <w:t xml:space="preserve">UNCLASSIFIED // FOR OFFICIAL USE ONLY</w:t>
      </w:r>
    </w:p>
    <w:p>
      <w:pPr>
        <w:spacing w:after="240" w:line="336" w:lineRule="auto"/>
        <w:jc w:val="center"/>
      </w:pPr>
      <w:r>
        <w:rPr>
          <w:rFonts w:ascii="Cambria" w:cs="Cambria" w:eastAsia="Cambria" w:hAnsi="Cambria"/>
          <w:b/>
          <w:bCs/>
          <w:i w:val="false"/>
          <w:iCs w:val="false"/>
          <w:strike w:val="false"/>
          <w:color w:val="8B0000"/>
          <w:spacing w:val="10"/>
          <w:sz w:val="20"/>
          <w:szCs w:val="20"/>
        </w:rPr>
        <w:t xml:space="preserve">UNCLASSIFIED // FOR OFFICIAL USE ONLY</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41%"/>
            <w:tcMar>
              <w:top w:type="dxa" w:w="90"/>
              <w:left w:type="dxa" w:w="150"/>
              <w:bottom w:type="dxa" w:w="90"/>
              <w:right w:type="dxa" w:w="150"/>
            </w:tcMar>
          </w:tcPr>
          <w:p>
            <w:r>
              <w:rPr>
                <w:rFonts w:ascii="Cambria" w:cs="Cambria" w:eastAsia="Cambria" w:hAnsi="Cambria"/>
                <w:b/>
                <w:bCs/>
                <w:i/>
                <w:iCs/>
                <w:strike w:val="false"/>
                <w:color w:val="333333"/>
                <w:sz w:val="20"/>
                <w:szCs w:val="20"/>
              </w:rPr>
              <w:t xml:space="preserve">Department of Defense</w:t>
            </w:r>
          </w:p>
        </w:tc>
        <w:tc>
          <w:tcPr>
            <w:tcW w:type="pct" w:w="59%"/>
            <w:tcMar>
              <w:top w:type="dxa" w:w="90"/>
              <w:left w:type="dxa" w:w="150"/>
              <w:bottom w:type="dxa" w:w="90"/>
              <w:right w:type="dxa" w:w="150"/>
            </w:tcMar>
          </w:tcPr>
          <w:p>
            <w:r>
              <w:rPr>
                <w:rFonts w:ascii="Cambria" w:cs="Cambria" w:eastAsia="Cambria" w:hAnsi="Cambria"/>
                <w:b/>
                <w:bCs/>
                <w:i/>
                <w:iCs/>
                <w:strike w:val="false"/>
                <w:color w:val="333333"/>
                <w:sz w:val="20"/>
                <w:szCs w:val="20"/>
              </w:rPr>
              <w:t xml:space="preserve">Clearance Responsibility Summary</w:t>
            </w:r>
          </w:p>
        </w:tc>
      </w:tr>
    </w:tbl>
    <w:p>
      <w:pPr>
        <w:spacing w:after="200" w:before="0"/>
      </w:pPr>
    </w:p>
    <w:p>
      <w:pPr>
        <w:pBdr>
          <w:bottom w:val="single" w:color="003366" w:sz="6"/>
        </w:pBdr>
        <w:spacing w:after="240" w:before="240"/>
      </w:pPr>
    </w:p>
    <w:p>
      <w:pPr>
        <w:pStyle w:val="Heading1"/>
        <w:spacing w:after="60" w:before="480" w:line="312" w:lineRule="auto"/>
      </w:pPr>
      <w:r>
        <w:rPr>
          <w:rFonts w:ascii="Cambria" w:cs="Cambria" w:eastAsia="Cambria" w:hAnsi="Cambria"/>
          <w:color w:val="000000"/>
          <w:sz w:val="28"/>
          <w:szCs w:val="28"/>
        </w:rPr>
        <w:t xml:space="preserve">CERTIFICATION</w:t>
      </w:r>
    </w:p>
    <w:p>
      <w:pPr>
        <w:spacing w:after="240" w:before="60" w:line="336" w:lineRule="auto"/>
        <w:jc w:val="both"/>
      </w:pPr>
      <w:r>
        <w:rPr>
          <w:rFonts w:ascii="Cambria" w:cs="Cambria" w:eastAsia="Cambria" w:hAnsi="Cambria"/>
          <w:b w:val="false"/>
          <w:bCs w:val="false"/>
          <w:i w:val="false"/>
          <w:iCs w:val="false"/>
          <w:strike w:val="false"/>
          <w:color w:val="000000"/>
          <w:sz w:val="24"/>
          <w:szCs w:val="24"/>
        </w:rPr>
        <w:t xml:space="preserve">I certify that the information contained in this document accurately reflects my current security clearance levels, access authorizations, and associated responsibilities as of the date indicated below.</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tblGrid>
      <w:tr>
        <w:trPr>
          <w:tblHeader w:val="false"/>
        </w:trPr>
        <w:tc>
          <w:tcPr>
            <w:tcW w:type="pct" w:w="79%"/>
            <w:tcMar>
              <w:top w:type="dxa" w:w="90"/>
              <w:left w:type="dxa" w:w="150"/>
              <w:bottom w:type="dxa" w:w="90"/>
              <w:right w:type="dxa" w:w="150"/>
            </w:tcMar>
          </w:tcPr>
          <w:p>
            <w:r>
              <w:rPr>
                <w:b w:val="false"/>
                <w:bCs w:val="false"/>
              </w:rPr>
              <w:t xml:space="preserve"/>
            </w:r>
          </w:p>
        </w:tc>
        <w:tc>
          <w:tcPr>
            <w:tcW w:type="pct" w:w="9%"/>
            <w:tcMar>
              <w:top w:type="dxa" w:w="90"/>
              <w:left w:type="dxa" w:w="150"/>
              <w:bottom w:type="dxa" w:w="90"/>
              <w:right w:type="dxa" w:w="150"/>
            </w:tcMar>
          </w:tcPr>
          <w:p>
            <w:r>
              <w:rPr>
                <w:b w:val="false"/>
                <w:bCs w:val="false"/>
              </w:rPr>
              <w:t xml:space="preserve"/>
            </w:r>
          </w:p>
        </w:tc>
        <w:tc>
          <w:tcPr>
            <w:tcW w:type="pct" w:w="12%"/>
            <w:tcMar>
              <w:top w:type="dxa" w:w="90"/>
              <w:left w:type="dxa" w:w="150"/>
              <w:bottom w:type="dxa" w:w="90"/>
              <w:right w:type="dxa" w:w="150"/>
            </w:tcMar>
          </w:tcPr>
          <w:p>
            <w:r>
              <w:rPr>
                <w:b w:val="false"/>
                <w:bCs w:val="false"/>
              </w:rPr>
              <w:t xml:space="preserve"/>
            </w:r>
          </w:p>
        </w:tc>
      </w:tr>
      <w:tr>
        <w:trPr>
          <w:tblHeader w:val="false"/>
        </w:trPr>
        <w:tc>
          <w:tcPr>
            <w:tcW w:type="pct" w:w="79%"/>
            <w:tcMar>
              <w:top w:type="dxa" w:w="90"/>
              <w:left w:type="dxa" w:w="150"/>
              <w:bottom w:type="dxa" w:w="90"/>
              <w:right w:type="dxa" w:w="150"/>
            </w:tcMar>
          </w:tcPr>
          <w:p>
            <w:r>
              <w:rPr>
                <w:rFonts w:ascii="Cambria" w:cs="Cambria" w:eastAsia="Cambria" w:hAnsi="Cambria"/>
                <w:b/>
                <w:bCs/>
                <w:i w:val="false"/>
                <w:iCs w:val="false"/>
                <w:strike w:val="false"/>
                <w:color w:val="000000"/>
                <w:sz w:val="24"/>
                <w:szCs w:val="24"/>
              </w:rPr>
              <w:t xml:space="preserve">Brian Michael Frost</w:t>
            </w:r>
            <w:r>
              <w:rPr>
                <w:rFonts w:ascii="Cambria" w:cs="Cambria" w:eastAsia="Cambria" w:hAnsi="Cambria"/>
                <w:b w:val="false"/>
                <w:bCs w:val="false"/>
                <w:i w:val="false"/>
                <w:iCs w:val="false"/>
                <w:color w:val="000000"/>
                <w:sz w:val="22"/>
                <w:szCs w:val="22"/>
              </w:rPr>
              <w:t xml:space="preserve">
</w:t>
            </w:r>
            <w:r>
              <w:rPr>
                <w:rFonts w:ascii="Cambria" w:cs="Cambria" w:eastAsia="Cambria" w:hAnsi="Cambria"/>
                <w:b w:val="false"/>
                <w:bCs w:val="false"/>
                <w:i w:val="false"/>
                <w:iCs w:val="false"/>
                <w:strike w:val="false"/>
                <w:color w:val="000000"/>
                <w:sz w:val="22"/>
                <w:szCs w:val="22"/>
              </w:rPr>
              <w:t xml:space="preserve">Senior Advisor</w:t>
            </w:r>
            <w:r>
              <w:rPr>
                <w:rFonts w:ascii="Cambria" w:cs="Cambria" w:eastAsia="Cambria" w:hAnsi="Cambria"/>
                <w:b w:val="false"/>
                <w:bCs w:val="false"/>
                <w:i w:val="false"/>
                <w:iCs w:val="false"/>
                <w:color w:val="000000"/>
                <w:sz w:val="22"/>
                <w:szCs w:val="22"/>
              </w:rPr>
              <w:t xml:space="preserve">
</w:t>
            </w:r>
            <w:r>
              <w:rPr>
                <w:rFonts w:ascii="Cambria" w:cs="Cambria" w:eastAsia="Cambria" w:hAnsi="Cambria"/>
                <w:b w:val="false"/>
                <w:bCs w:val="false"/>
                <w:i w:val="false"/>
                <w:iCs w:val="false"/>
                <w:strike w:val="false"/>
                <w:color w:val="000000"/>
                <w:sz w:val="22"/>
                <w:szCs w:val="22"/>
              </w:rPr>
              <w:t xml:space="preserve">Office of the Secretary of Defense</w:t>
            </w:r>
          </w:p>
        </w:tc>
        <w:tc>
          <w:tcPr>
            <w:tcW w:type="pct" w:w="9%"/>
            <w:tcMar>
              <w:top w:type="dxa" w:w="90"/>
              <w:left w:type="dxa" w:w="150"/>
              <w:bottom w:type="dxa" w:w="90"/>
              <w:right w:type="dxa" w:w="150"/>
            </w:tcMar>
          </w:tcPr>
          <w:p>
            <w:r>
              <w:rPr>
                <w:b w:val="false"/>
                <w:bCs w:val="false"/>
              </w:rPr>
              <w:t xml:space="preserve"/>
            </w:r>
          </w:p>
        </w:tc>
        <w:tc>
          <w:tcPr>
            <w:tcW w:type="pct" w:w="12%"/>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2"/>
                <w:szCs w:val="22"/>
              </w:rPr>
              <w:t xml:space="preserve">Date</w:t>
            </w:r>
          </w:p>
        </w:tc>
      </w:tr>
    </w:tbl>
    <w:p>
      <w:pPr>
        <w:spacing w:after="200" w:before="0"/>
      </w:pPr>
    </w:p>
    <w:p>
      <w:pPr>
        <w:spacing w:after="240" w:before="60" w:line="336" w:lineRule="auto"/>
        <w:jc w:val="both"/>
      </w:pPr>
      <w:r>
        <w:rPr>
          <w:rFonts w:ascii="Cambria" w:cs="Cambria" w:eastAsia="Cambria" w:hAnsi="Cambria"/>
          <w:b/>
          <w:bCs/>
          <w:i w:val="false"/>
          <w:iCs w:val="false"/>
          <w:strike w:val="false"/>
          <w:color w:val="000000"/>
          <w:sz w:val="24"/>
          <w:szCs w:val="24"/>
        </w:rPr>
        <w:t xml:space="preserve">REVIEWED AND VERIFIED:</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tblGrid>
      <w:tr>
        <w:trPr>
          <w:tblHeader w:val="false"/>
        </w:trPr>
        <w:tc>
          <w:tcPr>
            <w:tcW w:type="pct" w:w="78%"/>
            <w:tcMar>
              <w:top w:type="dxa" w:w="90"/>
              <w:left w:type="dxa" w:w="150"/>
              <w:bottom w:type="dxa" w:w="90"/>
              <w:right w:type="dxa" w:w="150"/>
            </w:tcMar>
          </w:tcPr>
          <w:p>
            <w:r>
              <w:rPr>
                <w:b w:val="false"/>
                <w:bCs w:val="false"/>
              </w:rPr>
              <w:t xml:space="preserve"/>
            </w:r>
          </w:p>
        </w:tc>
        <w:tc>
          <w:tcPr>
            <w:tcW w:type="pct" w:w="9%"/>
            <w:tcMar>
              <w:top w:type="dxa" w:w="90"/>
              <w:left w:type="dxa" w:w="150"/>
              <w:bottom w:type="dxa" w:w="90"/>
              <w:right w:type="dxa" w:w="150"/>
            </w:tcMar>
          </w:tcPr>
          <w:p>
            <w:r>
              <w:rPr>
                <w:b w:val="false"/>
                <w:bCs w:val="false"/>
              </w:rPr>
              <w:t xml:space="preserve"/>
            </w:r>
          </w:p>
        </w:tc>
        <w:tc>
          <w:tcPr>
            <w:tcW w:type="pct" w:w="13%"/>
            <w:tcMar>
              <w:top w:type="dxa" w:w="90"/>
              <w:left w:type="dxa" w:w="150"/>
              <w:bottom w:type="dxa" w:w="90"/>
              <w:right w:type="dxa" w:w="150"/>
            </w:tcMar>
          </w:tcPr>
          <w:p>
            <w:r>
              <w:rPr>
                <w:b w:val="false"/>
                <w:bCs w:val="false"/>
              </w:rPr>
              <w:t xml:space="preserve"/>
            </w:r>
          </w:p>
        </w:tc>
      </w:tr>
      <w:tr>
        <w:trPr>
          <w:tblHeader w:val="false"/>
        </w:trPr>
        <w:tc>
          <w:tcPr>
            <w:tcW w:type="pct" w:w="78%"/>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2"/>
                <w:szCs w:val="22"/>
              </w:rPr>
              <w:t xml:space="preserve">Security Officer (Name/Title)</w:t>
            </w:r>
            <w:r>
              <w:rPr>
                <w:rFonts w:ascii="Cambria" w:cs="Cambria" w:eastAsia="Cambria" w:hAnsi="Cambria"/>
                <w:b w:val="false"/>
                <w:bCs w:val="false"/>
                <w:i w:val="false"/>
                <w:iCs w:val="false"/>
                <w:color w:val="000000"/>
                <w:sz w:val="22"/>
                <w:szCs w:val="22"/>
              </w:rPr>
              <w:t xml:space="preserve">
</w:t>
            </w:r>
            <w:r>
              <w:rPr>
                <w:rFonts w:ascii="Cambria" w:cs="Cambria" w:eastAsia="Cambria" w:hAnsi="Cambria"/>
                <w:b w:val="false"/>
                <w:bCs w:val="false"/>
                <w:i w:val="false"/>
                <w:iCs w:val="false"/>
                <w:strike w:val="false"/>
                <w:color w:val="000000"/>
                <w:sz w:val="22"/>
                <w:szCs w:val="22"/>
              </w:rPr>
              <w:t xml:space="preserve">Cognizant Security Authority</w:t>
            </w:r>
          </w:p>
        </w:tc>
        <w:tc>
          <w:tcPr>
            <w:tcW w:type="pct" w:w="9%"/>
            <w:tcMar>
              <w:top w:type="dxa" w:w="90"/>
              <w:left w:type="dxa" w:w="150"/>
              <w:bottom w:type="dxa" w:w="90"/>
              <w:right w:type="dxa" w:w="150"/>
            </w:tcMar>
          </w:tcPr>
          <w:p>
            <w:r>
              <w:rPr>
                <w:b w:val="false"/>
                <w:bCs w:val="false"/>
              </w:rPr>
              <w:t xml:space="preserve"/>
            </w:r>
          </w:p>
        </w:tc>
        <w:tc>
          <w:tcPr>
            <w:tcW w:type="pct" w:w="13%"/>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2"/>
                <w:szCs w:val="22"/>
              </w:rPr>
              <w:t xml:space="preserve">Date</w:t>
            </w:r>
          </w:p>
        </w:tc>
      </w:tr>
    </w:tbl>
    <w:p>
      <w:pPr>
        <w:spacing w:after="200" w:before="0"/>
      </w:pPr>
    </w:p>
    <w:p>
      <w:pPr>
        <w:pBdr>
          <w:bottom w:val="single" w:color="003366" w:sz="6"/>
        </w:pBdr>
        <w:spacing w:after="240" w:before="240"/>
      </w:pP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81%"/>
            <w:tcMar>
              <w:top w:type="dxa" w:w="90"/>
              <w:left w:type="dxa" w:w="150"/>
              <w:bottom w:type="dxa" w:w="90"/>
              <w:right w:type="dxa" w:w="150"/>
            </w:tcMar>
          </w:tcPr>
          <w:p>
            <w:r>
              <w:rPr>
                <w:rFonts w:ascii="Cambria" w:cs="Cambria" w:eastAsia="Cambria" w:hAnsi="Cambria"/>
                <w:b w:val="false"/>
                <w:bCs w:val="false"/>
                <w:i w:val="false"/>
                <w:iCs w:val="false"/>
                <w:strike w:val="false"/>
                <w:color w:val="555555"/>
                <w:sz w:val="18"/>
                <w:szCs w:val="18"/>
              </w:rPr>
              <w:t xml:space="preserve">Brian Michael Frost – Senior Advisor, OSD</w:t>
            </w:r>
          </w:p>
        </w:tc>
        <w:tc>
          <w:tcPr>
            <w:tcW w:type="pct" w:w="19%"/>
            <w:tcMar>
              <w:top w:type="dxa" w:w="90"/>
              <w:left w:type="dxa" w:w="150"/>
              <w:bottom w:type="dxa" w:w="90"/>
              <w:right w:type="dxa" w:w="150"/>
            </w:tcMar>
          </w:tcPr>
          <w:p>
            <w:r>
              <w:rPr>
                <w:rFonts w:ascii="Cambria" w:cs="Cambria" w:eastAsia="Cambria" w:hAnsi="Cambria"/>
                <w:b w:val="false"/>
                <w:bCs w:val="false"/>
                <w:i w:val="false"/>
                <w:iCs w:val="false"/>
                <w:strike w:val="false"/>
                <w:color w:val="555555"/>
                <w:sz w:val="18"/>
                <w:szCs w:val="18"/>
              </w:rPr>
              <w:t xml:space="preserve">Page 8</w:t>
            </w:r>
          </w:p>
        </w:tc>
      </w:tr>
    </w:tbl>
    <w:p>
      <w:pPr>
        <w:spacing w:after="200" w:before="0"/>
      </w:pPr>
    </w:p>
    <w:p>
      <w:pPr>
        <w:pBdr>
          <w:bottom w:val="single" w:color="8B0000" w:sz="6"/>
        </w:pBdr>
        <w:spacing w:after="240" w:before="240"/>
      </w:pPr>
    </w:p>
    <w:p>
      <w:pPr>
        <w:spacing w:after="240" w:line="336" w:lineRule="auto"/>
        <w:jc w:val="center"/>
      </w:pPr>
      <w:r>
        <w:rPr>
          <w:rFonts w:ascii="Cambria" w:cs="Cambria" w:eastAsia="Cambria" w:hAnsi="Cambria"/>
          <w:b/>
          <w:bCs/>
          <w:i w:val="false"/>
          <w:iCs w:val="false"/>
          <w:strike w:val="false"/>
          <w:color w:val="8B0000"/>
          <w:spacing w:val="10"/>
          <w:sz w:val="20"/>
          <w:szCs w:val="20"/>
        </w:rPr>
        <w:t xml:space="preserve">UNCLASSIFIED // FOR OFFICIAL USE ONLY</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KHyC8B9DBUXgnw45jSNzC</dc:title>
  <dc:creator>Un-named</dc:creator>
  <dc:description>Generated document</dc:description>
  <cp:lastModifiedBy>Un-named</cp:lastModifiedBy>
  <cp:revision>1</cp:revision>
  <dcterms:created xsi:type="dcterms:W3CDTF">2026-04-29T15:18:40.554Z</dcterms:created>
  <dcterms:modified xsi:type="dcterms:W3CDTF">2026-04-29T15:18:40.555Z</dcterms:modified>
</cp:coreProperties>
</file>

<file path=docProps/custom.xml><?xml version="1.0" encoding="utf-8"?>
<Properties xmlns="http://schemas.openxmlformats.org/officeDocument/2006/custom-properties" xmlns:vt="http://schemas.openxmlformats.org/officeDocument/2006/docPropsVTypes"/>
</file>