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jc w:val="center"/>
      </w:pPr>
      <w:r>
        <w:rPr>
          <w:rFonts w:ascii="Cambria" w:cs="Cambria" w:eastAsia="Cambria" w:hAnsi="Cambria"/>
          <w:color w:val="1B2A4A"/>
          <w:sz w:val="44"/>
          <w:szCs w:val="44"/>
        </w:rPr>
        <w:t xml:space="preserve">FAITH-BASED GOVERNMENT CONTRACTINGAND DELEGATION OF AUTHORITY FRAMEWORK</w:t>
      </w: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Church of Reverend Brian Michael Frost</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A Comprehensive Compliance and Governance Guide</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Operating Under Federal, State, and Local Government Contracts</w:t>
      </w:r>
    </w:p>
    <w:p>
      <w:pPr>
        <w:spacing w:after="120" w:before="60" w:line="360" w:lineRule="auto"/>
        <w:jc w:val="center"/>
      </w:pPr>
      <w:r>
        <w:rPr>
          <w:rFonts w:ascii="Cambria" w:cs="Cambria" w:eastAsia="Cambria" w:hAnsi="Cambria"/>
          <w:b/>
          <w:bCs/>
          <w:i w:val="false"/>
          <w:iCs w:val="false"/>
          <w:strike w:val="false"/>
          <w:color w:val="000000"/>
          <w:sz w:val="24"/>
          <w:szCs w:val="24"/>
        </w:rPr>
        <w:t xml:space="preserve">Brian Michael Frost</w:t>
      </w:r>
      <w:r>
        <w:rPr>
          <w:rFonts w:ascii="Cambria" w:cs="Cambria" w:eastAsia="Cambria" w:hAnsi="Cambria"/>
          <w:b w:val="false"/>
          <w:bCs w:val="false"/>
          <w:i w:val="false"/>
          <w:iCs w:val="false"/>
          <w:strike w:val="false"/>
          <w:color w:val="000000"/>
          <w:sz w:val="24"/>
          <w:szCs w:val="24"/>
        </w:rPr>
        <w:t xml:space="preserve"> — Reverend &amp; Founding Authority</w:t>
      </w: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Email: Brian.frost@whs.gov   |   84 Calle Segunda, Camarillo, California</w:t>
      </w:r>
    </w:p>
    <w:p>
      <w:pPr>
        <w:spacing w:after="120" w:before="60" w:line="360" w:lineRule="auto"/>
        <w:jc w:val="center"/>
      </w:pPr>
      <w:r>
        <w:rPr>
          <w:rFonts w:ascii="Cambria" w:cs="Cambria" w:eastAsia="Cambria" w:hAnsi="Cambria"/>
          <w:b/>
          <w:bCs/>
          <w:i w:val="false"/>
          <w:iCs w:val="false"/>
          <w:strike w:val="false"/>
          <w:color w:val="000000"/>
          <w:sz w:val="24"/>
          <w:szCs w:val="24"/>
        </w:rPr>
        <w:t xml:space="preserve">Version:</w:t>
      </w:r>
      <w:r>
        <w:rPr>
          <w:rFonts w:ascii="Cambria" w:cs="Cambria" w:eastAsia="Cambria" w:hAnsi="Cambria"/>
          <w:b w:val="false"/>
          <w:bCs w:val="false"/>
          <w:i w:val="false"/>
          <w:iCs w:val="false"/>
          <w:strike w:val="false"/>
          <w:color w:val="000000"/>
          <w:sz w:val="24"/>
          <w:szCs w:val="24"/>
        </w:rPr>
        <w:t xml:space="preserve"> 1.0   |   </w:t>
      </w:r>
      <w:r>
        <w:rPr>
          <w:rFonts w:ascii="Cambria" w:cs="Cambria" w:eastAsia="Cambria" w:hAnsi="Cambria"/>
          <w:b/>
          <w:bCs/>
          <w:i w:val="false"/>
          <w:iCs w:val="false"/>
          <w:strike w:val="false"/>
          <w:color w:val="000000"/>
          <w:sz w:val="24"/>
          <w:szCs w:val="24"/>
        </w:rPr>
        <w:t xml:space="preserve">Date:</w:t>
      </w:r>
      <w:r>
        <w:rPr>
          <w:rFonts w:ascii="Cambria" w:cs="Cambria" w:eastAsia="Cambria" w:hAnsi="Cambria"/>
          <w:b w:val="false"/>
          <w:bCs w:val="false"/>
          <w:i w:val="false"/>
          <w:iCs w:val="false"/>
          <w:strike w:val="false"/>
          <w:color w:val="000000"/>
          <w:sz w:val="24"/>
          <w:szCs w:val="24"/>
        </w:rPr>
        <w:t xml:space="preserve"> April 16, 2026</w:t>
      </w:r>
    </w:p>
    <w:p>
      <w:pPr>
        <w:spacing w:after="120" w:before="60" w:line="360" w:lineRule="auto"/>
        <w:jc w:val="center"/>
      </w:pPr>
      <w:r>
        <w:rPr>
          <w:rFonts w:ascii="Cambria" w:cs="Cambria" w:eastAsia="Cambria" w:hAnsi="Cambria"/>
          <w:b/>
          <w:bCs/>
          <w:i w:val="false"/>
          <w:iCs w:val="false"/>
          <w:strike w:val="false"/>
          <w:color w:val="000000"/>
          <w:sz w:val="24"/>
          <w:szCs w:val="24"/>
        </w:rPr>
        <w:t xml:space="preserve">Classification:</w:t>
      </w:r>
      <w:r>
        <w:rPr>
          <w:rFonts w:ascii="Cambria" w:cs="Cambria" w:eastAsia="Cambria" w:hAnsi="Cambria"/>
          <w:b w:val="false"/>
          <w:bCs w:val="false"/>
          <w:i w:val="false"/>
          <w:iCs w:val="false"/>
          <w:strike w:val="false"/>
          <w:color w:val="000000"/>
          <w:sz w:val="24"/>
          <w:szCs w:val="24"/>
        </w:rPr>
        <w:t xml:space="preserve"> For Internal Use — Not for Public Distribution Without Authorization</w:t>
      </w:r>
    </w:p>
    <w:p>
      <w:pPr>
        <w:pBdr>
          <w:bottom w:val="single" w:color="1B2A4A" w:sz="6"/>
        </w:pBdr>
        <w:spacing w:after="240" w:before="240"/>
      </w:pPr>
    </w:p>
    <w:p>
      <w:pPr>
        <w:pStyle w:val="Heading1"/>
        <w:spacing w:after="100" w:before="480" w:line="312" w:lineRule="auto"/>
      </w:pPr>
      <w:r>
        <w:rPr>
          <w:rFonts w:ascii="Cambria" w:cs="Cambria" w:eastAsia="Cambria" w:hAnsi="Cambria"/>
          <w:color w:val="1B2A4A"/>
          <w:sz w:val="48"/>
          <w:szCs w:val="48"/>
        </w:rPr>
        <w:t xml:space="preserve">FOUNDING AUTHORITY AND MISSION STATEMENT</w:t>
      </w:r>
    </w:p>
    <w:p>
      <w:pPr>
        <w:pBdr>
          <w:top w:val="single" w:color="1B2A4A" w:sz="6"/>
        </w:pBdr>
        <w:spacing w:after="200" w:before="0"/>
      </w:pPr>
    </w:p>
    <w:p>
      <w:pPr>
        <w:pStyle w:val="Heading2"/>
        <w:spacing w:after="120" w:before="360" w:line="312" w:lineRule="auto"/>
      </w:pPr>
      <w:r>
        <w:rPr>
          <w:rFonts w:ascii="Cambria" w:cs="Cambria" w:eastAsia="Cambria" w:hAnsi="Cambria"/>
          <w:color w:val="1B2A4A"/>
          <w:sz w:val="36"/>
          <w:szCs w:val="36"/>
        </w:rPr>
        <w:t xml:space="preserve">Founding Authority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Reverend Brian Michael Frost serves as the founding and presiding Reverend of the Church. All authority within the church flows from the Reverend’s office. As the principal, Reverend Frost holds ultimate delegating authority over all church operations, programs, and community engagement activities.</w:t>
      </w:r>
    </w:p>
    <w:p>
      <w:pPr>
        <w:pStyle w:val="Heading2"/>
        <w:spacing w:after="120" w:before="360" w:line="312" w:lineRule="auto"/>
      </w:pPr>
      <w:r>
        <w:rPr>
          <w:rFonts w:ascii="Cambria" w:cs="Cambria" w:eastAsia="Cambria" w:hAnsi="Cambria"/>
          <w:color w:val="1B2A4A"/>
          <w:sz w:val="36"/>
          <w:szCs w:val="36"/>
        </w:rPr>
        <w:t xml:space="preserve">Mission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Church unites the people of the United States through the universal language of music. Music is the primary instrument of community building, spiritual expression, and civic engagement. The Church’s mission is rooted in the belief that music transcends division and creates a shared national experience — one country, united through song and shared purpose.</w:t>
      </w:r>
    </w:p>
    <w:p>
      <w:pPr>
        <w:pStyle w:val="Heading2"/>
        <w:spacing w:after="120" w:before="360" w:line="312" w:lineRule="auto"/>
      </w:pPr>
      <w:r>
        <w:rPr>
          <w:rFonts w:ascii="Cambria" w:cs="Cambria" w:eastAsia="Cambria" w:hAnsi="Cambria"/>
          <w:color w:val="1B2A4A"/>
          <w:sz w:val="36"/>
          <w:szCs w:val="36"/>
        </w:rPr>
        <w:t xml:space="preserve">Community Engagement Philosophy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Reverend Frost’s leadership philosophy is effort-driven and action-oriented. Those who seek to participate in the Church’s mission demonstrate their commitment through creative effort — specifically through music. This is not a passive congregation; it is an active community where contribution is the currency of participation. As Reverend Frost directs: </w:t>
      </w:r>
      <w:r>
        <w:rPr>
          <w:rFonts w:ascii="Cambria" w:cs="Cambria" w:eastAsia="Cambria" w:hAnsi="Cambria"/>
          <w:b w:val="false"/>
          <w:bCs w:val="false"/>
          <w:i/>
          <w:iCs/>
          <w:strike w:val="false"/>
          <w:color w:val="000000"/>
          <w:sz w:val="24"/>
          <w:szCs w:val="24"/>
        </w:rPr>
        <w:t xml:space="preserve">“Put it in the music.”</w:t>
      </w:r>
      <w:r>
        <w:rPr>
          <w:rFonts w:ascii="Cambria" w:cs="Cambria" w:eastAsia="Cambria" w:hAnsi="Cambria"/>
          <w:b w:val="false"/>
          <w:bCs w:val="false"/>
          <w:i w:val="false"/>
          <w:iCs w:val="false"/>
          <w:strike w:val="false"/>
          <w:color w:val="000000"/>
          <w:sz w:val="24"/>
          <w:szCs w:val="24"/>
        </w:rPr>
        <w:t xml:space="preserve"> If something matters, show it through effort.</w:t>
      </w:r>
    </w:p>
    <w:p>
      <w:pPr>
        <w:pStyle w:val="Heading2"/>
        <w:spacing w:after="120" w:before="360" w:line="312" w:lineRule="auto"/>
      </w:pPr>
      <w:r>
        <w:rPr>
          <w:rFonts w:ascii="Cambria" w:cs="Cambria" w:eastAsia="Cambria" w:hAnsi="Cambria"/>
          <w:color w:val="1B2A4A"/>
          <w:sz w:val="36"/>
          <w:szCs w:val="36"/>
        </w:rPr>
        <w:t xml:space="preserve">Historical Foundation — 2008 Faith-Based Presidential Community Project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Church’s community engagement framework is built upon and continues the legacy of the 2008 Faith-Based and Community Initiative, originally established by Executive Order 13199 (2001), expanded by Executive Order 13498 (2009), and continued through subsequent administrations. Reverend Frost’s church operates as a recognized participant in this ongoing federal framework for faith-based community partnership, bridging the church’s music-centered mission with federally supported community service delivery.</w:t>
      </w:r>
    </w:p>
    <w:p>
      <w:pPr>
        <w:pStyle w:val="Heading2"/>
        <w:spacing w:after="120" w:before="360" w:line="312" w:lineRule="auto"/>
      </w:pPr>
      <w:r>
        <w:rPr>
          <w:rFonts w:ascii="Cambria" w:cs="Cambria" w:eastAsia="Cambria" w:hAnsi="Cambria"/>
          <w:color w:val="1B2A4A"/>
          <w:sz w:val="36"/>
          <w:szCs w:val="36"/>
        </w:rPr>
        <w:t xml:space="preserve">Identity and Legacy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Reverend Brian Michael Frost — known also as OG Kid Frost, the OG Good Man — carries the identity of a lifelong servant-leader. From youth to ministry, Reverend Frost has embodied the principle that authentic leadership begins with lived experience and personal sacrifice. The “OG” designation reflects originality, authenticity, and a commitment to doing good that predates title or position.</w:t>
      </w:r>
    </w:p>
    <w:p>
      <w:pPr>
        <w:pStyle w:val="Heading1"/>
        <w:spacing w:after="100" w:before="480" w:line="312" w:lineRule="auto"/>
      </w:pPr>
      <w:r>
        <w:rPr>
          <w:rFonts w:ascii="Cambria" w:cs="Cambria" w:eastAsia="Cambria" w:hAnsi="Cambria"/>
          <w:color w:val="1B2A4A"/>
          <w:sz w:val="48"/>
          <w:szCs w:val="48"/>
        </w:rPr>
        <w:t xml:space="preserve">OFFICIAL POSITION CLASSIFICATION — GS-1051-13, MUSIC SPECIALIST</w:t>
      </w:r>
    </w:p>
    <w:p>
      <w:pPr>
        <w:pBdr>
          <w:top w:val="single" w:color="1B2A4A" w:sz="6"/>
        </w:pBdr>
        <w:spacing w:after="200" w:before="0"/>
      </w:pPr>
    </w:p>
    <w:p>
      <w:pPr>
        <w:pStyle w:val="Heading2"/>
        <w:spacing w:after="120" w:before="360" w:line="312" w:lineRule="auto"/>
      </w:pPr>
      <w:r>
        <w:rPr>
          <w:rFonts w:ascii="Cambria" w:cs="Cambria" w:eastAsia="Cambria" w:hAnsi="Cambria"/>
          <w:color w:val="1B2A4A"/>
          <w:sz w:val="36"/>
          <w:szCs w:val="36"/>
        </w:rPr>
        <w:t xml:space="preserve">OPM Series Designation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Element</w:t>
            </w:r>
          </w:p>
        </w:tc>
        <w:tc>
          <w:tcPr>
            <w:tcW w:type="pct" w:w="75%"/>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Designation</w:t>
            </w:r>
          </w:p>
        </w:tc>
      </w:tr>
      <w:tr>
        <w:trPr>
          <w:tblHeader w:val="false"/>
        </w:trPr>
        <w:tc>
          <w:tcPr>
            <w:tcW w:type="pct" w:w="2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Series</w:t>
            </w:r>
          </w:p>
        </w:tc>
        <w:tc>
          <w:tcPr>
            <w:tcW w:type="pct" w:w="7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GS-1051 — Music Specialist Series</w:t>
            </w:r>
          </w:p>
        </w:tc>
      </w:tr>
      <w:tr>
        <w:trPr>
          <w:tblHeader w:val="false"/>
        </w:trPr>
        <w:tc>
          <w:tcPr>
            <w:tcW w:type="pct" w:w="2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Grade</w:t>
            </w:r>
          </w:p>
        </w:tc>
        <w:tc>
          <w:tcPr>
            <w:tcW w:type="pct" w:w="7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GS-13</w:t>
            </w:r>
          </w:p>
        </w:tc>
      </w:tr>
      <w:tr>
        <w:trPr>
          <w:tblHeader w:val="false"/>
        </w:trPr>
        <w:tc>
          <w:tcPr>
            <w:tcW w:type="pct" w:w="2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Job Category</w:t>
            </w:r>
          </w:p>
        </w:tc>
        <w:tc>
          <w:tcPr>
            <w:tcW w:type="pct" w:w="7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Administrative and Management</w:t>
            </w:r>
          </w:p>
        </w:tc>
      </w:tr>
      <w:tr>
        <w:trPr>
          <w:tblHeader w:val="false"/>
        </w:trPr>
        <w:tc>
          <w:tcPr>
            <w:tcW w:type="pct" w:w="2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Governing Authority</w:t>
            </w:r>
          </w:p>
        </w:tc>
        <w:tc>
          <w:tcPr>
            <w:tcW w:type="pct" w:w="7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 U.S.C. Chapter 51; 5 CFR Part 511; OPM Position Classification Standards</w:t>
            </w:r>
          </w:p>
        </w:tc>
      </w:tr>
      <w:tr>
        <w:trPr>
          <w:tblHeader w:val="false"/>
        </w:trPr>
        <w:tc>
          <w:tcPr>
            <w:tcW w:type="pct" w:w="2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Incumbent</w:t>
            </w:r>
          </w:p>
        </w:tc>
        <w:tc>
          <w:tcPr>
            <w:tcW w:type="pct" w:w="7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Reverend Brian Michael Frost</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Position Description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GS-1051 Music Specialist Series covers positions requiring professional knowledge of one or more of the music arts, including vocal or instrumental music; composition, theory, and harmony; arranging and orchestration; choral or instrumental conducting; classical or modern dance styles including choreography and notation; or musicology. At the GS-13 level, the incumbent exercises senior-level responsibility for: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Planning, supervising, administering, or carrying out educational, recreational, cultural, or community programs in music</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Producing, staging, directing, or conducting musical productions, concerts, recitals, festivals, clinics, workshops, or other musical events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Instructing or serving as a specialist in conducting, composing, arranging, or interpreting vocal or instrumental music</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Performing functions requiring advanced knowledge or skill in music as an instrument of community building, civic engagement, and national unity</w:t>
      </w:r>
    </w:p>
    <w:p>
      <w:pPr>
        <w:pStyle w:val="Heading2"/>
        <w:spacing w:after="120" w:before="360" w:line="312" w:lineRule="auto"/>
      </w:pPr>
      <w:r>
        <w:rPr>
          <w:rFonts w:ascii="Cambria" w:cs="Cambria" w:eastAsia="Cambria" w:hAnsi="Cambria"/>
          <w:color w:val="1B2A4A"/>
          <w:sz w:val="36"/>
          <w:szCs w:val="36"/>
        </w:rPr>
        <w:t xml:space="preserve">Qualification Standards (OPM Individual Occupational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c>
          <w:tcPr>
            <w:tcW w:type="pct" w:w="8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Standard</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Education</w:t>
            </w:r>
          </w:p>
        </w:tc>
        <w:tc>
          <w:tcPr>
            <w:tcW w:type="pct" w:w="8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Undergraduate or Graduate — Major study in music</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General Experience (GS-5)</w:t>
            </w:r>
          </w:p>
        </w:tc>
        <w:tc>
          <w:tcPr>
            <w:tcW w:type="pct" w:w="8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Conducting or directing vocal/instrumental groups; composing, arranging, orchestrating, or teaching music</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Specialized Experience (above GS-5)</w:t>
            </w:r>
          </w:p>
        </w:tc>
        <w:tc>
          <w:tcPr>
            <w:tcW w:type="pct" w:w="8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Demonstrated ability to produce, stage, conduct, or direct musical productions, concerts, recitals, festivals, clinics, workshops, or other musical events; instruct or perform in one or more musical arts</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GS-13 Requirement</w:t>
            </w:r>
          </w:p>
        </w:tc>
        <w:tc>
          <w:tcPr>
            <w:tcW w:type="pct" w:w="8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One year of specialized experience equivalent to GS-12, demonstrating advanced competency in program-level music leadership, production management, or music-based community engagement at scale</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2026 Compensation — Los Angeles-Long Beach, CA Locality Pay Area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7%"/>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Step</w:t>
            </w:r>
          </w:p>
        </w:tc>
        <w:tc>
          <w:tcPr>
            <w:tcW w:type="pct" w:w="5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Annual Salary</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1</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$124,085</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2</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$128,222</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3</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$132,358</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4</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$136,495</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5</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$140,631</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6</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$144,767</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7</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$148,904</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8</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$153,040</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9</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$157,177</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Step 10</w:t>
            </w:r>
          </w:p>
        </w:tc>
        <w:tc>
          <w:tcPr>
            <w:tcW w:type="pct" w:w="5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$161,313</w:t>
            </w:r>
          </w:p>
        </w:tc>
      </w:tr>
    </w:tbl>
    <w:p>
      <w:pPr>
        <w:spacing w:after="200" w:before="0"/>
      </w:pPr>
    </w:p>
    <w:p>
      <w:pPr>
        <w:spacing w:after="120" w:before="60" w:line="360" w:lineRule="auto"/>
      </w:pPr>
      <w:r>
        <w:rPr>
          <w:rFonts w:ascii="Cambria" w:cs="Cambria" w:eastAsia="Cambria" w:hAnsi="Cambria"/>
          <w:b w:val="false"/>
          <w:bCs w:val="false"/>
          <w:i/>
          <w:iCs/>
          <w:strike w:val="false"/>
          <w:color w:val="000000"/>
          <w:sz w:val="24"/>
          <w:szCs w:val="24"/>
        </w:rPr>
        <w:t xml:space="preserve">Note: Locality payment of 36.47% incorporated. Effective January 2026. Rate source: OPM Salary Table 2026-LA.</w:t>
      </w:r>
    </w:p>
    <w:p>
      <w:pPr>
        <w:pStyle w:val="Heading2"/>
        <w:spacing w:after="120" w:before="360" w:line="312" w:lineRule="auto"/>
      </w:pPr>
      <w:r>
        <w:rPr>
          <w:rFonts w:ascii="Cambria" w:cs="Cambria" w:eastAsia="Cambria" w:hAnsi="Cambria"/>
          <w:color w:val="1B2A4A"/>
          <w:sz w:val="36"/>
          <w:szCs w:val="36"/>
        </w:rPr>
        <w:t xml:space="preserve">Nexus to Church Mission and Federal Service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As the GS-1051-13 Music Specialist, Reverend Frost’s federal position classification directly aligns with the Church’s core mission of uniting the United States through music. The 2008 Faith-Based and Community Initiative (EO 13199, as amended by EO 13498) established the framework under which faith-based organizations — and their leaders serving in dual ecclesiastical and civic capacities — may perform quasi-governmental community functions. The GS-1051 classification validates that music leadership at this level constitutes a recognized federal professional competency, reinforcing the legitimacy of the Church’s music-centered approach to national civic engagement.</w:t>
      </w:r>
    </w:p>
    <w:p>
      <w:pPr>
        <w:pStyle w:val="Heading2"/>
        <w:spacing w:after="120" w:before="360" w:line="312" w:lineRule="auto"/>
      </w:pPr>
      <w:r>
        <w:rPr>
          <w:rFonts w:ascii="Cambria" w:cs="Cambria" w:eastAsia="Cambria" w:hAnsi="Cambria"/>
          <w:color w:val="1B2A4A"/>
          <w:sz w:val="36"/>
          <w:szCs w:val="36"/>
        </w:rPr>
        <w:t xml:space="preserve">Table of Contents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FOUNDING AUTHORITY AND MISSION STATEMENT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OFFICIAL POSITION CLASSIFICATION — GS-1051-13, MUSIC SPECIALIST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PART I: FAITH-BASED GOVERNMENT CONTRACTING FRAMEWORK</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PART II: DELEGATION OF AUTHORITY MODEL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APPENDICES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2A4A" w:color="auto" w:val="clear"/>
            <w:tcMar>
              <w:top w:type="dxa" w:w="150"/>
              <w:left w:type="dxa" w:w="210"/>
              <w:bottom w:type="dxa" w:w="150"/>
              <w:right w:type="dxa" w:w="210"/>
            </w:tcMar>
          </w:tcPr>
          <w:p>
            <w:pPr>
              <w:spacing w:after="120" w:line="408" w:lineRule="auto"/>
            </w:pPr>
            <w:r>
              <w:t xml:space="preserve">PART I: FAITH-BASED GOVERNMENT CONTRACTING FRAMEWORK</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1: Purpose and Scope</w:t>
      </w:r>
    </w:p>
    <w:p>
      <w:pPr>
        <w:pStyle w:val="Heading2"/>
        <w:spacing w:after="120" w:before="360" w:line="312" w:lineRule="auto"/>
      </w:pPr>
      <w:r>
        <w:rPr>
          <w:rFonts w:ascii="Cambria" w:cs="Cambria" w:eastAsia="Cambria" w:hAnsi="Cambria"/>
          <w:color w:val="1B2A4A"/>
          <w:sz w:val="36"/>
          <w:szCs w:val="36"/>
        </w:rPr>
        <w:t xml:space="preserve">1.1 Purpose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framework provides a structured, audit-ready guide for a church or </w:t>
      </w:r>
      <w:r>
        <w:rPr>
          <w:rFonts w:ascii="Cambria" w:cs="Cambria" w:eastAsia="Cambria" w:hAnsi="Cambria"/>
          <w:b/>
          <w:bCs/>
          <w:i w:val="false"/>
          <w:iCs w:val="false"/>
          <w:strike w:val="false"/>
          <w:color w:val="000000"/>
          <w:sz w:val="24"/>
          <w:szCs w:val="24"/>
        </w:rPr>
        <w:t xml:space="preserve">faith-based organization (FBO)</w:t>
      </w:r>
      <w:r>
        <w:rPr>
          <w:rFonts w:ascii="Cambria" w:cs="Cambria" w:eastAsia="Cambria" w:hAnsi="Cambria"/>
          <w:b w:val="false"/>
          <w:bCs w:val="false"/>
          <w:i w:val="false"/>
          <w:iCs w:val="false"/>
          <w:strike w:val="false"/>
          <w:color w:val="000000"/>
          <w:sz w:val="24"/>
          <w:szCs w:val="24"/>
        </w:rPr>
        <w:t xml:space="preserve"> seeking to enter into government contracts to deliver public services. By doing so, the FBO achieves functional overlap with government operations—performing quasi-governmental service delivery functions—while retaining its status as a private, tax-exempt religious entity. This document is designed to ensure that all contracting activities are conducted in full compliance with applicable constitutional, statutory, and regulatory requirements.</w:t>
      </w:r>
    </w:p>
    <w:p>
      <w:pPr>
        <w:pStyle w:val="Heading2"/>
        <w:spacing w:after="120" w:before="360" w:line="312" w:lineRule="auto"/>
      </w:pPr>
      <w:r>
        <w:rPr>
          <w:rFonts w:ascii="Cambria" w:cs="Cambria" w:eastAsia="Cambria" w:hAnsi="Cambria"/>
          <w:color w:val="1B2A4A"/>
          <w:sz w:val="36"/>
          <w:szCs w:val="36"/>
        </w:rPr>
        <w:t xml:space="preserve">1.2 Scope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framework covers federal, state, and local contracting pathways available to FBOs. It is applicable to both </w:t>
      </w:r>
      <w:r>
        <w:rPr>
          <w:rFonts w:ascii="Cambria" w:cs="Cambria" w:eastAsia="Cambria" w:hAnsi="Cambria"/>
          <w:b/>
          <w:bCs/>
          <w:i w:val="false"/>
          <w:iCs w:val="false"/>
          <w:strike w:val="false"/>
          <w:color w:val="000000"/>
          <w:sz w:val="24"/>
          <w:szCs w:val="24"/>
        </w:rPr>
        <w:t xml:space="preserve">direct federal financial assistance</w:t>
      </w:r>
      <w:r>
        <w:rPr>
          <w:rFonts w:ascii="Cambria" w:cs="Cambria" w:eastAsia="Cambria" w:hAnsi="Cambria"/>
          <w:b w:val="false"/>
          <w:bCs w:val="false"/>
          <w:i w:val="false"/>
          <w:iCs w:val="false"/>
          <w:strike w:val="false"/>
          <w:color w:val="000000"/>
          <w:sz w:val="24"/>
          <w:szCs w:val="24"/>
        </w:rPr>
        <w:t xml:space="preserve"> (grants, contracts, cooperative agreements made directly between the federal government and the FBO) and </w:t>
      </w:r>
      <w:r>
        <w:rPr>
          <w:rFonts w:ascii="Cambria" w:cs="Cambria" w:eastAsia="Cambria" w:hAnsi="Cambria"/>
          <w:b/>
          <w:bCs/>
          <w:i w:val="false"/>
          <w:iCs w:val="false"/>
          <w:strike w:val="false"/>
          <w:color w:val="000000"/>
          <w:sz w:val="24"/>
          <w:szCs w:val="24"/>
        </w:rPr>
        <w:t xml:space="preserve">indirect federal financial assistance</w:t>
      </w:r>
      <w:r>
        <w:rPr>
          <w:rFonts w:ascii="Cambria" w:cs="Cambria" w:eastAsia="Cambria" w:hAnsi="Cambria"/>
          <w:b w:val="false"/>
          <w:bCs w:val="false"/>
          <w:i w:val="false"/>
          <w:iCs w:val="false"/>
          <w:strike w:val="false"/>
          <w:color w:val="000000"/>
          <w:sz w:val="24"/>
          <w:szCs w:val="24"/>
        </w:rPr>
        <w:t xml:space="preserve"> (funds that pass through state or local government intermediaries or are provided through voucher, certificate, or similar mechanisms to individual beneficiaries who then select a provider).</w:t>
      </w:r>
    </w:p>
    <w:p>
      <w:pPr>
        <w:pStyle w:val="Heading2"/>
        <w:spacing w:after="120" w:before="360" w:line="312" w:lineRule="auto"/>
      </w:pPr>
      <w:r>
        <w:rPr>
          <w:rFonts w:ascii="Cambria" w:cs="Cambria" w:eastAsia="Cambria" w:hAnsi="Cambria"/>
          <w:color w:val="1B2A4A"/>
          <w:sz w:val="36"/>
          <w:szCs w:val="36"/>
        </w:rPr>
        <w:t xml:space="preserve">1.3 Legal Basis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framework is grounded in the following authorities: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Executive Order 13279</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Equal Protection of the Laws for Faith-Based and Community Organizations</w:t>
      </w:r>
      <w:r>
        <w:rPr>
          <w:rFonts w:ascii="Cambria" w:cs="Cambria" w:eastAsia="Cambria" w:hAnsi="Cambria"/>
          <w:b w:val="false"/>
          <w:bCs w:val="false"/>
          <w:i w:val="false"/>
          <w:iCs w:val="false"/>
          <w:strike w:val="false"/>
          <w:color w:val="000000"/>
          <w:sz w:val="24"/>
          <w:szCs w:val="24"/>
        </w:rPr>
        <w:t xml:space="preserve"> (December 12, 2002), establishing the principle that FBOs are eligible to compete for federal funding on equal terms.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Executive Order 13559</w:t>
      </w:r>
      <w:r>
        <w:rPr>
          <w:rFonts w:ascii="Cambria" w:cs="Cambria" w:eastAsia="Cambria" w:hAnsi="Cambria"/>
          <w:b w:val="false"/>
          <w:bCs w:val="false"/>
          <w:i w:val="false"/>
          <w:iCs w:val="false"/>
          <w:strike w:val="false"/>
          <w:color w:val="000000"/>
          <w:sz w:val="24"/>
          <w:szCs w:val="24"/>
        </w:rPr>
        <w:t xml:space="preserve"> (November 17, 2010) — Amending EO 13279 to strengthen beneficiary protections, require written notice of rights, and mandate referral to alternative providers.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Executive Order 14015</w:t>
      </w:r>
      <w:r>
        <w:rPr>
          <w:rFonts w:ascii="Cambria" w:cs="Cambria" w:eastAsia="Cambria" w:hAnsi="Cambria"/>
          <w:b w:val="false"/>
          <w:bCs w:val="false"/>
          <w:i w:val="false"/>
          <w:iCs w:val="false"/>
          <w:strike w:val="false"/>
          <w:color w:val="000000"/>
          <w:sz w:val="24"/>
          <w:szCs w:val="24"/>
        </w:rPr>
        <w:t xml:space="preserve"> (February 14, 2021) — Reaffirming and further amending the faith-based partnership framework.</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2 CFR § 3474.15</w:t>
      </w:r>
      <w:r>
        <w:rPr>
          <w:rFonts w:ascii="Cambria" w:cs="Cambria" w:eastAsia="Cambria" w:hAnsi="Cambria"/>
          <w:b w:val="false"/>
          <w:bCs w:val="false"/>
          <w:i w:val="false"/>
          <w:iCs w:val="false"/>
          <w:strike w:val="false"/>
          <w:color w:val="000000"/>
          <w:sz w:val="24"/>
          <w:szCs w:val="24"/>
        </w:rPr>
        <w:t xml:space="preserve"> — Department of Education regulations implementing the equal treatment rule for FBOs (representative of similar agency-specific regulations across the federal government).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38 CFR Part 50</w:t>
      </w:r>
      <w:r>
        <w:rPr>
          <w:rFonts w:ascii="Cambria" w:cs="Cambria" w:eastAsia="Cambria" w:hAnsi="Cambria"/>
          <w:b w:val="false"/>
          <w:bCs w:val="false"/>
          <w:i w:val="false"/>
          <w:iCs w:val="false"/>
          <w:strike w:val="false"/>
          <w:color w:val="000000"/>
          <w:sz w:val="24"/>
          <w:szCs w:val="24"/>
        </w:rPr>
        <w:t xml:space="preserve"> — Department of Veterans Affairs regulations on faith-based organizations.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7 CFR Part 16</w:t>
      </w:r>
      <w:r>
        <w:rPr>
          <w:rFonts w:ascii="Cambria" w:cs="Cambria" w:eastAsia="Cambria" w:hAnsi="Cambria"/>
          <w:b w:val="false"/>
          <w:bCs w:val="false"/>
          <w:i w:val="false"/>
          <w:iCs w:val="false"/>
          <w:strike w:val="false"/>
          <w:color w:val="000000"/>
          <w:sz w:val="24"/>
          <w:szCs w:val="24"/>
        </w:rPr>
        <w:t xml:space="preserve"> — Department of Agriculture regulations on equal opportunity for religious organizations.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42 U.S.C. § 604a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Charitable Choice</w:t>
      </w:r>
      <w:r>
        <w:rPr>
          <w:rFonts w:ascii="Cambria" w:cs="Cambria" w:eastAsia="Cambria" w:hAnsi="Cambria"/>
          <w:b w:val="false"/>
          <w:bCs w:val="false"/>
          <w:i w:val="false"/>
          <w:iCs w:val="false"/>
          <w:strike w:val="false"/>
          <w:color w:val="000000"/>
          <w:sz w:val="24"/>
          <w:szCs w:val="24"/>
        </w:rPr>
        <w:t xml:space="preserve"> provision (Welfare Reform Act of 1996), authorizing states to contract with religious organizations for delivery of welfare services.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Religious Freedom Restoration Act (RFRA), 42 U.S.C. § 2000bb </w:t>
      </w:r>
      <w:r>
        <w:rPr>
          <w:rFonts w:ascii="Cambria" w:cs="Cambria" w:eastAsia="Cambria" w:hAnsi="Cambria"/>
          <w:b/>
          <w:bCs/>
          <w:i/>
          <w:iCs/>
          <w:strike w:val="false"/>
          <w:color w:val="000000"/>
          <w:sz w:val="24"/>
          <w:szCs w:val="24"/>
        </w:rPr>
        <w:t xml:space="preserve">et seq.</w:t>
      </w:r>
      <w:r>
        <w:rPr>
          <w:rFonts w:ascii="Cambria" w:cs="Cambria" w:eastAsia="Cambria" w:hAnsi="Cambria"/>
          <w:b w:val="false"/>
          <w:bCs w:val="false"/>
          <w:i w:val="false"/>
          <w:iCs w:val="false"/>
          <w:strike w:val="false"/>
          <w:color w:val="000000"/>
          <w:sz w:val="24"/>
          <w:szCs w:val="24"/>
        </w:rPr>
        <w:t xml:space="preserve"> — Prohibiting the federal government from substantially burdening religious exercise absent a compelling governmental interest pursued through the least restrictive means.</w:t>
      </w:r>
    </w:p>
    <w:p>
      <w:pPr>
        <w:pStyle w:val="Heading1"/>
        <w:spacing w:after="120" w:before="480" w:line="312" w:lineRule="auto"/>
      </w:pPr>
      <w:r>
        <w:rPr>
          <w:rFonts w:ascii="Cambria" w:cs="Cambria" w:eastAsia="Cambria" w:hAnsi="Cambria"/>
          <w:color w:val="1B2A4A"/>
          <w:sz w:val="48"/>
          <w:szCs w:val="48"/>
        </w:rPr>
        <w:t xml:space="preserve">Section 2: Eligibility and Equal Treatment Requirements</w:t>
      </w:r>
    </w:p>
    <w:p>
      <w:pPr>
        <w:pStyle w:val="Heading2"/>
        <w:spacing w:after="120" w:before="360" w:line="312" w:lineRule="auto"/>
      </w:pPr>
      <w:r>
        <w:rPr>
          <w:rFonts w:ascii="Cambria" w:cs="Cambria" w:eastAsia="Cambria" w:hAnsi="Cambria"/>
          <w:color w:val="1B2A4A"/>
          <w:sz w:val="36"/>
          <w:szCs w:val="36"/>
        </w:rPr>
        <w:t xml:space="preserve">2.1 Equal Eligibility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 faith-based organization is eligible to compete for and receive direct federal financial assistance to provide social services on the same basis as any other private organization. No federal agency or state or local government administering federal funds may discriminate for or against an organization on the basis of its religious character, motives, or affiliation (or lack thereof). See 2 CFR § 3474.15(b)(1); EO 13279, § 2(a).</w:t>
      </w:r>
    </w:p>
    <w:p>
      <w:pPr>
        <w:pStyle w:val="Heading2"/>
        <w:spacing w:after="120" w:before="360" w:line="312" w:lineRule="auto"/>
      </w:pPr>
      <w:r>
        <w:rPr>
          <w:rFonts w:ascii="Cambria" w:cs="Cambria" w:eastAsia="Cambria" w:hAnsi="Cambria"/>
          <w:color w:val="1B2A4A"/>
          <w:sz w:val="36"/>
          <w:szCs w:val="36"/>
        </w:rPr>
        <w:t xml:space="preserve">2.2 Merit-Based Awards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All contract and grant awards must be made on the basis of merit, free from political interference or religious bias. Evaluation criteria must be applied uniformly to religious and secular applicants alike.</w:t>
      </w:r>
    </w:p>
    <w:p>
      <w:pPr>
        <w:pStyle w:val="Heading2"/>
        <w:spacing w:after="120" w:before="360" w:line="312" w:lineRule="auto"/>
      </w:pPr>
      <w:r>
        <w:rPr>
          <w:rFonts w:ascii="Cambria" w:cs="Cambria" w:eastAsia="Cambria" w:hAnsi="Cambria"/>
          <w:color w:val="1B2A4A"/>
          <w:sz w:val="36"/>
          <w:szCs w:val="36"/>
        </w:rPr>
        <w:t xml:space="preserve">2.3 Organizational Independence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An FBO that receives direct federal financial assistance retains the following rights and characteristics without restriction: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Retain </w:t>
      </w:r>
      <w:r>
        <w:rPr>
          <w:rFonts w:ascii="Cambria" w:cs="Cambria" w:eastAsia="Cambria" w:hAnsi="Cambria"/>
          <w:b/>
          <w:bCs/>
          <w:i w:val="false"/>
          <w:iCs w:val="false"/>
          <w:strike w:val="false"/>
          <w:color w:val="000000"/>
          <w:sz w:val="24"/>
          <w:szCs w:val="24"/>
        </w:rPr>
        <w:t xml:space="preserve">religious terms</w:t>
      </w:r>
      <w:r>
        <w:rPr>
          <w:rFonts w:ascii="Cambria" w:cs="Cambria" w:eastAsia="Cambria" w:hAnsi="Cambria"/>
          <w:b w:val="false"/>
          <w:bCs w:val="false"/>
          <w:i w:val="false"/>
          <w:iCs w:val="false"/>
          <w:strike w:val="false"/>
          <w:color w:val="000000"/>
          <w:sz w:val="24"/>
          <w:szCs w:val="24"/>
        </w:rPr>
        <w:t xml:space="preserve"> in its organizational name, charter, articles of incorporation, and bylaws.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Select its </w:t>
      </w:r>
      <w:r>
        <w:rPr>
          <w:rFonts w:ascii="Cambria" w:cs="Cambria" w:eastAsia="Cambria" w:hAnsi="Cambria"/>
          <w:b/>
          <w:bCs/>
          <w:i w:val="false"/>
          <w:iCs w:val="false"/>
          <w:strike w:val="false"/>
          <w:color w:val="000000"/>
          <w:sz w:val="24"/>
          <w:szCs w:val="24"/>
        </w:rPr>
        <w:t xml:space="preserve">governing board members</w:t>
      </w:r>
      <w:r>
        <w:rPr>
          <w:rFonts w:ascii="Cambria" w:cs="Cambria" w:eastAsia="Cambria" w:hAnsi="Cambria"/>
          <w:b w:val="false"/>
          <w:bCs w:val="false"/>
          <w:i w:val="false"/>
          <w:iCs w:val="false"/>
          <w:strike w:val="false"/>
          <w:color w:val="000000"/>
          <w:sz w:val="24"/>
          <w:szCs w:val="24"/>
        </w:rPr>
        <w:t xml:space="preserve"> on a religious basis (e.g., requiring board members to be members of the congregation or to affirm a statement of faith).</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Include </w:t>
      </w:r>
      <w:r>
        <w:rPr>
          <w:rFonts w:ascii="Cambria" w:cs="Cambria" w:eastAsia="Cambria" w:hAnsi="Cambria"/>
          <w:b/>
          <w:bCs/>
          <w:i w:val="false"/>
          <w:iCs w:val="false"/>
          <w:strike w:val="false"/>
          <w:color w:val="000000"/>
          <w:sz w:val="24"/>
          <w:szCs w:val="24"/>
        </w:rPr>
        <w:t xml:space="preserve">religious references</w:t>
      </w:r>
      <w:r>
        <w:rPr>
          <w:rFonts w:ascii="Cambria" w:cs="Cambria" w:eastAsia="Cambria" w:hAnsi="Cambria"/>
          <w:b w:val="false"/>
          <w:bCs w:val="false"/>
          <w:i w:val="false"/>
          <w:iCs w:val="false"/>
          <w:strike w:val="false"/>
          <w:color w:val="000000"/>
          <w:sz w:val="24"/>
          <w:szCs w:val="24"/>
        </w:rPr>
        <w:t xml:space="preserve"> in its mission statements, governing documents, and organizational literature.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Display </w:t>
      </w:r>
      <w:r>
        <w:rPr>
          <w:rFonts w:ascii="Cambria" w:cs="Cambria" w:eastAsia="Cambria" w:hAnsi="Cambria"/>
          <w:b/>
          <w:bCs/>
          <w:i w:val="false"/>
          <w:iCs w:val="false"/>
          <w:strike w:val="false"/>
          <w:color w:val="000000"/>
          <w:sz w:val="24"/>
          <w:szCs w:val="24"/>
        </w:rPr>
        <w:t xml:space="preserve">religious art, icons, scriptures, and symbols</w:t>
      </w:r>
      <w:r>
        <w:rPr>
          <w:rFonts w:ascii="Cambria" w:cs="Cambria" w:eastAsia="Cambria" w:hAnsi="Cambria"/>
          <w:b w:val="false"/>
          <w:bCs w:val="false"/>
          <w:i w:val="false"/>
          <w:iCs w:val="false"/>
          <w:strike w:val="false"/>
          <w:color w:val="000000"/>
          <w:sz w:val="24"/>
          <w:szCs w:val="24"/>
        </w:rPr>
        <w:t xml:space="preserve"> in its facilities.</w:t>
      </w:r>
    </w:p>
    <w:p>
      <w:pPr>
        <w:pStyle w:val="Heading2"/>
        <w:spacing w:after="120" w:before="360" w:line="312" w:lineRule="auto"/>
      </w:pPr>
      <w:r>
        <w:rPr>
          <w:rFonts w:ascii="Cambria" w:cs="Cambria" w:eastAsia="Cambria" w:hAnsi="Cambria"/>
          <w:color w:val="1B2A4A"/>
          <w:sz w:val="36"/>
          <w:szCs w:val="36"/>
        </w:rPr>
        <w:t xml:space="preserve">2.4 Title VII Religious Exemption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An FBO that participates in a federally funded program retains its exemption from the religious nondiscrimination provisions of Title VII of the Civil Rights Act of 1964 under </w:t>
      </w:r>
      <w:r>
        <w:rPr>
          <w:rFonts w:ascii="Cambria" w:cs="Cambria" w:eastAsia="Cambria" w:hAnsi="Cambria"/>
          <w:b/>
          <w:bCs/>
          <w:i w:val="false"/>
          <w:iCs w:val="false"/>
          <w:strike w:val="false"/>
          <w:color w:val="000000"/>
          <w:sz w:val="24"/>
          <w:szCs w:val="24"/>
        </w:rPr>
        <w:t xml:space="preserve">42 U.S.C. § 2000e-1(a)</w:t>
      </w:r>
      <w:r>
        <w:rPr>
          <w:rFonts w:ascii="Cambria" w:cs="Cambria" w:eastAsia="Cambria" w:hAnsi="Cambria"/>
          <w:b w:val="false"/>
          <w:bCs w:val="false"/>
          <w:i w:val="false"/>
          <w:iCs w:val="false"/>
          <w:strike w:val="false"/>
          <w:color w:val="000000"/>
          <w:sz w:val="24"/>
          <w:szCs w:val="24"/>
        </w:rPr>
        <w:t xml:space="preserve">. This means the FBO may continue to employ individuals of a particular religion to perform work connected to the FBO’s religious activities, even while operating a government-funded program, subject to applicable state and local law and the specific terms of the federal award.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CF2"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KEY PRINCIPLE</w:t>
            </w:r>
          </w:p>
          <w:p>
            <w:pPr>
              <w:spacing w:after="120" w:line="360" w:lineRule="auto"/>
            </w:pPr>
            <w:r>
              <w:rPr>
                <w:rFonts w:ascii="Cambria" w:cs="Cambria" w:eastAsia="Cambria" w:hAnsi="Cambria"/>
                <w:b w:val="false"/>
                <w:bCs w:val="false"/>
                <w:i w:val="false"/>
                <w:iCs w:val="false"/>
                <w:strike w:val="false"/>
                <w:color w:val="000000"/>
                <w:sz w:val="24"/>
                <w:szCs w:val="24"/>
              </w:rPr>
              <w:t xml:space="preserve">Receipt of federal funds does not require a faith-based organization to remove religious art, symbols, or references from its facilities, alter its governance structure, or abandon its religious identity. The organization must only ensure that federally funded services are delivered in compliance with separation and beneficiary protection requirements.</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3: Prohibited Uses of Direct Federal Financial Assistance</w:t>
      </w:r>
    </w:p>
    <w:p>
      <w:pPr>
        <w:pStyle w:val="Heading2"/>
        <w:spacing w:after="120" w:before="360" w:line="312" w:lineRule="auto"/>
      </w:pPr>
      <w:r>
        <w:rPr>
          <w:rFonts w:ascii="Cambria" w:cs="Cambria" w:eastAsia="Cambria" w:hAnsi="Cambria"/>
          <w:color w:val="1B2A4A"/>
          <w:sz w:val="36"/>
          <w:szCs w:val="36"/>
        </w:rPr>
        <w:t xml:space="preserve">3.1 General Prohibition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Direct federal financial assistance may </w:t>
      </w:r>
      <w:r>
        <w:rPr>
          <w:rFonts w:ascii="Cambria" w:cs="Cambria" w:eastAsia="Cambria" w:hAnsi="Cambria"/>
          <w:b/>
          <w:bCs/>
          <w:i w:val="false"/>
          <w:iCs w:val="false"/>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be used for </w:t>
      </w:r>
      <w:r>
        <w:rPr>
          <w:rFonts w:ascii="Cambria" w:cs="Cambria" w:eastAsia="Cambria" w:hAnsi="Cambria"/>
          <w:b/>
          <w:bCs/>
          <w:i w:val="false"/>
          <w:iCs w:val="false"/>
          <w:strike w:val="false"/>
          <w:color w:val="000000"/>
          <w:sz w:val="24"/>
          <w:szCs w:val="24"/>
        </w:rPr>
        <w:t xml:space="preserve">explicitly religious activities</w:t>
      </w:r>
      <w:r>
        <w:rPr>
          <w:rFonts w:ascii="Cambria" w:cs="Cambria" w:eastAsia="Cambria" w:hAnsi="Cambria"/>
          <w:b w:val="false"/>
          <w:bCs w:val="false"/>
          <w:i w:val="false"/>
          <w:iCs w:val="false"/>
          <w:strike w:val="false"/>
          <w:color w:val="000000"/>
          <w:sz w:val="24"/>
          <w:szCs w:val="24"/>
        </w:rPr>
        <w:t xml:space="preserve">. This term is defined to include worship, religious instruction, proselytization, or any activity that involves overt religious content directed at program beneficiaries. See EO 13279, § 2(h); 2 CFR § 3474.15(c).</w:t>
      </w:r>
    </w:p>
    <w:p>
      <w:pPr>
        <w:pStyle w:val="Heading2"/>
        <w:spacing w:after="120" w:before="360" w:line="312" w:lineRule="auto"/>
      </w:pPr>
      <w:r>
        <w:rPr>
          <w:rFonts w:ascii="Cambria" w:cs="Cambria" w:eastAsia="Cambria" w:hAnsi="Cambria"/>
          <w:color w:val="1B2A4A"/>
          <w:sz w:val="36"/>
          <w:szCs w:val="36"/>
        </w:rPr>
        <w:t xml:space="preserve">3.2 Separation in Time or Location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If an FBO conducts explicitly religious activities, such activities must be offered </w:t>
      </w:r>
      <w:r>
        <w:rPr>
          <w:rFonts w:ascii="Cambria" w:cs="Cambria" w:eastAsia="Cambria" w:hAnsi="Cambria"/>
          <w:b/>
          <w:bCs/>
          <w:i w:val="false"/>
          <w:iCs w:val="false"/>
          <w:strike w:val="false"/>
          <w:color w:val="000000"/>
          <w:sz w:val="24"/>
          <w:szCs w:val="24"/>
        </w:rPr>
        <w:t xml:space="preserve">separately in time or location</w:t>
      </w:r>
      <w:r>
        <w:rPr>
          <w:rFonts w:ascii="Cambria" w:cs="Cambria" w:eastAsia="Cambria" w:hAnsi="Cambria"/>
          <w:b w:val="false"/>
          <w:bCs w:val="false"/>
          <w:i w:val="false"/>
          <w:iCs w:val="false"/>
          <w:strike w:val="false"/>
          <w:color w:val="000000"/>
          <w:sz w:val="24"/>
          <w:szCs w:val="24"/>
        </w:rPr>
        <w:t xml:space="preserve"> from the programs or services funded with direct federal financial assistance. A clear demarcation must exist so that beneficiaries can distinguish between the federally funded service and any religious activity.</w:t>
      </w:r>
    </w:p>
    <w:p>
      <w:pPr>
        <w:pStyle w:val="Heading2"/>
        <w:spacing w:after="120" w:before="360" w:line="312" w:lineRule="auto"/>
      </w:pPr>
      <w:r>
        <w:rPr>
          <w:rFonts w:ascii="Cambria" w:cs="Cambria" w:eastAsia="Cambria" w:hAnsi="Cambria"/>
          <w:color w:val="1B2A4A"/>
          <w:sz w:val="36"/>
          <w:szCs w:val="36"/>
        </w:rPr>
        <w:t xml:space="preserve">3.3 Voluntary Participation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Participation in any explicitly religious activity must be </w:t>
      </w:r>
      <w:r>
        <w:rPr>
          <w:rFonts w:ascii="Cambria" w:cs="Cambria" w:eastAsia="Cambria" w:hAnsi="Cambria"/>
          <w:b/>
          <w:bCs/>
          <w:i w:val="false"/>
          <w:iCs w:val="false"/>
          <w:strike w:val="false"/>
          <w:color w:val="000000"/>
          <w:sz w:val="24"/>
          <w:szCs w:val="24"/>
        </w:rPr>
        <w:t xml:space="preserve">purely voluntary</w:t>
      </w:r>
      <w:r>
        <w:rPr>
          <w:rFonts w:ascii="Cambria" w:cs="Cambria" w:eastAsia="Cambria" w:hAnsi="Cambria"/>
          <w:b w:val="false"/>
          <w:bCs w:val="false"/>
          <w:i w:val="false"/>
          <w:iCs w:val="false"/>
          <w:strike w:val="false"/>
          <w:color w:val="000000"/>
          <w:sz w:val="24"/>
          <w:szCs w:val="24"/>
        </w:rPr>
        <w:t xml:space="preserve">. An FBO may not condition the provision of federally funded services on a beneficiary’s participation in prayer, worship, Bible study, or any other religious activity.</w:t>
      </w:r>
    </w:p>
    <w:p>
      <w:pPr>
        <w:pStyle w:val="Heading2"/>
        <w:spacing w:after="120" w:before="360" w:line="312" w:lineRule="auto"/>
      </w:pPr>
      <w:r>
        <w:rPr>
          <w:rFonts w:ascii="Cambria" w:cs="Cambria" w:eastAsia="Cambria" w:hAnsi="Cambria"/>
          <w:color w:val="1B2A4A"/>
          <w:sz w:val="36"/>
          <w:szCs w:val="36"/>
        </w:rPr>
        <w:t xml:space="preserve">3.4 Permitted vs. Prohibited Uses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4%"/>
            <w:shd w:fill="C6DCA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PERMITTED Uses of Federal Funds</w:t>
            </w:r>
          </w:p>
        </w:tc>
        <w:tc>
          <w:tcPr>
            <w:tcW w:type="pct" w:w="56%"/>
            <w:shd w:fill="E8B4B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PROHIBITED Uses of Federal Funds</w:t>
            </w:r>
          </w:p>
        </w:tc>
      </w:tr>
      <w:tr>
        <w:trPr>
          <w:tblHeader w:val="false"/>
        </w:trPr>
        <w:tc>
          <w:tcPr>
            <w:tcW w:type="pct" w:w="4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Job training, resume workshops, and career counseling for beneficiaries</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Bible study, devotional sessions, or prayer groups during funded program hours</w:t>
            </w:r>
          </w:p>
        </w:tc>
      </w:tr>
      <w:tr>
        <w:trPr>
          <w:tblHeader w:val="false"/>
        </w:trPr>
        <w:tc>
          <w:tcPr>
            <w:tcW w:type="pct" w:w="4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Emergency shelter operations, case management, and housing navigation</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Mandatory chapel attendance as a condition of receiving shelter services</w:t>
            </w:r>
          </w:p>
        </w:tc>
      </w:tr>
      <w:tr>
        <w:trPr>
          <w:tblHeader w:val="false"/>
        </w:trPr>
        <w:tc>
          <w:tcPr>
            <w:tcW w:type="pct" w:w="4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Food distribution, meal preparation, and nutritional education</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Requiring beneficiaries to listen to a sermon before receiving a meal</w:t>
            </w:r>
          </w:p>
        </w:tc>
      </w:tr>
      <w:tr>
        <w:trPr>
          <w:tblHeader w:val="false"/>
        </w:trPr>
        <w:tc>
          <w:tcPr>
            <w:tcW w:type="pct" w:w="4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Substance abuse counseling and recovery support services (clinical/secular modalities)</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Faith-based 12-step programs funded exclusively with federal dollars where participation in prayer is required</w:t>
            </w:r>
          </w:p>
        </w:tc>
      </w:tr>
      <w:tr>
        <w:trPr>
          <w:tblHeader w:val="false"/>
        </w:trPr>
        <w:tc>
          <w:tcPr>
            <w:tcW w:type="pct" w:w="4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Tutoring, after-school academic enrichment, and mentoring</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Religious instruction or catechism classes funded with federal education grants</w:t>
            </w:r>
          </w:p>
        </w:tc>
      </w:tr>
      <w:tr>
        <w:trPr>
          <w:tblHeader w:val="false"/>
        </w:trPr>
        <w:tc>
          <w:tcPr>
            <w:tcW w:type="pct" w:w="4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Administrative costs: rent, utilities, staff salaries for secular service delivery</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Salary payments for clergy performing worship services or pastoral counseling funded with federal dollars</w:t>
            </w:r>
          </w:p>
        </w:tc>
      </w:tr>
      <w:tr>
        <w:trPr>
          <w:tblHeader w:val="false"/>
        </w:trPr>
        <w:tc>
          <w:tcPr>
            <w:tcW w:type="pct" w:w="4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Outreach, intake, enrollment, and referral services to connect beneficiaries with resources</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Evangelical outreach or proselytization activities funded as “outreach” under a federal contract</w:t>
            </w:r>
          </w:p>
        </w:tc>
      </w:tr>
      <w:tr>
        <w:trPr>
          <w:tblHeader w:val="false"/>
        </w:trPr>
        <w:tc>
          <w:tcPr>
            <w:tcW w:type="pct" w:w="4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Staff training on program compliance, cultural competency, and service delivery</w:t>
            </w:r>
          </w:p>
        </w:tc>
        <w:tc>
          <w:tcPr>
            <w:tcW w:type="pct" w:w="5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Purchasing religious texts (Bibles, hymnals, devotional materials) with federal funds for distribution to beneficiaries</w:t>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Section 4: Beneficiary Protections</w:t>
      </w:r>
    </w:p>
    <w:p>
      <w:pPr>
        <w:pStyle w:val="Heading2"/>
        <w:spacing w:after="120" w:before="360" w:line="312" w:lineRule="auto"/>
      </w:pPr>
      <w:r>
        <w:rPr>
          <w:rFonts w:ascii="Cambria" w:cs="Cambria" w:eastAsia="Cambria" w:hAnsi="Cambria"/>
          <w:color w:val="1B2A4A"/>
          <w:sz w:val="36"/>
          <w:szCs w:val="36"/>
        </w:rPr>
        <w:t xml:space="preserve">4.1 Written Notice Requirement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FBOs receiving direct federal financial assistance must provide beneficiaries with a </w:t>
      </w:r>
      <w:r>
        <w:rPr>
          <w:rFonts w:ascii="Cambria" w:cs="Cambria" w:eastAsia="Cambria" w:hAnsi="Cambria"/>
          <w:b/>
          <w:bCs/>
          <w:i w:val="false"/>
          <w:iCs w:val="false"/>
          <w:strike w:val="false"/>
          <w:color w:val="000000"/>
          <w:sz w:val="24"/>
          <w:szCs w:val="24"/>
        </w:rPr>
        <w:t xml:space="preserve">written notice of their rights</w:t>
      </w:r>
      <w:r>
        <w:rPr>
          <w:rFonts w:ascii="Cambria" w:cs="Cambria" w:eastAsia="Cambria" w:hAnsi="Cambria"/>
          <w:b w:val="false"/>
          <w:bCs w:val="false"/>
          <w:i w:val="false"/>
          <w:iCs w:val="false"/>
          <w:strike w:val="false"/>
          <w:color w:val="000000"/>
          <w:sz w:val="24"/>
          <w:szCs w:val="24"/>
        </w:rPr>
        <w:t xml:space="preserve"> prior to the beneficiary enrolling in or receiving services from the program. This requirement was established by EO 13559 and is codified in agency-specific implementing regulations.</w:t>
      </w:r>
    </w:p>
    <w:p>
      <w:pPr>
        <w:pStyle w:val="Heading2"/>
        <w:spacing w:after="120" w:before="360" w:line="312" w:lineRule="auto"/>
      </w:pPr>
      <w:r>
        <w:rPr>
          <w:rFonts w:ascii="Cambria" w:cs="Cambria" w:eastAsia="Cambria" w:hAnsi="Cambria"/>
          <w:color w:val="1B2A4A"/>
          <w:sz w:val="36"/>
          <w:szCs w:val="36"/>
        </w:rPr>
        <w:t xml:space="preserve">4.2 Content of Notice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written notice must inform beneficiaries of the following rights: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right to an alternative provider</w:t>
      </w:r>
      <w:r>
        <w:rPr>
          <w:rFonts w:ascii="Cambria" w:cs="Cambria" w:eastAsia="Cambria" w:hAnsi="Cambria"/>
          <w:b w:val="false"/>
          <w:bCs w:val="false"/>
          <w:i w:val="false"/>
          <w:iCs w:val="false"/>
          <w:strike w:val="false"/>
          <w:color w:val="000000"/>
          <w:sz w:val="24"/>
          <w:szCs w:val="24"/>
        </w:rPr>
        <w:t xml:space="preserve"> — the beneficiary may request and receive services from a secular or other provider if one is available.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right not to participate</w:t>
      </w:r>
      <w:r>
        <w:rPr>
          <w:rFonts w:ascii="Cambria" w:cs="Cambria" w:eastAsia="Cambria" w:hAnsi="Cambria"/>
          <w:b w:val="false"/>
          <w:bCs w:val="false"/>
          <w:i w:val="false"/>
          <w:iCs w:val="false"/>
          <w:strike w:val="false"/>
          <w:color w:val="000000"/>
          <w:sz w:val="24"/>
          <w:szCs w:val="24"/>
        </w:rPr>
        <w:t xml:space="preserve"> in any explicitly religious activities offered by the FBO.</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right to report complaints</w:t>
      </w:r>
      <w:r>
        <w:rPr>
          <w:rFonts w:ascii="Cambria" w:cs="Cambria" w:eastAsia="Cambria" w:hAnsi="Cambria"/>
          <w:b w:val="false"/>
          <w:bCs w:val="false"/>
          <w:i w:val="false"/>
          <w:iCs w:val="false"/>
          <w:strike w:val="false"/>
          <w:color w:val="000000"/>
          <w:sz w:val="24"/>
          <w:szCs w:val="24"/>
        </w:rPr>
        <w:t xml:space="preserve"> — the beneficiary may report concerns about coerced religious participation or other violations to the funding agency.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assurance that services will not be denied</w:t>
      </w:r>
      <w:r>
        <w:rPr>
          <w:rFonts w:ascii="Cambria" w:cs="Cambria" w:eastAsia="Cambria" w:hAnsi="Cambria"/>
          <w:b w:val="false"/>
          <w:bCs w:val="false"/>
          <w:i w:val="false"/>
          <w:iCs w:val="false"/>
          <w:strike w:val="false"/>
          <w:color w:val="000000"/>
          <w:sz w:val="24"/>
          <w:szCs w:val="24"/>
        </w:rPr>
        <w:t xml:space="preserve"> based on the beneficiary’s refusal to participate in religious activities.</w:t>
      </w:r>
    </w:p>
    <w:p>
      <w:pPr>
        <w:pStyle w:val="Heading2"/>
        <w:spacing w:after="120" w:before="360" w:line="312" w:lineRule="auto"/>
      </w:pPr>
      <w:r>
        <w:rPr>
          <w:rFonts w:ascii="Cambria" w:cs="Cambria" w:eastAsia="Cambria" w:hAnsi="Cambria"/>
          <w:color w:val="1B2A4A"/>
          <w:sz w:val="36"/>
          <w:szCs w:val="36"/>
        </w:rPr>
        <w:t xml:space="preserve">4.3 Timing and Delivery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notice must be provided </w:t>
      </w:r>
      <w:r>
        <w:rPr>
          <w:rFonts w:ascii="Cambria" w:cs="Cambria" w:eastAsia="Cambria" w:hAnsi="Cambria"/>
          <w:b/>
          <w:bCs/>
          <w:i w:val="false"/>
          <w:iCs w:val="false"/>
          <w:strike w:val="false"/>
          <w:color w:val="000000"/>
          <w:sz w:val="24"/>
          <w:szCs w:val="24"/>
        </w:rPr>
        <w:t xml:space="preserve">before</w:t>
      </w:r>
      <w:r>
        <w:rPr>
          <w:rFonts w:ascii="Cambria" w:cs="Cambria" w:eastAsia="Cambria" w:hAnsi="Cambria"/>
          <w:b w:val="false"/>
          <w:bCs w:val="false"/>
          <w:i w:val="false"/>
          <w:iCs w:val="false"/>
          <w:strike w:val="false"/>
          <w:color w:val="000000"/>
          <w:sz w:val="24"/>
          <w:szCs w:val="24"/>
        </w:rPr>
        <w:t xml:space="preserve"> the beneficiary enrolls in or receives services. It should be made available in the language(s) spoken by the populations served and posted prominently in service delivery areas.</w:t>
      </w:r>
    </w:p>
    <w:p>
      <w:pPr>
        <w:pStyle w:val="Heading2"/>
        <w:spacing w:after="120" w:before="360" w:line="312" w:lineRule="auto"/>
      </w:pPr>
      <w:r>
        <w:rPr>
          <w:rFonts w:ascii="Cambria" w:cs="Cambria" w:eastAsia="Cambria" w:hAnsi="Cambria"/>
          <w:color w:val="1B2A4A"/>
          <w:sz w:val="36"/>
          <w:szCs w:val="36"/>
        </w:rPr>
        <w:t xml:space="preserve">4.4 Referral Obligation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If a beneficiary objects to the religious character of the FBO and requests an alternative provider, the FBO must make a </w:t>
      </w:r>
      <w:r>
        <w:rPr>
          <w:rFonts w:ascii="Cambria" w:cs="Cambria" w:eastAsia="Cambria" w:hAnsi="Cambria"/>
          <w:b/>
          <w:bCs/>
          <w:i w:val="false"/>
          <w:iCs w:val="false"/>
          <w:strike w:val="false"/>
          <w:color w:val="000000"/>
          <w:sz w:val="24"/>
          <w:szCs w:val="24"/>
        </w:rPr>
        <w:t xml:space="preserve">reasonable effort</w:t>
      </w:r>
      <w:r>
        <w:rPr>
          <w:rFonts w:ascii="Cambria" w:cs="Cambria" w:eastAsia="Cambria" w:hAnsi="Cambria"/>
          <w:b w:val="false"/>
          <w:bCs w:val="false"/>
          <w:i w:val="false"/>
          <w:iCs w:val="false"/>
          <w:strike w:val="false"/>
          <w:color w:val="000000"/>
          <w:sz w:val="24"/>
          <w:szCs w:val="24"/>
        </w:rPr>
        <w:t xml:space="preserve"> to identify and refer the beneficiary to an accessible, comparable alternative provider. The FBO must document all referral requests and outcomes.</w:t>
      </w:r>
    </w:p>
    <w:p>
      <w:pPr>
        <w:pStyle w:val="Heading2"/>
        <w:spacing w:after="120" w:before="360" w:line="312" w:lineRule="auto"/>
      </w:pPr>
      <w:r>
        <w:rPr>
          <w:rFonts w:ascii="Cambria" w:cs="Cambria" w:eastAsia="Cambria" w:hAnsi="Cambria"/>
          <w:color w:val="1B2A4A"/>
          <w:sz w:val="36"/>
          <w:szCs w:val="36"/>
        </w:rPr>
        <w:t xml:space="preserve">4.5 Model Notice of Beneficiary Rights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MODEL NOTICE — BENEFICIARY RIGHTS (Template)</w:t>
            </w:r>
          </w:p>
          <w:p>
            <w:pPr>
              <w:spacing w:after="120" w:line="360" w:lineRule="auto"/>
            </w:pPr>
            <w:r>
              <w:rPr>
                <w:rFonts w:ascii="Cambria" w:cs="Cambria" w:eastAsia="Cambria" w:hAnsi="Cambria"/>
                <w:b/>
                <w:bCs/>
                <w:i w:val="false"/>
                <w:iCs w:val="false"/>
                <w:strike w:val="false"/>
                <w:color w:val="000000"/>
                <w:sz w:val="24"/>
                <w:szCs w:val="24"/>
              </w:rPr>
              <w:t xml:space="preserve">NOTICE TO PROGRAM PARTICIPANTS:</w:t>
            </w:r>
            <w:r>
              <w:rPr>
                <w:rFonts w:ascii="Cambria" w:cs="Cambria" w:eastAsia="Cambria" w:hAnsi="Cambria"/>
                <w:b w:val="false"/>
                <w:bCs w:val="false"/>
                <w:i w:val="false"/>
                <w:iCs w:val="false"/>
                <w:strike w:val="false"/>
                <w:color w:val="000000"/>
                <w:sz w:val="24"/>
                <w:szCs w:val="24"/>
              </w:rPr>
              <w:t xml:space="preserve"> This program is operated by [Organization Name], a faith-based organization, and is funded in whole or in part by the federal government through [Agency/Program Name]. As a participant in this program, you have the following rights: (1) You may not be required to attend or participate in any religious activities, including worship services, prayer, Bible study, or religious instruction, as a condition of receiving services. (2) If you object to the religious character of this organization, you have the right to request referral to an alternative service provider. We will make reasonable efforts to identify an accessible alternative for you. (3) You will not be denied services or subjected to discrimination for declining to participate in religious activities or for requesting an alternative provider. (4) If you believe your rights have been violated, you may file a complaint with [Funding Agency Name and Contact Information]. Your participation in any religious activity is entirely voluntary.</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5: Separation Requirements and Accounting</w:t>
      </w:r>
    </w:p>
    <w:p>
      <w:pPr>
        <w:pStyle w:val="Heading2"/>
        <w:spacing w:after="120" w:before="360" w:line="312" w:lineRule="auto"/>
      </w:pPr>
      <w:r>
        <w:rPr>
          <w:rFonts w:ascii="Cambria" w:cs="Cambria" w:eastAsia="Cambria" w:hAnsi="Cambria"/>
          <w:color w:val="1B2A4A"/>
          <w:sz w:val="36"/>
          <w:szCs w:val="36"/>
        </w:rPr>
        <w:t xml:space="preserve">5.1 Accounting Separation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FBOs must maintain </w:t>
      </w:r>
      <w:r>
        <w:rPr>
          <w:rFonts w:ascii="Cambria" w:cs="Cambria" w:eastAsia="Cambria" w:hAnsi="Cambria"/>
          <w:b/>
          <w:bCs/>
          <w:i w:val="false"/>
          <w:iCs w:val="false"/>
          <w:strike w:val="false"/>
          <w:color w:val="000000"/>
          <w:sz w:val="24"/>
          <w:szCs w:val="24"/>
        </w:rPr>
        <w:t xml:space="preserve">separate time-and-cost accounting</w:t>
      </w:r>
      <w:r>
        <w:rPr>
          <w:rFonts w:ascii="Cambria" w:cs="Cambria" w:eastAsia="Cambria" w:hAnsi="Cambria"/>
          <w:b w:val="false"/>
          <w:bCs w:val="false"/>
          <w:i w:val="false"/>
          <w:iCs w:val="false"/>
          <w:strike w:val="false"/>
          <w:color w:val="000000"/>
          <w:sz w:val="24"/>
          <w:szCs w:val="24"/>
        </w:rPr>
        <w:t xml:space="preserve"> to distinguish between federally funded secular service delivery activities and privately funded religious activities. Federal funds must be tracked in distinct cost centers, general ledger accounts, or fund codes that are clearly distinguishable from accounts used for religious activities.</w:t>
      </w:r>
    </w:p>
    <w:p>
      <w:pPr>
        <w:pStyle w:val="Heading2"/>
        <w:spacing w:after="120" w:before="360" w:line="312" w:lineRule="auto"/>
      </w:pPr>
      <w:r>
        <w:rPr>
          <w:rFonts w:ascii="Cambria" w:cs="Cambria" w:eastAsia="Cambria" w:hAnsi="Cambria"/>
          <w:color w:val="1B2A4A"/>
          <w:sz w:val="36"/>
          <w:szCs w:val="36"/>
        </w:rPr>
        <w:t xml:space="preserve">5.2 Co-Location Standards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If federally funded programs are operated in the same facility where explicitly religious activities occur, the FBO must ensure that the funded program is </w:t>
      </w:r>
      <w:r>
        <w:rPr>
          <w:rFonts w:ascii="Cambria" w:cs="Cambria" w:eastAsia="Cambria" w:hAnsi="Cambria"/>
          <w:b/>
          <w:bCs/>
          <w:i w:val="false"/>
          <w:iCs w:val="false"/>
          <w:strike w:val="false"/>
          <w:color w:val="000000"/>
          <w:sz w:val="24"/>
          <w:szCs w:val="24"/>
        </w:rPr>
        <w:t xml:space="preserve">distinct in operation</w:t>
      </w:r>
      <w:r>
        <w:rPr>
          <w:rFonts w:ascii="Cambria" w:cs="Cambria" w:eastAsia="Cambria" w:hAnsi="Cambria"/>
          <w:b w:val="false"/>
          <w:bCs w:val="false"/>
          <w:i w:val="false"/>
          <w:iCs w:val="false"/>
          <w:strike w:val="false"/>
          <w:color w:val="000000"/>
          <w:sz w:val="24"/>
          <w:szCs w:val="24"/>
        </w:rPr>
        <w:t xml:space="preserve"> from those religious activities. This includes clear separation in scheduling, staffing, signage, and physical space usage.</w:t>
      </w:r>
    </w:p>
    <w:p>
      <w:pPr>
        <w:pStyle w:val="Heading2"/>
        <w:spacing w:after="120" w:before="360" w:line="312" w:lineRule="auto"/>
      </w:pPr>
      <w:r>
        <w:rPr>
          <w:rFonts w:ascii="Cambria" w:cs="Cambria" w:eastAsia="Cambria" w:hAnsi="Cambria"/>
          <w:color w:val="1B2A4A"/>
          <w:sz w:val="36"/>
          <w:szCs w:val="36"/>
        </w:rPr>
        <w:t xml:space="preserve">5.3 Compliance Checklist — Separation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7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c>
          <w:tcPr>
            <w:tcW w:type="pct" w:w="12%"/>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Status</w:t>
            </w:r>
          </w:p>
        </w:tc>
        <w:tc>
          <w:tcPr>
            <w:tcW w:type="pct" w:w="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Evidence</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Separate general ledger accounts or fund codes are established for federal funds vs. private/religious funds.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Time-and-effort reports are maintained for all staff who split time between federally funded and religious activities.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Federally funded programs are scheduled at distinct times from worship services, Bible studies, prayer meetings, or other explicitly religious activities.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Physical spaces used for federally funded programs are clearly designated and, where co-located, are not simultaneously used for religious activities during program hours.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Signage or posted notices clearly identify the federally funded program as distinct from the FBO’s religious programs.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federal funds are used for the purchase, production, or distribution of religious texts, icons, or devotional materials.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7</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Staff assigned to federally funded programs have written job descriptions that do not include explicitly religious duties during funded program hours.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8</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Procurement records demonstrate that goods and services purchased with federal funds are used exclusively for secular program purposes.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9</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Annual internal review is conducted to verify ongoing compliance with separation requirements, with findings documented.</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10</w:t>
            </w:r>
          </w:p>
        </w:tc>
        <w:tc>
          <w:tcPr>
            <w:tcW w:type="pct" w:w="7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Written policies and procedures governing the separation of religious and secular activities are adopted, distributed to staff, and updated at least annually.</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c>
          <w:tcPr>
            <w:tcW w:type="pct" w:w="8%"/>
            <w:tcMar>
              <w:top w:type="dxa" w:w="90"/>
              <w:left w:type="dxa" w:w="120"/>
              <w:bottom w:type="dxa" w:w="90"/>
              <w:right w:type="dxa" w:w="120"/>
            </w:tcMar>
          </w:tcPr>
          <w:p>
            <w:r>
              <w:rPr>
                <w:b w:val="false"/>
                <w:bCs w:val="false"/>
              </w:rPr>
              <w:t xml:space="preserve"/>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Section 6: Contracting Pathways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following table identifies major federal contracting and grant pathways through which FBOs may receive funding to deliver public services. Each pathway is subject to the general requirements described in Sections 1–5 of this framework, as well as agency-specific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Agency</w:t>
            </w:r>
          </w:p>
        </w:tc>
        <w:tc>
          <w:tcPr>
            <w:tcW w:type="pct" w:w="1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Program</w:t>
            </w:r>
          </w:p>
        </w:tc>
        <w:tc>
          <w:tcPr>
            <w:tcW w:type="pct" w:w="26%"/>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Eligible Services</w:t>
            </w:r>
          </w:p>
        </w:tc>
        <w:tc>
          <w:tcPr>
            <w:tcW w:type="pct" w:w="17%"/>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Authority</w:t>
            </w:r>
          </w:p>
        </w:tc>
        <w:tc>
          <w:tcPr>
            <w:tcW w:type="pct" w:w="3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Key Compliance Note</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HHS</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Community Services Block Grant (CSBG)</w:t>
            </w:r>
          </w:p>
        </w:tc>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Anti-poverty services: employment, education, housing, nutrition, emergency assistance</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42 U.S.C. § 9901 </w:t>
            </w:r>
            <w:r>
              <w:rPr>
                <w:rFonts w:ascii="Cambria" w:cs="Cambria" w:eastAsia="Cambria" w:hAnsi="Cambria"/>
                <w:b w:val="false"/>
                <w:bCs w:val="false"/>
                <w:i/>
                <w:iCs/>
                <w:strike w:val="false"/>
                <w:color w:val="000000"/>
                <w:sz w:val="24"/>
                <w:szCs w:val="24"/>
              </w:rPr>
              <w:t xml:space="preserve">et seq.</w:t>
            </w:r>
            <w:r>
              <w:rPr>
                <w:rFonts w:ascii="Cambria" w:cs="Cambria" w:eastAsia="Cambria" w:hAnsi="Cambria"/>
                <w:b w:val="false"/>
                <w:bCs w:val="false"/>
                <w:i w:val="false"/>
                <w:iCs w:val="false"/>
                <w:strike w:val="false"/>
                <w:color w:val="000000"/>
                <w:sz w:val="24"/>
                <w:szCs w:val="24"/>
              </w:rPr>
              <w:t xml:space="preserve">; 45 CFR Part 96</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States administer; FBOs apply to state CSBG-eligible entities. Charitable Choice applies.</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HUD</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Continuum of Care (CoC) / Emergency Solutions Grants (ESG)</w:t>
            </w:r>
          </w:p>
        </w:tc>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Homeless shelter, rapid re-housing, street outreach, HMIS data collection, supportive services</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42 U.S.C. § 11381 </w:t>
            </w:r>
            <w:r>
              <w:rPr>
                <w:rFonts w:ascii="Cambria" w:cs="Cambria" w:eastAsia="Cambria" w:hAnsi="Cambria"/>
                <w:b w:val="false"/>
                <w:bCs w:val="false"/>
                <w:i/>
                <w:iCs/>
                <w:strike w:val="false"/>
                <w:color w:val="000000"/>
                <w:sz w:val="24"/>
                <w:szCs w:val="24"/>
              </w:rPr>
              <w:t xml:space="preserve">et seq.</w:t>
            </w:r>
            <w:r>
              <w:rPr>
                <w:rFonts w:ascii="Cambria" w:cs="Cambria" w:eastAsia="Cambria" w:hAnsi="Cambria"/>
                <w:b w:val="false"/>
                <w:bCs w:val="false"/>
                <w:i w:val="false"/>
                <w:iCs w:val="false"/>
                <w:strike w:val="false"/>
                <w:color w:val="000000"/>
                <w:sz w:val="24"/>
                <w:szCs w:val="24"/>
              </w:rPr>
              <w:t xml:space="preserve">; 24 CFR Part 578 / Part 576</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Environmental review (24 CFR Part 50/58) may apply. Match requirements exist. FBOs must ensure beneficiary choice.</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DOL</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Workforce Innovation and Opportunity Act (WIOA)</w:t>
            </w:r>
          </w:p>
        </w:tc>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Job training, adult education, vocational rehabilitation, youth workforce development</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29 U.S.C. § 3101 </w:t>
            </w:r>
            <w:r>
              <w:rPr>
                <w:rFonts w:ascii="Cambria" w:cs="Cambria" w:eastAsia="Cambria" w:hAnsi="Cambria"/>
                <w:b w:val="false"/>
                <w:bCs w:val="false"/>
                <w:i/>
                <w:iCs/>
                <w:strike w:val="false"/>
                <w:color w:val="000000"/>
                <w:sz w:val="24"/>
                <w:szCs w:val="24"/>
              </w:rPr>
              <w:t xml:space="preserve">et seq.</w:t>
            </w:r>
            <w:r>
              <w:rPr>
                <w:rFonts w:ascii="Cambria" w:cs="Cambria" w:eastAsia="Cambria" w:hAnsi="Cambria"/>
                <w:b w:val="false"/>
                <w:bCs w:val="false"/>
                <w:i w:val="false"/>
                <w:iCs w:val="false"/>
                <w:strike w:val="false"/>
                <w:color w:val="000000"/>
                <w:sz w:val="24"/>
                <w:szCs w:val="24"/>
              </w:rPr>
              <w:t xml:space="preserve">; 20 CFR Parts 680–683</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FBOs typically contract with state/local workforce development boards. Nondiscrimination rules under 29 CFR Part 38 apply.</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FEMA</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Emergency Food and Shelter Program (EFSP)</w:t>
            </w:r>
          </w:p>
        </w:tc>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Mass shelter, mass feeding, food distribution, one-month utility/rent assistance</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42 U.S.C. § 11331 </w:t>
            </w:r>
            <w:r>
              <w:rPr>
                <w:rFonts w:ascii="Cambria" w:cs="Cambria" w:eastAsia="Cambria" w:hAnsi="Cambria"/>
                <w:b w:val="false"/>
                <w:bCs w:val="false"/>
                <w:i/>
                <w:iCs/>
                <w:strike w:val="false"/>
                <w:color w:val="000000"/>
                <w:sz w:val="24"/>
                <w:szCs w:val="24"/>
              </w:rPr>
              <w:t xml:space="preserve">et seq.</w:t>
            </w:r>
            <w:r>
              <w:rPr>
                <w:rFonts w:ascii="Cambria" w:cs="Cambria" w:eastAsia="Cambria" w:hAnsi="Cambria"/>
                <w:b w:val="false"/>
                <w:bCs w:val="false"/>
                <w:i w:val="false"/>
                <w:iCs w:val="false"/>
                <w:strike w:val="false"/>
                <w:color w:val="000000"/>
                <w:sz w:val="24"/>
                <w:szCs w:val="24"/>
              </w:rPr>
              <w:t xml:space="preserve">; administered by United Way</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Local boards allocate funds. FBOs are historically significant participants. No matching requirement for certain phases.</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USDA</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Food Distribution Programs (TEFAP, CSFP, FDPIR)</w:t>
            </w:r>
          </w:p>
        </w:tc>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Distribution of USDA commodities to low-income individuals, food banks, emergency feeding</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7 U.S.C. § 7501 </w:t>
            </w:r>
            <w:r>
              <w:rPr>
                <w:rFonts w:ascii="Cambria" w:cs="Cambria" w:eastAsia="Cambria" w:hAnsi="Cambria"/>
                <w:b w:val="false"/>
                <w:bCs w:val="false"/>
                <w:i/>
                <w:iCs/>
                <w:strike w:val="false"/>
                <w:color w:val="000000"/>
                <w:sz w:val="24"/>
                <w:szCs w:val="24"/>
              </w:rPr>
              <w:t xml:space="preserve">et seq.</w:t>
            </w:r>
            <w:r>
              <w:rPr>
                <w:rFonts w:ascii="Cambria" w:cs="Cambria" w:eastAsia="Cambria" w:hAnsi="Cambria"/>
                <w:b w:val="false"/>
                <w:bCs w:val="false"/>
                <w:i w:val="false"/>
                <w:iCs w:val="false"/>
                <w:strike w:val="false"/>
                <w:color w:val="000000"/>
                <w:sz w:val="24"/>
                <w:szCs w:val="24"/>
              </w:rPr>
              <w:t xml:space="preserve">; 7 CFR Parts 250–253</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FBOs serve as Emergency Feeding Organizations (EFOs). Must comply with civil rights and food safety requirements.</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DOJ</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Second Chance Act / Justice Assistance Grants (JAG)</w:t>
            </w:r>
          </w:p>
        </w:tc>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Reentry services, mentoring, substance abuse treatment, job placement for formerly incarcerated individuals</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34 U.S.C. § 60501 </w:t>
            </w:r>
            <w:r>
              <w:rPr>
                <w:rFonts w:ascii="Cambria" w:cs="Cambria" w:eastAsia="Cambria" w:hAnsi="Cambria"/>
                <w:b w:val="false"/>
                <w:bCs w:val="false"/>
                <w:i/>
                <w:iCs/>
                <w:strike w:val="false"/>
                <w:color w:val="000000"/>
                <w:sz w:val="24"/>
                <w:szCs w:val="24"/>
              </w:rPr>
              <w:t xml:space="preserve">et seq.</w:t>
            </w:r>
            <w:r>
              <w:rPr>
                <w:rFonts w:ascii="Cambria" w:cs="Cambria" w:eastAsia="Cambria" w:hAnsi="Cambria"/>
                <w:b w:val="false"/>
                <w:bCs w:val="false"/>
                <w:i w:val="false"/>
                <w:iCs w:val="false"/>
                <w:strike w:val="false"/>
                <w:color w:val="000000"/>
                <w:sz w:val="24"/>
                <w:szCs w:val="24"/>
              </w:rPr>
              <w:t xml:space="preserve">; 28 CFR Part 38</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DOJ’s equal treatment regulation (28 CFR Part 38) governs FBO participation. Beneficiary referral protections are critical.</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VA</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Supportive Services for Veteran Families (SSVF)</w:t>
            </w:r>
          </w:p>
        </w:tc>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Case management, housing assistance, temporary financial assistance, veteran-specific outreach</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38 U.S.C. § 2044; 38 CFR Part 62</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FBOs must meet VA-specific reporting and data privacy requirements (HMIS). 38 CFR Part 50 governs faith-based participation.</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ED</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21st Century Community Learning Centers</w:t>
            </w:r>
          </w:p>
        </w:tc>
        <w:tc>
          <w:tcPr>
            <w:tcW w:type="pct" w:w="2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After-school tutoring, academic enrichment, youth development, family literacy</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20 U.S.C. § 7171 </w:t>
            </w:r>
            <w:r>
              <w:rPr>
                <w:rFonts w:ascii="Cambria" w:cs="Cambria" w:eastAsia="Cambria" w:hAnsi="Cambria"/>
                <w:b w:val="false"/>
                <w:bCs w:val="false"/>
                <w:i/>
                <w:iCs/>
                <w:strike w:val="false"/>
                <w:color w:val="000000"/>
                <w:sz w:val="24"/>
                <w:szCs w:val="24"/>
              </w:rPr>
              <w:t xml:space="preserve">et seq.</w:t>
            </w:r>
            <w:r>
              <w:rPr>
                <w:rFonts w:ascii="Cambria" w:cs="Cambria" w:eastAsia="Cambria" w:hAnsi="Cambria"/>
                <w:b w:val="false"/>
                <w:bCs w:val="false"/>
                <w:i w:val="false"/>
                <w:iCs w:val="false"/>
                <w:strike w:val="false"/>
                <w:color w:val="000000"/>
                <w:sz w:val="24"/>
                <w:szCs w:val="24"/>
              </w:rPr>
              <w:t xml:space="preserve">; 2 CFR § 3474.15</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FBOs apply through state education agencies. Supplemental educational services must be secular; religious instruction must be separate.</w:t>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Section 7: Post-Kennedy v. Bremerton School District (2022) Considerations</w:t>
      </w:r>
    </w:p>
    <w:p>
      <w:pPr>
        <w:pStyle w:val="Heading2"/>
        <w:spacing w:after="120" w:before="360" w:line="312" w:lineRule="auto"/>
      </w:pPr>
      <w:r>
        <w:rPr>
          <w:rFonts w:ascii="Cambria" w:cs="Cambria" w:eastAsia="Cambria" w:hAnsi="Cambria"/>
          <w:color w:val="1B2A4A"/>
          <w:sz w:val="36"/>
          <w:szCs w:val="36"/>
        </w:rPr>
        <w:t xml:space="preserve">7.1 The Shift from Lemon to Historical Practices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In </w:t>
      </w:r>
      <w:r>
        <w:rPr>
          <w:rFonts w:ascii="Cambria" w:cs="Cambria" w:eastAsia="Cambria" w:hAnsi="Cambria"/>
          <w:b w:val="false"/>
          <w:bCs w:val="false"/>
          <w:i/>
          <w:iCs/>
          <w:strike w:val="false"/>
          <w:color w:val="000000"/>
          <w:sz w:val="24"/>
          <w:szCs w:val="24"/>
        </w:rPr>
        <w:t xml:space="preserve">Kennedy v. Bremerton School District</w:t>
      </w:r>
      <w:r>
        <w:rPr>
          <w:rFonts w:ascii="Cambria" w:cs="Cambria" w:eastAsia="Cambria" w:hAnsi="Cambria"/>
          <w:b w:val="false"/>
          <w:bCs w:val="false"/>
          <w:i w:val="false"/>
          <w:iCs w:val="false"/>
          <w:strike w:val="false"/>
          <w:color w:val="000000"/>
          <w:sz w:val="24"/>
          <w:szCs w:val="24"/>
        </w:rPr>
        <w:t xml:space="preserve">, 597 U.S. 507 (2022), the Supreme Court of the United States formally abandoned the three-part </w:t>
      </w:r>
      <w:r>
        <w:rPr>
          <w:rFonts w:ascii="Cambria" w:cs="Cambria" w:eastAsia="Cambria" w:hAnsi="Cambria"/>
          <w:b w:val="false"/>
          <w:bCs w:val="false"/>
          <w:i/>
          <w:iCs/>
          <w:strike w:val="false"/>
          <w:color w:val="000000"/>
          <w:sz w:val="24"/>
          <w:szCs w:val="24"/>
        </w:rPr>
        <w:t xml:space="preserve">Lemon v. Kurtzman</w:t>
      </w:r>
      <w:r>
        <w:rPr>
          <w:rFonts w:ascii="Cambria" w:cs="Cambria" w:eastAsia="Cambria" w:hAnsi="Cambria"/>
          <w:b w:val="false"/>
          <w:bCs w:val="false"/>
          <w:i w:val="false"/>
          <w:iCs w:val="false"/>
          <w:strike w:val="false"/>
          <w:color w:val="000000"/>
          <w:sz w:val="24"/>
          <w:szCs w:val="24"/>
        </w:rPr>
        <w:t xml:space="preserve"> test (1971) for evaluating Establishment Clause claims, including the “excessive entanglement” prong. In its place, the Court adopted a framework grounded in </w:t>
      </w:r>
      <w:r>
        <w:rPr>
          <w:rFonts w:ascii="Cambria" w:cs="Cambria" w:eastAsia="Cambria" w:hAnsi="Cambria"/>
          <w:b/>
          <w:bCs/>
          <w:i w:val="false"/>
          <w:iCs w:val="false"/>
          <w:strike w:val="false"/>
          <w:color w:val="000000"/>
          <w:sz w:val="24"/>
          <w:szCs w:val="24"/>
        </w:rPr>
        <w:t xml:space="preserve">“historical practices and understandings”</w:t>
      </w:r>
      <w:r>
        <w:rPr>
          <w:rFonts w:ascii="Cambria" w:cs="Cambria" w:eastAsia="Cambria" w:hAnsi="Cambria"/>
          <w:b w:val="false"/>
          <w:bCs w:val="false"/>
          <w:i w:val="false"/>
          <w:iCs w:val="false"/>
          <w:strike w:val="false"/>
          <w:color w:val="000000"/>
          <w:sz w:val="24"/>
          <w:szCs w:val="24"/>
        </w:rPr>
        <w:t xml:space="preserve"> of the Establishment Clause. Under this approach, government action touching on religion is assessed by reference to original meaning and longstanding historical tradition, rather than by abstract inquiries into “purpose,” “effect,” and “entanglement.”</w:t>
      </w:r>
    </w:p>
    <w:p>
      <w:pPr>
        <w:pStyle w:val="Heading2"/>
        <w:spacing w:after="120" w:before="360" w:line="312" w:lineRule="auto"/>
      </w:pPr>
      <w:r>
        <w:rPr>
          <w:rFonts w:ascii="Cambria" w:cs="Cambria" w:eastAsia="Cambria" w:hAnsi="Cambria"/>
          <w:color w:val="1B2A4A"/>
          <w:sz w:val="36"/>
          <w:szCs w:val="36"/>
        </w:rPr>
        <w:t xml:space="preserve">7.2 Practical Impact on State and Local Contracting</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Following </w:t>
      </w:r>
      <w:r>
        <w:rPr>
          <w:rFonts w:ascii="Cambria" w:cs="Cambria" w:eastAsia="Cambria" w:hAnsi="Cambria"/>
          <w:b w:val="false"/>
          <w:bCs w:val="false"/>
          <w:i/>
          <w:iCs/>
          <w:strike w:val="false"/>
          <w:color w:val="000000"/>
          <w:sz w:val="24"/>
          <w:szCs w:val="24"/>
        </w:rPr>
        <w:t xml:space="preserve">Kennedy</w:t>
      </w:r>
      <w:r>
        <w:rPr>
          <w:rFonts w:ascii="Cambria" w:cs="Cambria" w:eastAsia="Cambria" w:hAnsi="Cambria"/>
          <w:b w:val="false"/>
          <w:bCs w:val="false"/>
          <w:i w:val="false"/>
          <w:iCs w:val="false"/>
          <w:strike w:val="false"/>
          <w:color w:val="000000"/>
          <w:sz w:val="24"/>
          <w:szCs w:val="24"/>
        </w:rPr>
        <w:t xml:space="preserve">, state and local agencies should not impose </w:t>
      </w:r>
      <w:r>
        <w:rPr>
          <w:rFonts w:ascii="Cambria" w:cs="Cambria" w:eastAsia="Cambria" w:hAnsi="Cambria"/>
          <w:b/>
          <w:bCs/>
          <w:i w:val="false"/>
          <w:iCs w:val="false"/>
          <w:strike w:val="false"/>
          <w:color w:val="000000"/>
          <w:sz w:val="24"/>
          <w:szCs w:val="24"/>
        </w:rPr>
        <w:t xml:space="preserve">more restrictive requirements</w:t>
      </w:r>
      <w:r>
        <w:rPr>
          <w:rFonts w:ascii="Cambria" w:cs="Cambria" w:eastAsia="Cambria" w:hAnsi="Cambria"/>
          <w:b w:val="false"/>
          <w:bCs w:val="false"/>
          <w:i w:val="false"/>
          <w:iCs w:val="false"/>
          <w:strike w:val="false"/>
          <w:color w:val="000000"/>
          <w:sz w:val="24"/>
          <w:szCs w:val="24"/>
        </w:rPr>
        <w:t xml:space="preserve"> on FBOs than on secular contractors. Overly broad “no religious activity” clauses that extend beyond the scope of the federal equal treatment framework may be constitutionally suspect as viewpoint-based discrimination against religious organizations.</w:t>
      </w:r>
    </w:p>
    <w:p>
      <w:pPr>
        <w:pStyle w:val="Heading2"/>
        <w:spacing w:after="120" w:before="360" w:line="312" w:lineRule="auto"/>
      </w:pPr>
      <w:r>
        <w:rPr>
          <w:rFonts w:ascii="Cambria" w:cs="Cambria" w:eastAsia="Cambria" w:hAnsi="Cambria"/>
          <w:color w:val="1B2A4A"/>
          <w:sz w:val="36"/>
          <w:szCs w:val="36"/>
        </w:rPr>
        <w:t xml:space="preserve">7.3 Best Practices for Contract Language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Contracting agencies and FBOs should review existing contract clauses and replace blanket “no proselytizing” provisions with more precise language aligned with 2 CFR § 3474.15, specifically: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Use the formulation: </w:t>
      </w:r>
      <w:r>
        <w:rPr>
          <w:rFonts w:ascii="Cambria" w:cs="Cambria" w:eastAsia="Cambria" w:hAnsi="Cambria"/>
          <w:b w:val="false"/>
          <w:bCs w:val="false"/>
          <w:i/>
          <w:iCs/>
          <w:strike w:val="false"/>
          <w:color w:val="000000"/>
          <w:sz w:val="24"/>
          <w:szCs w:val="24"/>
        </w:rPr>
        <w:t xml:space="preserve">“Contractor shall ensure that federally funded services are separated in time or location from any explicitly religious activities conducted by the Contractor.”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Avoid overly broad prohibitions that restrict the FBO’s general religious identity or expression beyond the scope of funded services.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Ensure that contract language mirrors the definitions used in applicable federal regulations rather than imposing novel or more restrictive standards.</w:t>
      </w:r>
    </w:p>
    <w:p>
      <w:pPr>
        <w:pStyle w:val="Heading2"/>
        <w:spacing w:after="120" w:before="360" w:line="312" w:lineRule="auto"/>
      </w:pPr>
      <w:r>
        <w:rPr>
          <w:rFonts w:ascii="Cambria" w:cs="Cambria" w:eastAsia="Cambria" w:hAnsi="Cambria"/>
          <w:color w:val="1B2A4A"/>
          <w:sz w:val="36"/>
          <w:szCs w:val="36"/>
        </w:rPr>
        <w:t xml:space="preserve">7.4 Continuing Establishment Clause Protections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IMPORTANT NOTE</w:t>
            </w:r>
          </w:p>
          <w:p>
            <w:pPr>
              <w:spacing w:after="120" w:line="360" w:lineRule="auto"/>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val="false"/>
                <w:bCs w:val="false"/>
                <w:i/>
                <w:iCs/>
                <w:strike w:val="false"/>
                <w:color w:val="000000"/>
                <w:sz w:val="24"/>
                <w:szCs w:val="24"/>
              </w:rPr>
              <w:t xml:space="preserve">Kennedy</w:t>
            </w:r>
            <w:r>
              <w:rPr>
                <w:rFonts w:ascii="Cambria" w:cs="Cambria" w:eastAsia="Cambria" w:hAnsi="Cambria"/>
                <w:b w:val="false"/>
                <w:bCs w:val="false"/>
                <w:i w:val="false"/>
                <w:iCs w:val="false"/>
                <w:strike w:val="false"/>
                <w:color w:val="000000"/>
                <w:sz w:val="24"/>
                <w:szCs w:val="24"/>
              </w:rPr>
              <w:t xml:space="preserve"> decision did </w:t>
            </w:r>
            <w:r>
              <w:rPr>
                <w:rFonts w:ascii="Cambria" w:cs="Cambria" w:eastAsia="Cambria" w:hAnsi="Cambria"/>
                <w:b/>
                <w:bCs/>
                <w:i w:val="false"/>
                <w:iCs w:val="false"/>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eliminate Establishment Clause protections. The fundamental principle remains: the government may not fund explicitly religious activities with taxpayer dollars, and beneficiaries may not be coerced into religious participation as a condition of receiving government-funded services. The separation framework described in this document remains fully operative and legally required.</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8: Risk Matrix</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following risk assessment matrix identifies key risk areas associated with faith-based government contracting and provides mitigation strategies for each.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Risk Area</w:t>
            </w:r>
          </w:p>
        </w:tc>
        <w:tc>
          <w:tcPr>
            <w:tcW w:type="pct" w:w="3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Description</w:t>
            </w:r>
          </w:p>
        </w:tc>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Likelihood</w:t>
            </w:r>
          </w:p>
        </w:tc>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Impact</w:t>
            </w:r>
          </w:p>
        </w:tc>
        <w:tc>
          <w:tcPr>
            <w:tcW w:type="pct" w:w="37%"/>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Mitigation Strategy</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Commingling of Funds</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Federal funds are mixed with private/religious funds in a single account without proper segregation.</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Medium</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High</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Establish separate bank accounts or fund codes; implement monthly reconciliation; train finance staff on 2 CFR Part 200 Subpart D requirements.</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Involuntary Religious Participation</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Beneficiaries are required or pressured to attend religious activities as a condition of receiving services.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Medium</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High</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Post beneficiary rights notice prominently; train all staff on voluntary participation requirement; audit intake procedures quarterly.</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Failure to Provide Alternative Provider</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FBO fails to identify or refer beneficiaries to an alternative provider when requested.</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Medium</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Medium</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Maintain a current directory of alternative secular providers; document all referral requests and outcomes; coordinate with the awarding agency to identify alternatives.</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Employment Discrimination Claims</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Allegations that the FBO used religious hiring criteria for positions funded by federal dollars beyond the scope of the Title VII exemption.</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Low</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High</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Clearly document which positions are subject to religious qualification; maintain separate job descriptions for federally funded roles; consult legal counsel on hiring practices.</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Audit Deficiency</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FBO fails a Single Audit (2 CFR Part 200 Subpart F) due to inadequate documentation, internal controls, or noncompliant expenditures.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Medium</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High</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Engage qualified independent auditor; implement internal controls per 2 CFR § 200.303; conduct pre-audit self-assessment annually.</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Loss of Tax-Exempt Status</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Government contracting activity causes IRS to question the FBO’s 501(c)(3) status due to excessive commercial activity or political involvement.</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Low</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High</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Ensure government contract revenue is consistent with the FBO’s exempt purpose; avoid lobbying or political activity with federal funds; consult tax counsel.</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Establishment Clause Challenge</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 legal challenge alleging that the government contract constitutes an impermissible establishment of religion.</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Low</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High</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Maintain rigorous separation of funded services from religious activities; ensure beneficiary protections are fully implemented; retain litigation counsel familiar with First Amendment law.</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Reputational Risk</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Negative media coverage or community backlash arising from perceived mixing of government services with religious activities.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Medium</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Medium</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Develop a public communications plan; proactively communicate the secular nature of funded services; designate a media spokesperson; maintain transparency in reporting.</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Data Privacy Breach</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Beneficiary personally identifiable information (PII) is improperly disclosed, especially data collected under government programs.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Low</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High</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Implement data security protocols per federal requirements; limit access to PII; train staff on privacy obligations; maintain incident response plan.</w:t>
            </w:r>
          </w:p>
        </w:tc>
      </w:tr>
      <w:tr>
        <w:trPr>
          <w:tblHeader w:val="false"/>
        </w:trPr>
        <w:tc>
          <w:tcPr>
            <w:tcW w:type="pct" w:w="1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Subrecipient Noncompliance</w:t>
            </w:r>
          </w:p>
        </w:tc>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FBO passes federal funds to sub-awardees who fail to comply with separation, beneficiary, or financial requirements.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Medium</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High</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Include flow-down clauses in all sub-awards; conduct annual monitoring of subrecipients per 2 CFR § 200.332; require subrecipient compliance certifications.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2A4A" w:color="auto" w:val="clear"/>
            <w:tcMar>
              <w:top w:type="dxa" w:w="150"/>
              <w:left w:type="dxa" w:w="210"/>
              <w:bottom w:type="dxa" w:w="150"/>
              <w:right w:type="dxa" w:w="210"/>
            </w:tcMar>
          </w:tcPr>
          <w:p>
            <w:pPr>
              <w:spacing w:after="120" w:line="408" w:lineRule="auto"/>
            </w:pPr>
            <w:r>
              <w:t xml:space="preserve">PART II: DELEGATION OF AUTHORITY MODEL</w:t>
            </w:r>
          </w:p>
          <w:p>
            <w:pPr>
              <w:spacing w:after="120" w:line="408" w:lineRule="auto"/>
            </w:pPr>
            <w:r>
              <w:t xml:space="preserve">—</w:t>
            </w:r>
          </w:p>
          <w:p>
            <w:pPr>
              <w:spacing w:after="120" w:line="408" w:lineRule="auto"/>
            </w:pPr>
            <w:r>
              <w:t xml:space="preserve">Church Performing Quasi-Governmental Functions Under Contract</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9: Purpose and Structure</w:t>
      </w:r>
    </w:p>
    <w:p>
      <w:pPr>
        <w:pStyle w:val="Heading2"/>
        <w:spacing w:after="120" w:before="360" w:line="312" w:lineRule="auto"/>
      </w:pPr>
      <w:r>
        <w:rPr>
          <w:rFonts w:ascii="Cambria" w:cs="Cambria" w:eastAsia="Cambria" w:hAnsi="Cambria"/>
          <w:color w:val="1B2A4A"/>
          <w:sz w:val="36"/>
          <w:szCs w:val="36"/>
        </w:rPr>
        <w:t xml:space="preserve">9.1 Purpose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Part establishes a formal </w:t>
      </w:r>
      <w:r>
        <w:rPr>
          <w:rFonts w:ascii="Cambria" w:cs="Cambria" w:eastAsia="Cambria" w:hAnsi="Cambria"/>
          <w:b/>
          <w:bCs/>
          <w:i w:val="false"/>
          <w:iCs w:val="false"/>
          <w:strike w:val="false"/>
          <w:color w:val="000000"/>
          <w:sz w:val="24"/>
          <w:szCs w:val="24"/>
        </w:rPr>
        <w:t xml:space="preserve">Delegation of Authority (DOA)</w:t>
      </w:r>
      <w:r>
        <w:rPr>
          <w:rFonts w:ascii="Cambria" w:cs="Cambria" w:eastAsia="Cambria" w:hAnsi="Cambria"/>
          <w:b w:val="false"/>
          <w:bCs w:val="false"/>
          <w:i w:val="false"/>
          <w:iCs w:val="false"/>
          <w:strike w:val="false"/>
          <w:color w:val="000000"/>
          <w:sz w:val="24"/>
          <w:szCs w:val="24"/>
        </w:rPr>
        <w:t xml:space="preserve"> framework for the internal governance of a church or faith-based organization that has entered into one or more government contracts to deliver public services. The DOA governs how the church’s leadership delegates specific authority to individuals, officers, or committees to execute government-funded programs in compliance with all applicable federal, state, and local requirements.</w:t>
      </w:r>
    </w:p>
    <w:p>
      <w:pPr>
        <w:pStyle w:val="Heading2"/>
        <w:spacing w:after="120" w:before="360" w:line="312" w:lineRule="auto"/>
      </w:pPr>
      <w:r>
        <w:rPr>
          <w:rFonts w:ascii="Cambria" w:cs="Cambria" w:eastAsia="Cambria" w:hAnsi="Cambria"/>
          <w:color w:val="1B2A4A"/>
          <w:sz w:val="36"/>
          <w:szCs w:val="36"/>
        </w:rPr>
        <w:t xml:space="preserve">9.2 Necessity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When a church operates government-funded programs, it takes on fiduciary, regulatory, and operational obligations that extend well beyond its traditional ecclesiastical governance. A formal DOA ensures that: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Authority is clearly assigned and bounded.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Accountability is traceable to specific individuals.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Federal compliance requirements are embedded in the organization’s governance structure.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risk of unauthorized actions is minimized.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An audit trail exists for all significant decisions involving federal funds.</w:t>
      </w:r>
    </w:p>
    <w:p>
      <w:pPr>
        <w:pStyle w:val="Heading2"/>
        <w:spacing w:after="120" w:before="360" w:line="312" w:lineRule="auto"/>
      </w:pPr>
      <w:r>
        <w:rPr>
          <w:rFonts w:ascii="Cambria" w:cs="Cambria" w:eastAsia="Cambria" w:hAnsi="Cambria"/>
          <w:color w:val="1B2A4A"/>
          <w:sz w:val="36"/>
          <w:szCs w:val="36"/>
        </w:rPr>
        <w:t xml:space="preserve">9.3 Structure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DOA operates on a </w:t>
      </w:r>
      <w:r>
        <w:rPr>
          <w:rFonts w:ascii="Cambria" w:cs="Cambria" w:eastAsia="Cambria" w:hAnsi="Cambria"/>
          <w:b/>
          <w:bCs/>
          <w:i w:val="false"/>
          <w:iCs w:val="false"/>
          <w:strike w:val="false"/>
          <w:color w:val="000000"/>
          <w:sz w:val="24"/>
          <w:szCs w:val="24"/>
        </w:rPr>
        <w:t xml:space="preserve">principal-agent model</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Role</w:t>
            </w:r>
          </w:p>
        </w:tc>
        <w:tc>
          <w:tcPr>
            <w:tcW w:type="pct" w:w="3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Entity/Person</w:t>
            </w:r>
          </w:p>
        </w:tc>
        <w:tc>
          <w:tcPr>
            <w:tcW w:type="pct" w:w="54%"/>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Description</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Principal</w:t>
            </w:r>
          </w:p>
        </w:tc>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Church Entity / Board of Trustees or Board of Elders</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The ultimate governing authority of the FBO. Retains plenary authority over all organizational matters. Delegates specific functions to agents.</w:t>
            </w:r>
          </w:p>
        </w:tc>
      </w:tr>
      <w:tr>
        <w:trPr>
          <w:tblHeader w:val="false"/>
        </w:trPr>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Delegated Agents</w:t>
            </w:r>
          </w:p>
        </w:tc>
        <w:tc>
          <w:tcPr>
            <w:tcW w:type="pct" w:w="3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Directors, Compliance Officers, Financial Officers, Service Delivery Staff</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Individuals to whom the Principal has delegated specific, bounded authority to act on behalf of the FBO in connection with government-funded programs.</w:t>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Section 10: Delegation Schedule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following schedule sets forth the specific functions delegated by the Principal to Delegated Agents. Each delegation is limited to the scope described and is subject to the limitations and review provisions of this framework.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12%"/>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Function</w:t>
            </w:r>
          </w:p>
        </w:tc>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Delegating Authority (Principal)</w:t>
            </w:r>
          </w:p>
        </w:tc>
        <w:tc>
          <w:tcPr>
            <w:tcW w:type="pct" w:w="12%"/>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Delegated Agent (Title/Role)</w:t>
            </w:r>
          </w:p>
        </w:tc>
        <w:tc>
          <w:tcPr>
            <w:tcW w:type="pct" w:w="2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Scope of Authority</w:t>
            </w:r>
          </w:p>
        </w:tc>
        <w:tc>
          <w:tcPr>
            <w:tcW w:type="pct" w:w="2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Limitations</w:t>
            </w:r>
          </w:p>
        </w:tc>
        <w:tc>
          <w:tcPr>
            <w:tcW w:type="pct" w:w="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Effective Date</w:t>
            </w:r>
          </w:p>
        </w:tc>
        <w:tc>
          <w:tcPr>
            <w:tcW w:type="pct" w:w="1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Review Date</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Contract Execution and Amendment</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Executive Director / Senior Pastor (as Board designee)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Execute, amend, and terminate government contracts and cooperative agreements on behalf of the FBO.</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Amendments exceeding $50,000 or materially altering scope require prior Board approval.</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Financial Management and Disbursement of Federal Funds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Chief Financial Officer / Church Treasurer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Manage federal fund accounts; approve expenditures; process disbursements; maintain financial records per 2 CFR Part 200 Subpart D.</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Single expenditures exceeding $25,000 require dual authorization. No expenditures for explicitly religious activities.</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Personnel Hiring for Federally Funded Programs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Director / HR Coordinator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Recruit, hire, supervise, and terminate staff assigned to government-funded programs.</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All hiring must comply with applicable nondiscrimination requirements. Religious qualifications may be applied only as permitted under 42 U.S.C. § 2000e-1(a).</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Program Operations and Service Delivery</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Director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Manage day-to-day operations of federally funded programs; ensure services meet contractual deliverables and quality standards.</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May not alter program scope without contracting officer approval. Must maintain separation from religious activities.</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Compliance Reporting and Audit Response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Prepare and submit all required federal and state compliance reports; coordinate with independent auditors; respond to audit findings and corrective action requests.</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Must report all audit findings to the Board within 5 business days. May not waive or negotiate audit findings without Board approval.</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Beneficiary Intake, Referral, and Grievance Resolution</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Director / Intake Coordinator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Conduct beneficiary intake; provide beneficiary rights notices; process referral requests to alternative providers; resolve beneficiary grievances.</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May not deny services based on religion, race, or other protected class. Must document all referral requests and grievances.</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7</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Procurement of Goods and Services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Chief Financial Officer / Procurement Officer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Procure goods and services necessary for program operations in compliance with 2 CFR §§ 200.317–200.327.</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Purchases exceeding $10,000 require competitive bidding. No sole-source contracts exceeding micro-purchase threshold without justification.</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8</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Data Collection, Privacy, and Records Management</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 / Data Manager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Collect, store, and transmit program data; maintain beneficiary privacy; comply with federal data requirements (e.g., HMIS, performance reporting).</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Must comply with all applicable privacy laws. No disclosure of PII without authorization. Records retained per 2 CFR § 200.334.</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9</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Communications with Government Contracting Officer</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Executive Director / Compliance Officer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Serve as primary point of contact with the federal, state, or local contracting officer or grants management specialist.</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Must inform the Board of any material communication (e.g., notices of noncompliance, scope changes, funding modifications) within 48 hours.</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10</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Separation Compliance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Ensure that federally funded services are separated in time or location from explicitly religious activities; monitor and enforce separation policies.</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Must conduct quarterly reviews and report findings to the Board. No authority to approve exceptions to separation requirements.</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11</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Incident Reporting and Corrective Action</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 / Program Director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Investigate and report incidents, complaints, and potential violations; develop and implement corrective action plans.</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All incidents must be reported to the Board within 24 hours. Corrective action plans must be approved by the Board before submission to the awarding agency.</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12</w:t>
            </w:r>
          </w:p>
        </w:tc>
        <w:tc>
          <w:tcPr>
            <w:tcW w:type="pct" w:w="12%"/>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Sub-Award Management</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Chief Financial Officer / Compliance Officer</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Issue and manage sub-awards; ensure sub-recipient compliance with all flow-down requirements per 2 CFR § 200.332.</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All sub-awards require Board approval prior to execution. Annual monitoring of sub-recipients required.</w:t>
            </w:r>
          </w:p>
        </w:tc>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1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+ 1yr]</w:t>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Section 11: Authority Boundaries and Limitations</w:t>
      </w:r>
    </w:p>
    <w:p>
      <w:pPr>
        <w:pStyle w:val="Heading2"/>
        <w:spacing w:after="120" w:before="360" w:line="312" w:lineRule="auto"/>
      </w:pPr>
      <w:r>
        <w:rPr>
          <w:rFonts w:ascii="Cambria" w:cs="Cambria" w:eastAsia="Cambria" w:hAnsi="Cambria"/>
          <w:color w:val="1B2A4A"/>
          <w:sz w:val="36"/>
          <w:szCs w:val="36"/>
        </w:rPr>
        <w:t xml:space="preserve">11.1 General Limitations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Delegated authority is </w:t>
      </w:r>
      <w:r>
        <w:rPr>
          <w:rFonts w:ascii="Cambria" w:cs="Cambria" w:eastAsia="Cambria" w:hAnsi="Cambria"/>
          <w:b/>
          <w:bCs/>
          <w:i w:val="false"/>
          <w:iCs w:val="false"/>
          <w:strike w:val="false"/>
          <w:color w:val="000000"/>
          <w:sz w:val="24"/>
          <w:szCs w:val="24"/>
        </w:rPr>
        <w:t xml:space="preserve">limited to the scope</w:t>
      </w:r>
      <w:r>
        <w:rPr>
          <w:rFonts w:ascii="Cambria" w:cs="Cambria" w:eastAsia="Cambria" w:hAnsi="Cambria"/>
          <w:b w:val="false"/>
          <w:bCs w:val="false"/>
          <w:i w:val="false"/>
          <w:iCs w:val="false"/>
          <w:strike w:val="false"/>
          <w:color w:val="000000"/>
          <w:sz w:val="24"/>
          <w:szCs w:val="24"/>
        </w:rPr>
        <w:t xml:space="preserve"> of the government contract and the applicable federal, state, and local regulations.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No delegated agent may authorize expenditure of federal funds for </w:t>
      </w:r>
      <w:r>
        <w:rPr>
          <w:rFonts w:ascii="Cambria" w:cs="Cambria" w:eastAsia="Cambria" w:hAnsi="Cambria"/>
          <w:b/>
          <w:bCs/>
          <w:i w:val="false"/>
          <w:iCs w:val="false"/>
          <w:strike w:val="false"/>
          <w:color w:val="000000"/>
          <w:sz w:val="24"/>
          <w:szCs w:val="24"/>
        </w:rPr>
        <w:t xml:space="preserve">explicitly religious activities</w:t>
      </w:r>
      <w:r>
        <w:rPr>
          <w:rFonts w:ascii="Cambria" w:cs="Cambria" w:eastAsia="Cambria" w:hAnsi="Cambria"/>
          <w:b w:val="false"/>
          <w:bCs w:val="false"/>
          <w:i w:val="false"/>
          <w:iCs w:val="false"/>
          <w:strike w:val="false"/>
          <w:color w:val="000000"/>
          <w:sz w:val="24"/>
          <w:szCs w:val="24"/>
        </w:rPr>
        <w:t xml:space="preserve"> as defined in Section 3 of this framework.</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No delegated agent may </w:t>
      </w:r>
      <w:r>
        <w:rPr>
          <w:rFonts w:ascii="Cambria" w:cs="Cambria" w:eastAsia="Cambria" w:hAnsi="Cambria"/>
          <w:b/>
          <w:bCs/>
          <w:i w:val="false"/>
          <w:iCs w:val="false"/>
          <w:strike w:val="false"/>
          <w:color w:val="000000"/>
          <w:sz w:val="24"/>
          <w:szCs w:val="24"/>
        </w:rPr>
        <w:t xml:space="preserve">waive beneficiary protections</w:t>
      </w:r>
      <w:r>
        <w:rPr>
          <w:rFonts w:ascii="Cambria" w:cs="Cambria" w:eastAsia="Cambria" w:hAnsi="Cambria"/>
          <w:b w:val="false"/>
          <w:bCs w:val="false"/>
          <w:i w:val="false"/>
          <w:iCs w:val="false"/>
          <w:strike w:val="false"/>
          <w:color w:val="000000"/>
          <w:sz w:val="24"/>
          <w:szCs w:val="24"/>
        </w:rPr>
        <w:t xml:space="preserve"> described in Section 4.</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All delegated actions must be </w:t>
      </w:r>
      <w:r>
        <w:rPr>
          <w:rFonts w:ascii="Cambria" w:cs="Cambria" w:eastAsia="Cambria" w:hAnsi="Cambria"/>
          <w:b/>
          <w:bCs/>
          <w:i w:val="false"/>
          <w:iCs w:val="false"/>
          <w:strike w:val="false"/>
          <w:color w:val="000000"/>
          <w:sz w:val="24"/>
          <w:szCs w:val="24"/>
        </w:rPr>
        <w:t xml:space="preserve">documented</w:t>
      </w:r>
      <w:r>
        <w:rPr>
          <w:rFonts w:ascii="Cambria" w:cs="Cambria" w:eastAsia="Cambria" w:hAnsi="Cambria"/>
          <w:b w:val="false"/>
          <w:bCs w:val="false"/>
          <w:i w:val="false"/>
          <w:iCs w:val="false"/>
          <w:strike w:val="false"/>
          <w:color w:val="000000"/>
          <w:sz w:val="24"/>
          <w:szCs w:val="24"/>
        </w:rPr>
        <w:t xml:space="preserve"> in the Authority Action Log (Section 12).</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Delegated authority </w:t>
      </w:r>
      <w:r>
        <w:rPr>
          <w:rFonts w:ascii="Cambria" w:cs="Cambria" w:eastAsia="Cambria" w:hAnsi="Cambria"/>
          <w:b/>
          <w:bCs/>
          <w:i w:val="false"/>
          <w:iCs w:val="false"/>
          <w:strike w:val="false"/>
          <w:color w:val="000000"/>
          <w:sz w:val="24"/>
          <w:szCs w:val="24"/>
        </w:rPr>
        <w:t xml:space="preserve">may not be re-delegated</w:t>
      </w:r>
      <w:r>
        <w:rPr>
          <w:rFonts w:ascii="Cambria" w:cs="Cambria" w:eastAsia="Cambria" w:hAnsi="Cambria"/>
          <w:b w:val="false"/>
          <w:bCs w:val="false"/>
          <w:i w:val="false"/>
          <w:iCs w:val="false"/>
          <w:strike w:val="false"/>
          <w:color w:val="000000"/>
          <w:sz w:val="24"/>
          <w:szCs w:val="24"/>
        </w:rPr>
        <w:t xml:space="preserve"> to any other person without the prior written approval of the Principal (Board of Trustees).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Delegated agents must act within their </w:t>
      </w:r>
      <w:r>
        <w:rPr>
          <w:rFonts w:ascii="Cambria" w:cs="Cambria" w:eastAsia="Cambria" w:hAnsi="Cambria"/>
          <w:b/>
          <w:bCs/>
          <w:i w:val="false"/>
          <w:iCs w:val="false"/>
          <w:strike w:val="false"/>
          <w:color w:val="000000"/>
          <w:sz w:val="24"/>
          <w:szCs w:val="24"/>
        </w:rPr>
        <w:t xml:space="preserve">approved budget authority</w:t>
      </w:r>
      <w:r>
        <w:rPr>
          <w:rFonts w:ascii="Cambria" w:cs="Cambria" w:eastAsia="Cambria" w:hAnsi="Cambria"/>
          <w:b w:val="false"/>
          <w:bCs w:val="false"/>
          <w:i w:val="false"/>
          <w:iCs w:val="false"/>
          <w:strike w:val="false"/>
          <w:color w:val="000000"/>
          <w:sz w:val="24"/>
          <w:szCs w:val="24"/>
        </w:rPr>
        <w:t xml:space="preserve"> and may not create financial obligations beyond their delegated limits.</w:t>
      </w:r>
    </w:p>
    <w:p>
      <w:pPr>
        <w:pStyle w:val="Heading2"/>
        <w:spacing w:after="120" w:before="360" w:line="312" w:lineRule="auto"/>
      </w:pPr>
      <w:r>
        <w:rPr>
          <w:rFonts w:ascii="Cambria" w:cs="Cambria" w:eastAsia="Cambria" w:hAnsi="Cambria"/>
          <w:color w:val="1B2A4A"/>
          <w:sz w:val="36"/>
          <w:szCs w:val="36"/>
        </w:rPr>
        <w:t xml:space="preserve">11.2 Red Lines — Prohibited Actions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 RED LINES — ACTIONS THAT MAY NEVER BE TAKEN BY ANY DELEGATED AGENT</w:t>
            </w:r>
          </w:p>
          <w:p>
            <w:pPr>
              <w:spacing w:after="120" w:line="360" w:lineRule="auto"/>
            </w:pPr>
            <w:r>
              <w:rPr>
                <w:rFonts w:ascii="Cambria" w:cs="Cambria" w:eastAsia="Cambria" w:hAnsi="Cambria"/>
                <w:b w:val="false"/>
                <w:bCs w:val="false"/>
                <w:i w:val="false"/>
                <w:iCs w:val="false"/>
                <w:strike w:val="false"/>
                <w:color w:val="000000"/>
                <w:sz w:val="24"/>
                <w:szCs w:val="24"/>
              </w:rPr>
              <w:t xml:space="preserve">The following actions are </w:t>
            </w:r>
            <w:r>
              <w:rPr>
                <w:rFonts w:ascii="Cambria" w:cs="Cambria" w:eastAsia="Cambria" w:hAnsi="Cambria"/>
                <w:b/>
                <w:bCs/>
                <w:i w:val="false"/>
                <w:iCs w:val="false"/>
                <w:strike w:val="false"/>
                <w:color w:val="000000"/>
                <w:sz w:val="24"/>
                <w:szCs w:val="24"/>
              </w:rPr>
              <w:t xml:space="preserve">absolutely prohibited</w:t>
            </w:r>
            <w:r>
              <w:rPr>
                <w:rFonts w:ascii="Cambria" w:cs="Cambria" w:eastAsia="Cambria" w:hAnsi="Cambria"/>
                <w:b w:val="false"/>
                <w:bCs w:val="false"/>
                <w:i w:val="false"/>
                <w:iCs w:val="false"/>
                <w:strike w:val="false"/>
                <w:color w:val="000000"/>
                <w:sz w:val="24"/>
                <w:szCs w:val="24"/>
              </w:rPr>
              <w:t xml:space="preserve"> for any delegated agent, regardless of title, seniority, or circumstance. Violation of any Red Line constitutes grounds for immediate revocation of delegation, disciplinary action, and potential reporting to the awarding agency.</w:t>
            </w:r>
          </w:p>
          <w:p>
            <w:pPr>
              <w:spacing w:after="100" w:line="408" w:lineRule="auto"/>
              <w:ind w:left="240"/>
            </w:pPr>
            <w:r>
              <w:t xml:space="preserve">1.  </w:t>
            </w:r>
            <w:r>
              <w:rPr>
                <w:rFonts w:ascii="Cambria" w:cs="Cambria" w:eastAsia="Cambria" w:hAnsi="Cambria"/>
                <w:b/>
                <w:bCs/>
                <w:i w:val="false"/>
                <w:iCs w:val="false"/>
                <w:strike w:val="false"/>
                <w:color w:val="000000"/>
                <w:sz w:val="24"/>
                <w:szCs w:val="24"/>
              </w:rPr>
              <w:t xml:space="preserve">Expenditure of federal funds for explicitly religious activities</w:t>
            </w:r>
            <w:r>
              <w:rPr>
                <w:rFonts w:ascii="Cambria" w:cs="Cambria" w:eastAsia="Cambria" w:hAnsi="Cambria"/>
                <w:b w:val="false"/>
                <w:bCs w:val="false"/>
                <w:i w:val="false"/>
                <w:iCs w:val="false"/>
                <w:strike w:val="false"/>
                <w:color w:val="000000"/>
                <w:sz w:val="24"/>
                <w:szCs w:val="24"/>
              </w:rPr>
              <w:t xml:space="preserve"> — including worship, religious instruction, proselytization, or purchase of devotional materials.</w:t>
            </w:r>
          </w:p>
          <w:p>
            <w:pPr>
              <w:spacing w:after="100" w:line="408" w:lineRule="auto"/>
              <w:ind w:left="240"/>
            </w:pPr>
            <w:r>
              <w:t xml:space="preserve">2.  </w:t>
            </w:r>
            <w:r>
              <w:rPr>
                <w:rFonts w:ascii="Cambria" w:cs="Cambria" w:eastAsia="Cambria" w:hAnsi="Cambria"/>
                <w:b/>
                <w:bCs/>
                <w:i w:val="false"/>
                <w:iCs w:val="false"/>
                <w:strike w:val="false"/>
                <w:color w:val="000000"/>
                <w:sz w:val="24"/>
                <w:szCs w:val="24"/>
              </w:rPr>
              <w:t xml:space="preserve">Conditioning the receipt of federally funded services on religious participation</w:t>
            </w:r>
            <w:r>
              <w:rPr>
                <w:rFonts w:ascii="Cambria" w:cs="Cambria" w:eastAsia="Cambria" w:hAnsi="Cambria"/>
                <w:b w:val="false"/>
                <w:bCs w:val="false"/>
                <w:i w:val="false"/>
                <w:iCs w:val="false"/>
                <w:strike w:val="false"/>
                <w:color w:val="000000"/>
                <w:sz w:val="24"/>
                <w:szCs w:val="24"/>
              </w:rPr>
              <w:t xml:space="preserve"> — no beneficiary may be required to attend worship, prayer, or any religious activity as a prerequisite to receiving services.</w:t>
            </w:r>
          </w:p>
          <w:p>
            <w:pPr>
              <w:spacing w:after="100" w:line="408" w:lineRule="auto"/>
              <w:ind w:left="240"/>
            </w:pPr>
            <w:r>
              <w:t xml:space="preserve">3.  </w:t>
            </w:r>
            <w:r>
              <w:rPr>
                <w:rFonts w:ascii="Cambria" w:cs="Cambria" w:eastAsia="Cambria" w:hAnsi="Cambria"/>
                <w:b/>
                <w:bCs/>
                <w:i w:val="false"/>
                <w:iCs w:val="false"/>
                <w:strike w:val="false"/>
                <w:color w:val="000000"/>
                <w:sz w:val="24"/>
                <w:szCs w:val="24"/>
              </w:rPr>
              <w:t xml:space="preserve">Waiver or modification of beneficiary rights</w:t>
            </w:r>
            <w:r>
              <w:rPr>
                <w:rFonts w:ascii="Cambria" w:cs="Cambria" w:eastAsia="Cambria" w:hAnsi="Cambria"/>
                <w:b w:val="false"/>
                <w:bCs w:val="false"/>
                <w:i w:val="false"/>
                <w:iCs w:val="false"/>
                <w:strike w:val="false"/>
                <w:color w:val="000000"/>
                <w:sz w:val="24"/>
                <w:szCs w:val="24"/>
              </w:rPr>
              <w:t xml:space="preserve"> — no agent may alter, reduce, or fail to provide the required beneficiary rights notice or refuse to process a referral request.</w:t>
            </w:r>
          </w:p>
          <w:p>
            <w:pPr>
              <w:spacing w:after="100" w:line="408" w:lineRule="auto"/>
              <w:ind w:left="240"/>
            </w:pPr>
            <w:r>
              <w:t xml:space="preserve">4.  </w:t>
            </w:r>
            <w:r>
              <w:rPr>
                <w:rFonts w:ascii="Cambria" w:cs="Cambria" w:eastAsia="Cambria" w:hAnsi="Cambria"/>
                <w:b/>
                <w:bCs/>
                <w:i w:val="false"/>
                <w:iCs w:val="false"/>
                <w:strike w:val="false"/>
                <w:color w:val="000000"/>
                <w:sz w:val="24"/>
                <w:szCs w:val="24"/>
              </w:rPr>
              <w:t xml:space="preserve">Unauthorized re-delegation of authority</w:t>
            </w:r>
            <w:r>
              <w:rPr>
                <w:rFonts w:ascii="Cambria" w:cs="Cambria" w:eastAsia="Cambria" w:hAnsi="Cambria"/>
                <w:b w:val="false"/>
                <w:bCs w:val="false"/>
                <w:i w:val="false"/>
                <w:iCs w:val="false"/>
                <w:strike w:val="false"/>
                <w:color w:val="000000"/>
                <w:sz w:val="24"/>
                <w:szCs w:val="24"/>
              </w:rPr>
              <w:t xml:space="preserve"> — no agent may assign their delegated responsibilities to another person without prior written Board approval.</w:t>
            </w:r>
          </w:p>
          <w:p>
            <w:pPr>
              <w:spacing w:after="100" w:line="408" w:lineRule="auto"/>
              <w:ind w:left="240"/>
            </w:pPr>
            <w:r>
              <w:t xml:space="preserve">5.  </w:t>
            </w:r>
            <w:r>
              <w:rPr>
                <w:rFonts w:ascii="Cambria" w:cs="Cambria" w:eastAsia="Cambria" w:hAnsi="Cambria"/>
                <w:b/>
                <w:bCs/>
                <w:i w:val="false"/>
                <w:iCs w:val="false"/>
                <w:strike w:val="false"/>
                <w:color w:val="000000"/>
                <w:sz w:val="24"/>
                <w:szCs w:val="24"/>
              </w:rPr>
              <w:t xml:space="preserve">Destruction, alteration, or concealment of records</w:t>
            </w:r>
            <w:r>
              <w:rPr>
                <w:rFonts w:ascii="Cambria" w:cs="Cambria" w:eastAsia="Cambria" w:hAnsi="Cambria"/>
                <w:b w:val="false"/>
                <w:bCs w:val="false"/>
                <w:i w:val="false"/>
                <w:iCs w:val="false"/>
                <w:strike w:val="false"/>
                <w:color w:val="000000"/>
                <w:sz w:val="24"/>
                <w:szCs w:val="24"/>
              </w:rPr>
              <w:t xml:space="preserve"> — no agent may destroy, alter, falsify, or conceal any record, log, report, or document related to federally funded programs.</w:t>
            </w:r>
          </w:p>
          <w:p>
            <w:pPr>
              <w:spacing w:after="100" w:line="408" w:lineRule="auto"/>
              <w:ind w:left="240"/>
            </w:pPr>
            <w:r>
              <w:t xml:space="preserve">6.  </w:t>
            </w:r>
            <w:r>
              <w:rPr>
                <w:rFonts w:ascii="Cambria" w:cs="Cambria" w:eastAsia="Cambria" w:hAnsi="Cambria"/>
                <w:b/>
                <w:bCs/>
                <w:i w:val="false"/>
                <w:iCs w:val="false"/>
                <w:strike w:val="false"/>
                <w:color w:val="000000"/>
                <w:sz w:val="24"/>
                <w:szCs w:val="24"/>
              </w:rPr>
              <w:t xml:space="preserve">Unauthorized communication of binding commitments</w:t>
            </w:r>
            <w:r>
              <w:rPr>
                <w:rFonts w:ascii="Cambria" w:cs="Cambria" w:eastAsia="Cambria" w:hAnsi="Cambria"/>
                <w:b w:val="false"/>
                <w:bCs w:val="false"/>
                <w:i w:val="false"/>
                <w:iCs w:val="false"/>
                <w:strike w:val="false"/>
                <w:color w:val="000000"/>
                <w:sz w:val="24"/>
                <w:szCs w:val="24"/>
              </w:rPr>
              <w:t xml:space="preserve"> — no agent may make representations to a government contracting officer or other federal official that bind the FBO to obligations outside the scope of existing delegations or contract terms without Board approval.</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12: Authority Action Log Template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following log template must be used to record all significant actions taken by delegated agents in connection with government-funded programs. The log must be maintained contemporaneously and reviewed monthly by the Compliance Officer.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1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Date</w:t>
            </w:r>
          </w:p>
        </w:tc>
        <w:tc>
          <w:tcPr>
            <w:tcW w:type="pct" w:w="12%"/>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Action Taken</w:t>
            </w:r>
          </w:p>
        </w:tc>
        <w:tc>
          <w:tcPr>
            <w:tcW w:type="pct" w:w="1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Delegated Agent (Name/Title)</w:t>
            </w:r>
          </w:p>
        </w:tc>
        <w:tc>
          <w:tcPr>
            <w:tcW w:type="pct" w:w="1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Authority Ref. (Schedule Item #)</w:t>
            </w:r>
          </w:p>
        </w:tc>
        <w:tc>
          <w:tcPr>
            <w:tcW w:type="pct" w:w="1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Federal Program Ref.</w:t>
            </w:r>
          </w:p>
        </w:tc>
        <w:tc>
          <w:tcPr>
            <w:tcW w:type="pct" w:w="1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Funds Involved (Y/N / Amount)</w:t>
            </w:r>
          </w:p>
        </w:tc>
        <w:tc>
          <w:tcPr>
            <w:tcW w:type="pct" w:w="1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Outcome / Result</w:t>
            </w:r>
          </w:p>
        </w:tc>
        <w:tc>
          <w:tcPr>
            <w:tcW w:type="pct" w:w="1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Reviewed By</w:t>
            </w:r>
          </w:p>
        </w:tc>
        <w:tc>
          <w:tcPr>
            <w:tcW w:type="pct" w:w="12%"/>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Notes / Exceptions</w:t>
            </w:r>
          </w:p>
        </w:tc>
      </w:tr>
      <w:tr>
        <w:trPr>
          <w:tblHeader w:val="false"/>
        </w:trPr>
        <w:tc>
          <w:tcPr>
            <w:tcW w:type="pct" w:w="10%"/>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[MM/DD/YYYY]</w:t>
            </w:r>
          </w:p>
        </w:tc>
        <w:tc>
          <w:tcPr>
            <w:tcW w:type="pct" w:w="12%"/>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[Description of action]</w:t>
            </w:r>
          </w:p>
        </w:tc>
        <w:tc>
          <w:tcPr>
            <w:tcW w:type="pct" w:w="10%"/>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[Name, Title]</w:t>
            </w:r>
          </w:p>
        </w:tc>
        <w:tc>
          <w:tcPr>
            <w:tcW w:type="pct" w:w="10%"/>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[e.g., Item #2]</w:t>
            </w:r>
          </w:p>
        </w:tc>
        <w:tc>
          <w:tcPr>
            <w:tcW w:type="pct" w:w="13%"/>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[e.g., HUD CoC Grant #X-123]</w:t>
            </w:r>
          </w:p>
        </w:tc>
        <w:tc>
          <w:tcPr>
            <w:tcW w:type="pct" w:w="10%"/>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[Y / $X,XXX]</w:t>
            </w:r>
          </w:p>
        </w:tc>
        <w:tc>
          <w:tcPr>
            <w:tcW w:type="pct" w:w="13%"/>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[Completed / Pending / Denied]</w:t>
            </w:r>
          </w:p>
        </w:tc>
        <w:tc>
          <w:tcPr>
            <w:tcW w:type="pct" w:w="10%"/>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[Reviewer Name]</w:t>
            </w:r>
          </w:p>
        </w:tc>
        <w:tc>
          <w:tcPr>
            <w:tcW w:type="pct" w:w="12%"/>
            <w:tcMar>
              <w:top w:type="dxa" w:w="90"/>
              <w:left w:type="dxa" w:w="120"/>
              <w:bottom w:type="dxa" w:w="90"/>
              <w:right w:type="dxa" w:w="120"/>
            </w:tcMar>
          </w:tcPr>
          <w:p>
            <w:r>
              <w:rPr>
                <w:rFonts w:ascii="Cambria" w:cs="Cambria" w:eastAsia="Cambria" w:hAnsi="Cambria"/>
                <w:b w:val="false"/>
                <w:bCs w:val="false"/>
                <w:i/>
                <w:iCs/>
                <w:strike w:val="false"/>
                <w:color w:val="000000"/>
                <w:sz w:val="24"/>
                <w:szCs w:val="24"/>
              </w:rPr>
              <w:t xml:space="preserve">[Any exceptions or notes]</w:t>
            </w:r>
          </w:p>
        </w:tc>
      </w:tr>
      <w:tr>
        <w:trPr>
          <w:tblHeader w:val="false"/>
        </w:trPr>
        <w:tc>
          <w:tcPr>
            <w:tcW w:type="pct" w:w="10%"/>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2%"/>
            <w:tcMar>
              <w:top w:type="dxa" w:w="90"/>
              <w:left w:type="dxa" w:w="120"/>
              <w:bottom w:type="dxa" w:w="90"/>
              <w:right w:type="dxa" w:w="120"/>
            </w:tcMar>
          </w:tcPr>
          <w:p>
            <w:r>
              <w:rPr>
                <w:b w:val="false"/>
                <w:bCs w:val="false"/>
              </w:rPr>
              <w:t xml:space="preserve"/>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CF2"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LOG MAINTENANCE INSTRUCTIONS</w:t>
            </w:r>
          </w:p>
          <w:p>
            <w:pPr>
              <w:spacing w:after="120" w:line="360" w:lineRule="auto"/>
            </w:pPr>
            <w:r>
              <w:rPr>
                <w:rFonts w:ascii="Cambria" w:cs="Cambria" w:eastAsia="Cambria" w:hAnsi="Cambria"/>
                <w:b w:val="false"/>
                <w:bCs w:val="false"/>
                <w:i w:val="false"/>
                <w:iCs w:val="false"/>
                <w:strike w:val="false"/>
                <w:color w:val="000000"/>
                <w:sz w:val="24"/>
                <w:szCs w:val="24"/>
              </w:rPr>
              <w:t xml:space="preserve">Entries must be made within </w:t>
            </w:r>
            <w:r>
              <w:rPr>
                <w:rFonts w:ascii="Cambria" w:cs="Cambria" w:eastAsia="Cambria" w:hAnsi="Cambria"/>
                <w:b/>
                <w:bCs/>
                <w:i w:val="false"/>
                <w:iCs w:val="false"/>
                <w:strike w:val="false"/>
                <w:color w:val="000000"/>
                <w:sz w:val="24"/>
                <w:szCs w:val="24"/>
              </w:rPr>
              <w:t xml:space="preserve">24 hours</w:t>
            </w:r>
            <w:r>
              <w:rPr>
                <w:rFonts w:ascii="Cambria" w:cs="Cambria" w:eastAsia="Cambria" w:hAnsi="Cambria"/>
                <w:b w:val="false"/>
                <w:bCs w:val="false"/>
                <w:i w:val="false"/>
                <w:iCs w:val="false"/>
                <w:strike w:val="false"/>
                <w:color w:val="000000"/>
                <w:sz w:val="24"/>
                <w:szCs w:val="24"/>
              </w:rPr>
              <w:t xml:space="preserve"> of the action. The log must be reviewed by the Compliance Officer no less than monthly. Any anomalies, exceptions, or unauthorized actions must be escalated to the Board of Trustees immediately. The log must be retained for a minimum of </w:t>
            </w:r>
            <w:r>
              <w:rPr>
                <w:rFonts w:ascii="Cambria" w:cs="Cambria" w:eastAsia="Cambria" w:hAnsi="Cambria"/>
                <w:b/>
                <w:bCs/>
                <w:i w:val="false"/>
                <w:iCs w:val="false"/>
                <w:strike w:val="false"/>
                <w:color w:val="000000"/>
                <w:sz w:val="24"/>
                <w:szCs w:val="24"/>
              </w:rPr>
              <w:t xml:space="preserve">3 years</w:t>
            </w:r>
            <w:r>
              <w:rPr>
                <w:rFonts w:ascii="Cambria" w:cs="Cambria" w:eastAsia="Cambria" w:hAnsi="Cambria"/>
                <w:b w:val="false"/>
                <w:bCs w:val="false"/>
                <w:i w:val="false"/>
                <w:iCs w:val="false"/>
                <w:strike w:val="false"/>
                <w:color w:val="000000"/>
                <w:sz w:val="24"/>
                <w:szCs w:val="24"/>
              </w:rPr>
              <w:t xml:space="preserve"> after the final expenditure report per 2 CFR § 200.334.</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13: Compliance Matrix</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following matrix tracks ongoing compliance with key federal requirements applicable to the FBO’s government-funded programs. The Compliance Officer is responsible for maintaining this matrix and presenting it to the Board of Trustees quarterly.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17%"/>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c>
          <w:tcPr>
            <w:tcW w:type="pct" w:w="16%"/>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Source</w:t>
            </w:r>
          </w:p>
        </w:tc>
        <w:tc>
          <w:tcPr>
            <w:tcW w:type="pct" w:w="1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Responsible Party</w:t>
            </w:r>
          </w:p>
        </w:tc>
        <w:tc>
          <w:tcPr>
            <w:tcW w:type="pct" w:w="1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Frequency</w:t>
            </w:r>
          </w:p>
        </w:tc>
        <w:tc>
          <w:tcPr>
            <w:tcW w:type="pct" w:w="15%"/>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Evidence of Compliance</w:t>
            </w:r>
          </w:p>
        </w:tc>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Last Verified</w:t>
            </w:r>
          </w:p>
        </w:tc>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Status</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Fund Separation</w:t>
            </w:r>
            <w:r>
              <w:rPr>
                <w:rFonts w:ascii="Cambria" w:cs="Cambria" w:eastAsia="Cambria" w:hAnsi="Cambria"/>
                <w:b w:val="false"/>
                <w:bCs w:val="false"/>
                <w:i w:val="false"/>
                <w:iCs w:val="false"/>
                <w:strike w:val="false"/>
                <w:color w:val="000000"/>
                <w:sz w:val="24"/>
                <w:szCs w:val="24"/>
              </w:rPr>
              <w:t xml:space="preserve"> — Federal funds segregated from private/religious funds</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EO 13279; 2 CFR § 3474.15(c)</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CFO (Item #2)</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Ongoing; monthly reconciliation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Bank statements; GL reports; reconciliation records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Beneficiary Notice</w:t>
            </w:r>
            <w:r>
              <w:rPr>
                <w:rFonts w:ascii="Cambria" w:cs="Cambria" w:eastAsia="Cambria" w:hAnsi="Cambria"/>
                <w:b w:val="false"/>
                <w:bCs w:val="false"/>
                <w:i w:val="false"/>
                <w:iCs w:val="false"/>
                <w:strike w:val="false"/>
                <w:color w:val="000000"/>
                <w:sz w:val="24"/>
                <w:szCs w:val="24"/>
              </w:rPr>
              <w:t xml:space="preserve"> — Written rights notice provided to all beneficiaries</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EO 13559; agency regs</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 (Item #6)</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At intake; ongoing</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Signed acknowledgment forms; posted notices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Alternative Provider Availability</w:t>
            </w:r>
            <w:r>
              <w:rPr>
                <w:rFonts w:ascii="Cambria" w:cs="Cambria" w:eastAsia="Cambria" w:hAnsi="Cambria"/>
                <w:b w:val="false"/>
                <w:bCs w:val="false"/>
                <w:i w:val="false"/>
                <w:iCs w:val="false"/>
                <w:strike w:val="false"/>
                <w:color w:val="000000"/>
                <w:sz w:val="24"/>
                <w:szCs w:val="24"/>
              </w:rPr>
              <w:t xml:space="preserve"> — Maintain referral directory; process requests</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EO 13559; 2 CFR § 3474.15(d)</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 (Item #6)</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Ongoing; update directory annually</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Referral log; alternative provider directory</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Employment Practices</w:t>
            </w:r>
            <w:r>
              <w:rPr>
                <w:rFonts w:ascii="Cambria" w:cs="Cambria" w:eastAsia="Cambria" w:hAnsi="Cambria"/>
                <w:b w:val="false"/>
                <w:bCs w:val="false"/>
                <w:i w:val="false"/>
                <w:iCs w:val="false"/>
                <w:strike w:val="false"/>
                <w:color w:val="000000"/>
                <w:sz w:val="24"/>
                <w:szCs w:val="24"/>
              </w:rPr>
              <w:t xml:space="preserve"> — Nondiscrimination compliance for federally funded positions</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Title VII; 42 U.S.C. § 2000e-1(a); contract terms</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 / HR (Item #3)</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At each hiring action; annually</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Job descriptions; hiring records; EEO reports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Audit Readiness</w:t>
            </w:r>
            <w:r>
              <w:rPr>
                <w:rFonts w:ascii="Cambria" w:cs="Cambria" w:eastAsia="Cambria" w:hAnsi="Cambria"/>
                <w:b w:val="false"/>
                <w:bCs w:val="false"/>
                <w:i w:val="false"/>
                <w:iCs w:val="false"/>
                <w:strike w:val="false"/>
                <w:color w:val="000000"/>
                <w:sz w:val="24"/>
                <w:szCs w:val="24"/>
              </w:rPr>
              <w:t xml:space="preserve"> — Single Audit compliance (2 CFR Part 200 Subpart F)</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CFR §§ 200.500–200.521</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CFO / Compliance Officer (Items #2, #5)</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Annual audit; ongoing preparation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Audit report; corrective action plans; management letters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Time-and-Effort Reporting</w:t>
            </w:r>
            <w:r>
              <w:rPr>
                <w:rFonts w:ascii="Cambria" w:cs="Cambria" w:eastAsia="Cambria" w:hAnsi="Cambria"/>
                <w:b w:val="false"/>
                <w:bCs w:val="false"/>
                <w:i w:val="false"/>
                <w:iCs w:val="false"/>
                <w:strike w:val="false"/>
                <w:color w:val="000000"/>
                <w:sz w:val="24"/>
                <w:szCs w:val="24"/>
              </w:rPr>
              <w:t xml:space="preserve"> — Personnel activity reports for split-funded staff</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CFR § 200.430(i)</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CFO (Item #2)</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Semi-annual certifications (at minimum)</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Signed time-and-effort reports; payroll records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7</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Lobbying Restrictions</w:t>
            </w:r>
            <w:r>
              <w:rPr>
                <w:rFonts w:ascii="Cambria" w:cs="Cambria" w:eastAsia="Cambria" w:hAnsi="Cambria"/>
                <w:b w:val="false"/>
                <w:bCs w:val="false"/>
                <w:i w:val="false"/>
                <w:iCs w:val="false"/>
                <w:strike w:val="false"/>
                <w:color w:val="000000"/>
                <w:sz w:val="24"/>
                <w:szCs w:val="24"/>
              </w:rPr>
              <w:t xml:space="preserve"> — No federal funds used for lobbying</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31 U.S.C. § 1352; 2 CFR Part 200 Appendix II(J)</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CFO / Compliance Officer (Items #2, #5)</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Ongoing; annual certification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Lobbying disclosure forms; expenditure records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8</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Debarment and Suspension</w:t>
            </w:r>
            <w:r>
              <w:rPr>
                <w:rFonts w:ascii="Cambria" w:cs="Cambria" w:eastAsia="Cambria" w:hAnsi="Cambria"/>
                <w:b w:val="false"/>
                <w:bCs w:val="false"/>
                <w:i w:val="false"/>
                <w:iCs w:val="false"/>
                <w:strike w:val="false"/>
                <w:color w:val="000000"/>
                <w:sz w:val="24"/>
                <w:szCs w:val="24"/>
              </w:rPr>
              <w:t xml:space="preserve"> — Verify contractor/subrecipient eligibility</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CFR Part 180; 2 CFR § 200.214</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Procurement Officer (Item #7)</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At each procurement; at sub-award execution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SAM.gov verification records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9</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Civil Rights Compliance</w:t>
            </w:r>
            <w:r>
              <w:rPr>
                <w:rFonts w:ascii="Cambria" w:cs="Cambria" w:eastAsia="Cambria" w:hAnsi="Cambria"/>
                <w:b w:val="false"/>
                <w:bCs w:val="false"/>
                <w:i w:val="false"/>
                <w:iCs w:val="false"/>
                <w:strike w:val="false"/>
                <w:color w:val="000000"/>
                <w:sz w:val="24"/>
                <w:szCs w:val="24"/>
              </w:rPr>
              <w:t xml:space="preserve"> — Title VI, Section 504, ADA, Age Discrimination Act</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42 U.S.C. § 2000d; 29 U.S.C. § 794; 42 U.S.C. § 12101; 42 U.S.C. § 6101</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 (Item #5)</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Ongoing; annual assurance</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Civil rights assurance forms; training records; grievance procedure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10</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Environmental Review</w:t>
            </w:r>
            <w:r>
              <w:rPr>
                <w:rFonts w:ascii="Cambria" w:cs="Cambria" w:eastAsia="Cambria" w:hAnsi="Cambria"/>
                <w:b w:val="false"/>
                <w:bCs w:val="false"/>
                <w:i w:val="false"/>
                <w:iCs w:val="false"/>
                <w:strike w:val="false"/>
                <w:color w:val="000000"/>
                <w:sz w:val="24"/>
                <w:szCs w:val="24"/>
              </w:rPr>
              <w:t xml:space="preserve"> — NEPA/HUD environmental review if applicable</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24 CFR Parts 50/58 (HUD programs)</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 / Compliance Officer (Items #4, #5)</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Prior to commitment of HUD funds</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Environmental review record; Request for Release of Funds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11</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Drug-Free Workplace</w:t>
            </w:r>
            <w:r>
              <w:rPr>
                <w:rFonts w:ascii="Cambria" w:cs="Cambria" w:eastAsia="Cambria" w:hAnsi="Cambria"/>
                <w:b w:val="false"/>
                <w:bCs w:val="false"/>
                <w:i w:val="false"/>
                <w:iCs w:val="false"/>
                <w:strike w:val="false"/>
                <w:color w:val="000000"/>
                <w:sz w:val="24"/>
                <w:szCs w:val="24"/>
              </w:rPr>
              <w:t xml:space="preserve"> — Certification and policy implementation</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41 U.S.C. §§ 8101–8106; 2 CFR Part 182</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Dir. / HR (Items #3, #4)</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At award; ongoing</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Drug-free workplace policy; employee acknowledgments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r>
        <w:trPr>
          <w:tblHeader w:val="false"/>
        </w:trPr>
        <w:tc>
          <w:tcPr>
            <w:tcW w:type="pct" w:w="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12</w:t>
            </w:r>
          </w:p>
        </w:tc>
        <w:tc>
          <w:tcPr>
            <w:tcW w:type="pct" w:w="17%"/>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Conflict of Interest</w:t>
            </w:r>
            <w:r>
              <w:rPr>
                <w:rFonts w:ascii="Cambria" w:cs="Cambria" w:eastAsia="Cambria" w:hAnsi="Cambria"/>
                <w:b w:val="false"/>
                <w:bCs w:val="false"/>
                <w:i w:val="false"/>
                <w:iCs w:val="false"/>
                <w:strike w:val="false"/>
                <w:color w:val="000000"/>
                <w:sz w:val="24"/>
                <w:szCs w:val="24"/>
              </w:rPr>
              <w:t xml:space="preserve"> — Written policy; disclosure of real/apparent conflicts</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CFR § 200.318(c)(1)</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CFO / Compliance Officer (Items #2, #5)</w:t>
            </w:r>
          </w:p>
        </w:tc>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Ongoing; annual disclosure</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Conflict of interest policy; signed disclosures</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w:t>
            </w:r>
          </w:p>
        </w:tc>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Compliant</w:t>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Section 14: Annual Review and Recertification</w:t>
      </w:r>
    </w:p>
    <w:p>
      <w:pPr>
        <w:pStyle w:val="Heading2"/>
        <w:spacing w:after="120" w:before="360" w:line="312" w:lineRule="auto"/>
      </w:pPr>
      <w:r>
        <w:rPr>
          <w:rFonts w:ascii="Cambria" w:cs="Cambria" w:eastAsia="Cambria" w:hAnsi="Cambria"/>
          <w:color w:val="1B2A4A"/>
          <w:sz w:val="36"/>
          <w:szCs w:val="36"/>
        </w:rPr>
        <w:t xml:space="preserve">14.1 Annual Review Requirement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All delegations of authority must be </w:t>
      </w:r>
      <w:r>
        <w:rPr>
          <w:rFonts w:ascii="Cambria" w:cs="Cambria" w:eastAsia="Cambria" w:hAnsi="Cambria"/>
          <w:b/>
          <w:bCs/>
          <w:i w:val="false"/>
          <w:iCs w:val="false"/>
          <w:strike w:val="false"/>
          <w:color w:val="000000"/>
          <w:sz w:val="24"/>
          <w:szCs w:val="24"/>
        </w:rPr>
        <w:t xml:space="preserve">reviewed annually</w:t>
      </w:r>
      <w:r>
        <w:rPr>
          <w:rFonts w:ascii="Cambria" w:cs="Cambria" w:eastAsia="Cambria" w:hAnsi="Cambria"/>
          <w:b w:val="false"/>
          <w:bCs w:val="false"/>
          <w:i w:val="false"/>
          <w:iCs w:val="false"/>
          <w:strike w:val="false"/>
          <w:color w:val="000000"/>
          <w:sz w:val="24"/>
          <w:szCs w:val="24"/>
        </w:rPr>
        <w:t xml:space="preserve"> by the Principal (Board of Trustees or Board of Elders). The purpose of the annual review is to ensure that delegations remain current, aligned with the FBO’s government contracts, and compliant with all applicable requirements. The review must be completed within 30 days of the delegation anniversary date.</w:t>
      </w:r>
    </w:p>
    <w:p>
      <w:pPr>
        <w:pStyle w:val="Heading2"/>
        <w:spacing w:after="120" w:before="360" w:line="312" w:lineRule="auto"/>
      </w:pPr>
      <w:r>
        <w:rPr>
          <w:rFonts w:ascii="Cambria" w:cs="Cambria" w:eastAsia="Cambria" w:hAnsi="Cambria"/>
          <w:color w:val="1B2A4A"/>
          <w:sz w:val="36"/>
          <w:szCs w:val="36"/>
        </w:rPr>
        <w:t xml:space="preserve">14.2 Annual Review Checklist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7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Review Item</w:t>
            </w:r>
          </w:p>
        </w:tc>
        <w:tc>
          <w:tcPr>
            <w:tcW w:type="pct" w:w="12%"/>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Status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Verify that all delegated agents are still serving in their assigned roles and have not separated from employment or changed positions.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Confirm that the scope of each delegation remains aligned with the current terms, scope, and budget of the applicable government contract(s).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Review the Authority Action Log for the past 12 months and identify any anomalies, unauthorized actions, or patterns of concern.</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Verify that the Compliance Matrix (Section 13) is current and that all items are marked as compliant or have active corrective action plans.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Confirm that training records are up to date for all delegated agents, including training on federal compliance, beneficiary protections, and separation requirements.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Review any audit findings, management letters, or corrective action plans issued during the review period and confirm that all findings have been resolved or are on track.</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7</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Assess whether new delegations are needed due to changes in contract scope, organizational structure, or staffing.</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8</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Recertify or revoke each delegation in writing, with signatures of both the Principal and the Delegated Agent.</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9</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Review the adequacy of internal controls over federal funds and recommend improvements if necessary.</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10</w:t>
            </w:r>
          </w:p>
        </w:tc>
        <w:tc>
          <w:tcPr>
            <w:tcW w:type="pct" w:w="7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Confirm that the FBO’s insurance coverage (general liability, directors &amp; officers, professional liability) remains adequate for the scope of government-funded activities.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 Verified</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14.3 Delegation Recertification Certificate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CF2"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DELEGATION RECERTIFICATION CERTIFICATE</w:t>
            </w:r>
          </w:p>
          <w:p>
            <w:pPr>
              <w:spacing w:after="240" w:line="360" w:lineRule="auto"/>
            </w:pPr>
            <w:r>
              <w:rPr>
                <w:rFonts w:ascii="Cambria" w:cs="Cambria" w:eastAsia="Cambria" w:hAnsi="Cambria"/>
                <w:b w:val="false"/>
                <w:bCs w:val="false"/>
                <w:i w:val="false"/>
                <w:iCs w:val="false"/>
                <w:strike w:val="false"/>
                <w:color w:val="000000"/>
                <w:sz w:val="24"/>
                <w:szCs w:val="24"/>
              </w:rPr>
              <w:t xml:space="preserve">I, the undersigned, hereby certify that I have reviewed the Delegation of Authority assigned to the Delegated Agent identified below, and that:</w:t>
            </w:r>
          </w:p>
          <w:p>
            <w:pPr>
              <w:spacing w:after="100" w:line="408" w:lineRule="auto"/>
              <w:ind w:left="240"/>
            </w:pPr>
            <w:r>
              <w:t xml:space="preserve">1.  </w:t>
            </w:r>
            <w:r>
              <w:rPr>
                <w:rFonts w:ascii="Cambria" w:cs="Cambria" w:eastAsia="Cambria" w:hAnsi="Cambria"/>
                <w:b w:val="false"/>
                <w:bCs w:val="false"/>
                <w:i w:val="false"/>
                <w:iCs w:val="false"/>
                <w:strike w:val="false"/>
                <w:color w:val="000000"/>
                <w:sz w:val="24"/>
                <w:szCs w:val="24"/>
              </w:rPr>
              <w:t xml:space="preserve">The delegation remains necessary for the operation of the FBO’s government-funded program(s);</w:t>
            </w:r>
          </w:p>
          <w:p>
            <w:pPr>
              <w:spacing w:after="100" w:line="408" w:lineRule="auto"/>
              <w:ind w:left="240"/>
            </w:pPr>
            <w:r>
              <w:t xml:space="preserve">2.  </w:t>
            </w:r>
            <w:r>
              <w:rPr>
                <w:rFonts w:ascii="Cambria" w:cs="Cambria" w:eastAsia="Cambria" w:hAnsi="Cambria"/>
                <w:b w:val="false"/>
                <w:bCs w:val="false"/>
                <w:i w:val="false"/>
                <w:iCs w:val="false"/>
                <w:strike w:val="false"/>
                <w:color w:val="000000"/>
                <w:sz w:val="24"/>
                <w:szCs w:val="24"/>
              </w:rPr>
              <w:t xml:space="preserve">The scope, limitations, and conditions of the delegation remain appropriate;</w:t>
            </w:r>
          </w:p>
          <w:p>
            <w:pPr>
              <w:spacing w:after="100" w:line="408" w:lineRule="auto"/>
              <w:ind w:left="240"/>
            </w:pPr>
            <w:r>
              <w:t xml:space="preserve">3.  </w:t>
            </w:r>
            <w:r>
              <w:rPr>
                <w:rFonts w:ascii="Cambria" w:cs="Cambria" w:eastAsia="Cambria" w:hAnsi="Cambria"/>
                <w:b w:val="false"/>
                <w:bCs w:val="false"/>
                <w:i w:val="false"/>
                <w:iCs w:val="false"/>
                <w:strike w:val="false"/>
                <w:color w:val="000000"/>
                <w:sz w:val="24"/>
                <w:szCs w:val="24"/>
              </w:rPr>
              <w:t xml:space="preserve">The Delegated Agent has demonstrated compliance with all applicable requirements during the review period;</w:t>
            </w:r>
          </w:p>
          <w:p>
            <w:pPr>
              <w:spacing w:after="100" w:line="408" w:lineRule="auto"/>
              <w:ind w:left="240"/>
            </w:pPr>
            <w:r>
              <w:t xml:space="preserve">4.  </w:t>
            </w:r>
            <w:r>
              <w:rPr>
                <w:rFonts w:ascii="Cambria" w:cs="Cambria" w:eastAsia="Cambria" w:hAnsi="Cambria"/>
                <w:b w:val="false"/>
                <w:bCs w:val="false"/>
                <w:i w:val="false"/>
                <w:iCs w:val="false"/>
                <w:strike w:val="false"/>
                <w:color w:val="000000"/>
                <w:sz w:val="24"/>
                <w:szCs w:val="24"/>
              </w:rPr>
              <w:t xml:space="preserve">The delegation is hereby </w:t>
            </w:r>
            <w:r>
              <w:rPr>
                <w:rFonts w:ascii="Cambria" w:cs="Cambria" w:eastAsia="Cambria" w:hAnsi="Cambria"/>
                <w:b/>
                <w:bCs/>
                <w:i w:val="false"/>
                <w:iCs w:val="false"/>
                <w:strike w:val="false"/>
                <w:color w:val="000000"/>
                <w:sz w:val="24"/>
                <w:szCs w:val="24"/>
              </w:rPr>
              <w:t xml:space="preserve">RECERTIFIED / REVOKED</w:t>
            </w:r>
            <w:r>
              <w:rPr>
                <w:rFonts w:ascii="Cambria" w:cs="Cambria" w:eastAsia="Cambria" w:hAnsi="Cambria"/>
                <w:b w:val="false"/>
                <w:bCs w:val="false"/>
                <w:i w:val="false"/>
                <w:iCs w:val="false"/>
                <w:strike w:val="false"/>
                <w:color w:val="000000"/>
                <w:sz w:val="24"/>
                <w:szCs w:val="24"/>
              </w:rPr>
              <w:t xml:space="preserve"> (circle one) effective as of the date below.</w:t>
            </w:r>
          </w:p>
          <w:p>
            <w:pPr>
              <w:spacing w:after="120" w:line="360" w:lineRule="auto"/>
            </w:pPr>
            <w:r>
              <w:rPr>
                <w:rFonts w:ascii="Cambria" w:cs="Cambria" w:eastAsia="Cambria" w:hAnsi="Cambria"/>
                <w:b/>
                <w:bCs/>
                <w:i w:val="false"/>
                <w:iCs w:val="false"/>
                <w:strike w:val="false"/>
                <w:color w:val="000000"/>
                <w:sz w:val="24"/>
                <w:szCs w:val="24"/>
              </w:rPr>
              <w:t xml:space="preserve">Delegation Schedule Item #:</w:t>
            </w:r>
            <w:r>
              <w:rPr>
                <w:rFonts w:ascii="Cambria" w:cs="Cambria" w:eastAsia="Cambria" w:hAnsi="Cambria"/>
                <w:b w:val="false"/>
                <w:bCs w:val="false"/>
                <w:i w:val="false"/>
                <w:iCs w:val="false"/>
                <w:strike w:val="false"/>
                <w:color w:val="000000"/>
                <w:sz w:val="24"/>
                <w:szCs w:val="24"/>
              </w:rPr>
              <w:t xml:space="preserve"> _______________</w:t>
            </w:r>
          </w:p>
          <w:p>
            <w:pPr>
              <w:spacing w:after="120" w:line="360" w:lineRule="auto"/>
            </w:pPr>
            <w:r>
              <w:rPr>
                <w:rFonts w:ascii="Cambria" w:cs="Cambria" w:eastAsia="Cambria" w:hAnsi="Cambria"/>
                <w:b/>
                <w:bCs/>
                <w:i w:val="false"/>
                <w:iCs w:val="false"/>
                <w:strike w:val="false"/>
                <w:color w:val="000000"/>
                <w:sz w:val="24"/>
                <w:szCs w:val="24"/>
              </w:rPr>
              <w:t xml:space="preserve">Federal Program(s):</w:t>
            </w:r>
            <w:r>
              <w:rPr>
                <w:rFonts w:ascii="Cambria" w:cs="Cambria" w:eastAsia="Cambria" w:hAnsi="Cambria"/>
                <w:b w:val="false"/>
                <w:bCs w:val="false"/>
                <w:i w:val="false"/>
                <w:iCs w:val="false"/>
                <w:strike w:val="false"/>
                <w:color w:val="000000"/>
                <w:sz w:val="24"/>
                <w:szCs w:val="24"/>
              </w:rPr>
              <w:t xml:space="preserve"> _______________________________________________</w:t>
            </w:r>
          </w:p>
          <w:p>
            <w:pPr>
              <w:spacing w:after="120" w:line="360" w:lineRule="auto"/>
            </w:pPr>
            <w:r>
              <w:rPr>
                <w:rFonts w:ascii="Cambria" w:cs="Cambria" w:eastAsia="Cambria" w:hAnsi="Cambria"/>
                <w:b/>
                <w:bCs/>
                <w:i w:val="false"/>
                <w:iCs w:val="false"/>
                <w:strike w:val="false"/>
                <w:color w:val="000000"/>
                <w:sz w:val="24"/>
                <w:szCs w:val="24"/>
              </w:rPr>
              <w:t xml:space="preserve">Principal (Authorized Representative of the Board):</w:t>
            </w:r>
          </w:p>
          <w:p>
            <w:pPr>
              <w:spacing w:after="120" w:line="360" w:lineRule="auto"/>
            </w:pPr>
            <w:r>
              <w:rPr>
                <w:rFonts w:ascii="Cambria" w:cs="Cambria" w:eastAsia="Cambria" w:hAnsi="Cambria"/>
                <w:b/>
                <w:bCs/>
                <w:i w:val="false"/>
                <w:iCs w:val="false"/>
                <w:strike w:val="false"/>
                <w:color w:val="000000"/>
                <w:sz w:val="24"/>
                <w:szCs w:val="24"/>
              </w:rPr>
              <w:t xml:space="preserve">Name: _______________________________    Title: _______________________________</w:t>
            </w:r>
          </w:p>
          <w:p>
            <w:pPr>
              <w:spacing w:after="120" w:line="360" w:lineRule="auto"/>
            </w:pPr>
            <w:r>
              <w:rPr>
                <w:rFonts w:ascii="Cambria" w:cs="Cambria" w:eastAsia="Cambria" w:hAnsi="Cambria"/>
                <w:b w:val="false"/>
                <w:bCs w:val="false"/>
                <w:i w:val="false"/>
                <w:iCs w:val="false"/>
                <w:strike w:val="false"/>
                <w:color w:val="666666"/>
                <w:sz w:val="20"/>
                <w:szCs w:val="20"/>
              </w:rPr>
              <w:t xml:space="preserve">Date: _______________________________</w:t>
            </w:r>
          </w:p>
          <w:p>
            <w:pPr>
              <w:spacing w:after="120" w:line="360" w:lineRule="auto"/>
            </w:pPr>
            <w:r>
              <w:rPr>
                <w:rFonts w:ascii="Cambria" w:cs="Cambria" w:eastAsia="Cambria" w:hAnsi="Cambria"/>
                <w:b/>
                <w:bCs/>
                <w:i w:val="false"/>
                <w:iCs w:val="false"/>
                <w:strike w:val="false"/>
                <w:color w:val="000000"/>
                <w:sz w:val="24"/>
                <w:szCs w:val="24"/>
              </w:rPr>
              <w:t xml:space="preserve">Delegated Agent:</w:t>
            </w:r>
          </w:p>
          <w:p>
            <w:pPr>
              <w:spacing w:after="120" w:line="360" w:lineRule="auto"/>
            </w:pPr>
            <w:r>
              <w:rPr>
                <w:rFonts w:ascii="Cambria" w:cs="Cambria" w:eastAsia="Cambria" w:hAnsi="Cambria"/>
                <w:b/>
                <w:bCs/>
                <w:i w:val="false"/>
                <w:iCs w:val="false"/>
                <w:strike w:val="false"/>
                <w:color w:val="000000"/>
                <w:sz w:val="24"/>
                <w:szCs w:val="24"/>
              </w:rPr>
              <w:t xml:space="preserve">Name: _______________________________    Title: _______________________________</w:t>
            </w:r>
          </w:p>
          <w:p>
            <w:pPr>
              <w:spacing w:after="120" w:line="360" w:lineRule="auto"/>
            </w:pPr>
            <w:r>
              <w:rPr>
                <w:rFonts w:ascii="Cambria" w:cs="Cambria" w:eastAsia="Cambria" w:hAnsi="Cambria"/>
                <w:b w:val="false"/>
                <w:bCs w:val="false"/>
                <w:i w:val="false"/>
                <w:iCs w:val="false"/>
                <w:strike w:val="false"/>
                <w:color w:val="666666"/>
                <w:sz w:val="20"/>
                <w:szCs w:val="20"/>
              </w:rPr>
              <w:t xml:space="preserve">Date: _______________________________</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15: Audit Trail Requirements</w:t>
      </w:r>
    </w:p>
    <w:p>
      <w:pPr>
        <w:pStyle w:val="Heading2"/>
        <w:spacing w:after="120" w:before="360" w:line="312" w:lineRule="auto"/>
      </w:pPr>
      <w:r>
        <w:rPr>
          <w:rFonts w:ascii="Cambria" w:cs="Cambria" w:eastAsia="Cambria" w:hAnsi="Cambria"/>
          <w:color w:val="1B2A4A"/>
          <w:sz w:val="36"/>
          <w:szCs w:val="36"/>
        </w:rPr>
        <w:t xml:space="preserve">15.1 Documentation Standard</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All delegated actions involving federal funds must be </w:t>
      </w:r>
      <w:r>
        <w:rPr>
          <w:rFonts w:ascii="Cambria" w:cs="Cambria" w:eastAsia="Cambria" w:hAnsi="Cambria"/>
          <w:b/>
          <w:bCs/>
          <w:i w:val="false"/>
          <w:iCs w:val="false"/>
          <w:strike w:val="false"/>
          <w:color w:val="000000"/>
          <w:sz w:val="24"/>
          <w:szCs w:val="24"/>
        </w:rPr>
        <w:t xml:space="preserve">documented within 24 hours</w:t>
      </w:r>
      <w:r>
        <w:rPr>
          <w:rFonts w:ascii="Cambria" w:cs="Cambria" w:eastAsia="Cambria" w:hAnsi="Cambria"/>
          <w:b w:val="false"/>
          <w:bCs w:val="false"/>
          <w:i w:val="false"/>
          <w:iCs w:val="false"/>
          <w:strike w:val="false"/>
          <w:color w:val="000000"/>
          <w:sz w:val="24"/>
          <w:szCs w:val="24"/>
        </w:rPr>
        <w:t xml:space="preserve"> of the action in the Authority Action Log (Section 12). Documentation must include sufficient detail to enable an independent reviewer to understand the nature of the action, the authority under which it was taken, and the funds (if any) involved.</w:t>
      </w:r>
    </w:p>
    <w:p>
      <w:pPr>
        <w:pStyle w:val="Heading2"/>
        <w:spacing w:after="120" w:before="360" w:line="312" w:lineRule="auto"/>
      </w:pPr>
      <w:r>
        <w:rPr>
          <w:rFonts w:ascii="Cambria" w:cs="Cambria" w:eastAsia="Cambria" w:hAnsi="Cambria"/>
          <w:color w:val="1B2A4A"/>
          <w:sz w:val="36"/>
          <w:szCs w:val="36"/>
        </w:rPr>
        <w:t xml:space="preserve">15.2 Records Retention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Authority Action Log and all supporting documentation must be </w:t>
      </w:r>
      <w:r>
        <w:rPr>
          <w:rFonts w:ascii="Cambria" w:cs="Cambria" w:eastAsia="Cambria" w:hAnsi="Cambria"/>
          <w:b/>
          <w:bCs/>
          <w:i w:val="false"/>
          <w:iCs w:val="false"/>
          <w:strike w:val="false"/>
          <w:color w:val="000000"/>
          <w:sz w:val="24"/>
          <w:szCs w:val="24"/>
        </w:rPr>
        <w:t xml:space="preserve">retained for a minimum of 3 years</w:t>
      </w:r>
      <w:r>
        <w:rPr>
          <w:rFonts w:ascii="Cambria" w:cs="Cambria" w:eastAsia="Cambria" w:hAnsi="Cambria"/>
          <w:b w:val="false"/>
          <w:bCs w:val="false"/>
          <w:i w:val="false"/>
          <w:iCs w:val="false"/>
          <w:strike w:val="false"/>
          <w:color w:val="000000"/>
          <w:sz w:val="24"/>
          <w:szCs w:val="24"/>
        </w:rPr>
        <w:t xml:space="preserve"> after the date of submission of the final expenditure report for the applicable federal award, or as specified in the terms and conditions of the award, whichever is longer. See </w:t>
      </w:r>
      <w:r>
        <w:rPr>
          <w:rFonts w:ascii="Cambria" w:cs="Cambria" w:eastAsia="Cambria" w:hAnsi="Cambria"/>
          <w:b/>
          <w:bCs/>
          <w:i w:val="false"/>
          <w:iCs w:val="false"/>
          <w:strike w:val="false"/>
          <w:color w:val="000000"/>
          <w:sz w:val="24"/>
          <w:szCs w:val="24"/>
        </w:rPr>
        <w:t xml:space="preserve">2 CFR § 200.334</w:t>
      </w:r>
      <w:r>
        <w:rPr>
          <w:rFonts w:ascii="Cambria" w:cs="Cambria" w:eastAsia="Cambria" w:hAnsi="Cambria"/>
          <w:b w:val="false"/>
          <w:bCs w:val="false"/>
          <w:i w:val="false"/>
          <w:iCs w:val="false"/>
          <w:strike w:val="false"/>
          <w:color w:val="000000"/>
          <w:sz w:val="24"/>
          <w:szCs w:val="24"/>
        </w:rPr>
        <w:t xml:space="preserv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If any litigation, claim, audit, or investigation is pending at the end of the 3-year period, records must be retained until the matter is fully resolved and all related actions are complete.</w:t>
      </w:r>
    </w:p>
    <w:p>
      <w:pPr>
        <w:pStyle w:val="Heading2"/>
        <w:spacing w:after="120" w:before="360" w:line="312" w:lineRule="auto"/>
      </w:pPr>
      <w:r>
        <w:rPr>
          <w:rFonts w:ascii="Cambria" w:cs="Cambria" w:eastAsia="Cambria" w:hAnsi="Cambria"/>
          <w:color w:val="1B2A4A"/>
          <w:sz w:val="36"/>
          <w:szCs w:val="36"/>
        </w:rPr>
        <w:t xml:space="preserve">15.3 Inspection Rights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All records related to the government-funded program, including the Authority Action Log, financial records, personnel files, beneficiary records, and compliance documentation, must be made available for inspection, copying, and audit by: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federal awarding agency</w:t>
      </w:r>
      <w:r>
        <w:rPr>
          <w:rFonts w:ascii="Cambria" w:cs="Cambria" w:eastAsia="Cambria" w:hAnsi="Cambria"/>
          <w:b w:val="false"/>
          <w:bCs w:val="false"/>
          <w:i w:val="false"/>
          <w:iCs w:val="false"/>
          <w:strike w:val="false"/>
          <w:color w:val="000000"/>
          <w:sz w:val="24"/>
          <w:szCs w:val="24"/>
        </w:rPr>
        <w:t xml:space="preserve"> and its authorized representatives;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Inspectors General</w:t>
      </w:r>
      <w:r>
        <w:rPr>
          <w:rFonts w:ascii="Cambria" w:cs="Cambria" w:eastAsia="Cambria" w:hAnsi="Cambria"/>
          <w:b w:val="false"/>
          <w:bCs w:val="false"/>
          <w:i w:val="false"/>
          <w:iCs w:val="false"/>
          <w:strike w:val="false"/>
          <w:color w:val="000000"/>
          <w:sz w:val="24"/>
          <w:szCs w:val="24"/>
        </w:rPr>
        <w:t xml:space="preserve"> of the applicable federal departments;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w:t>
      </w:r>
      <w:r>
        <w:rPr>
          <w:rFonts w:ascii="Cambria" w:cs="Cambria" w:eastAsia="Cambria" w:hAnsi="Cambria"/>
          <w:b/>
          <w:bCs/>
          <w:i w:val="false"/>
          <w:iCs w:val="false"/>
          <w:strike w:val="false"/>
          <w:color w:val="000000"/>
          <w:sz w:val="24"/>
          <w:szCs w:val="24"/>
        </w:rPr>
        <w:t xml:space="preserve">Comptroller General of the United States</w:t>
      </w:r>
      <w:r>
        <w:rPr>
          <w:rFonts w:ascii="Cambria" w:cs="Cambria" w:eastAsia="Cambria" w:hAnsi="Cambria"/>
          <w:b w:val="false"/>
          <w:bCs w:val="false"/>
          <w:i w:val="false"/>
          <w:iCs w:val="false"/>
          <w:strike w:val="false"/>
          <w:color w:val="000000"/>
          <w:sz w:val="24"/>
          <w:szCs w:val="24"/>
        </w:rPr>
        <w:t xml:space="preserve"> (Government Accountability Office); and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Any </w:t>
      </w:r>
      <w:r>
        <w:rPr>
          <w:rFonts w:ascii="Cambria" w:cs="Cambria" w:eastAsia="Cambria" w:hAnsi="Cambria"/>
          <w:b/>
          <w:bCs/>
          <w:i w:val="false"/>
          <w:iCs w:val="false"/>
          <w:strike w:val="false"/>
          <w:color w:val="000000"/>
          <w:sz w:val="24"/>
          <w:szCs w:val="24"/>
        </w:rPr>
        <w:t xml:space="preserve">pass-through entity</w:t>
      </w:r>
      <w:r>
        <w:rPr>
          <w:rFonts w:ascii="Cambria" w:cs="Cambria" w:eastAsia="Cambria" w:hAnsi="Cambria"/>
          <w:b w:val="false"/>
          <w:bCs w:val="false"/>
          <w:i w:val="false"/>
          <w:iCs w:val="false"/>
          <w:strike w:val="false"/>
          <w:color w:val="000000"/>
          <w:sz w:val="24"/>
          <w:szCs w:val="24"/>
        </w:rPr>
        <w:t xml:space="preserve"> (state or local government) and its authorized representatives.</w:t>
      </w:r>
    </w:p>
    <w:p>
      <w:pPr>
        <w:pStyle w:val="Heading2"/>
        <w:spacing w:after="120" w:before="360" w:line="312" w:lineRule="auto"/>
      </w:pPr>
      <w:r>
        <w:rPr>
          <w:rFonts w:ascii="Cambria" w:cs="Cambria" w:eastAsia="Cambria" w:hAnsi="Cambria"/>
          <w:color w:val="1B2A4A"/>
          <w:sz w:val="36"/>
          <w:szCs w:val="36"/>
        </w:rPr>
        <w:t xml:space="preserve">15.4 Digital Records Standards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Where records are maintained electronically, the FBO must ensure: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Access controls</w:t>
      </w:r>
      <w:r>
        <w:rPr>
          <w:rFonts w:ascii="Cambria" w:cs="Cambria" w:eastAsia="Cambria" w:hAnsi="Cambria"/>
          <w:b w:val="false"/>
          <w:bCs w:val="false"/>
          <w:i w:val="false"/>
          <w:iCs w:val="false"/>
          <w:strike w:val="false"/>
          <w:color w:val="000000"/>
          <w:sz w:val="24"/>
          <w:szCs w:val="24"/>
        </w:rPr>
        <w:t xml:space="preserve"> — role-based permissions limiting access to authorized personnel only.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Regular backups</w:t>
      </w:r>
      <w:r>
        <w:rPr>
          <w:rFonts w:ascii="Cambria" w:cs="Cambria" w:eastAsia="Cambria" w:hAnsi="Cambria"/>
          <w:b w:val="false"/>
          <w:bCs w:val="false"/>
          <w:i w:val="false"/>
          <w:iCs w:val="false"/>
          <w:strike w:val="false"/>
          <w:color w:val="000000"/>
          <w:sz w:val="24"/>
          <w:szCs w:val="24"/>
        </w:rPr>
        <w:t xml:space="preserve"> — at minimum weekly, stored in a secure off-site or cloud location.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Integrity protections</w:t>
      </w:r>
      <w:r>
        <w:rPr>
          <w:rFonts w:ascii="Cambria" w:cs="Cambria" w:eastAsia="Cambria" w:hAnsi="Cambria"/>
          <w:b w:val="false"/>
          <w:bCs w:val="false"/>
          <w:i w:val="false"/>
          <w:iCs w:val="false"/>
          <w:strike w:val="false"/>
          <w:color w:val="000000"/>
          <w:sz w:val="24"/>
          <w:szCs w:val="24"/>
        </w:rPr>
        <w:t xml:space="preserve"> — measures to prevent unauthorized alteration of records (e.g., audit logs, version control).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Disaster recovery</w:t>
      </w:r>
      <w:r>
        <w:rPr>
          <w:rFonts w:ascii="Cambria" w:cs="Cambria" w:eastAsia="Cambria" w:hAnsi="Cambria"/>
          <w:b w:val="false"/>
          <w:bCs w:val="false"/>
          <w:i w:val="false"/>
          <w:iCs w:val="false"/>
          <w:strike w:val="false"/>
          <w:color w:val="000000"/>
          <w:sz w:val="24"/>
          <w:szCs w:val="24"/>
        </w:rPr>
        <w:t xml:space="preserve"> — documented plan for recovery of digital records in the event of system failure, natural disaster, or cyberattack.</w:t>
      </w:r>
    </w:p>
    <w:p>
      <w:pPr>
        <w:pStyle w:val="Heading1"/>
        <w:spacing w:after="120" w:before="480" w:line="312" w:lineRule="auto"/>
      </w:pPr>
      <w:r>
        <w:rPr>
          <w:rFonts w:ascii="Cambria" w:cs="Cambria" w:eastAsia="Cambria" w:hAnsi="Cambria"/>
          <w:color w:val="1B2A4A"/>
          <w:sz w:val="48"/>
          <w:szCs w:val="48"/>
        </w:rPr>
        <w:t xml:space="preserve">Section 16: Enforcement and Corrective Action</w:t>
      </w:r>
    </w:p>
    <w:p>
      <w:pPr>
        <w:pStyle w:val="Heading2"/>
        <w:spacing w:after="120" w:before="360" w:line="312" w:lineRule="auto"/>
      </w:pPr>
      <w:r>
        <w:rPr>
          <w:rFonts w:ascii="Cambria" w:cs="Cambria" w:eastAsia="Cambria" w:hAnsi="Cambria"/>
          <w:color w:val="1B2A4A"/>
          <w:sz w:val="36"/>
          <w:szCs w:val="36"/>
        </w:rPr>
        <w:t xml:space="preserve">16.1 Handling Delegation Violations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When a delegated agent takes an action that exceeds the scope of their delegation, violates a Red Line, or otherwise breaches the requirements of this framework, the following step-by-step process shall be followed: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Step</w:t>
            </w:r>
          </w:p>
        </w:tc>
        <w:tc>
          <w:tcPr>
            <w:tcW w:type="pct" w:w="14%"/>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Action</w:t>
            </w:r>
          </w:p>
        </w:tc>
        <w:tc>
          <w:tcPr>
            <w:tcW w:type="pct" w:w="62%"/>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Description</w:t>
            </w:r>
          </w:p>
        </w:tc>
        <w:tc>
          <w:tcPr>
            <w:tcW w:type="pct" w:w="15%"/>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Responsible Party</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Step 1</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Detection and Initial Report</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The violation is identified through routine monitoring, audit review, beneficiary complaint, or self-disclosure. The individual identifying the violation must report it to the Compliance Officer within </w:t>
            </w:r>
            <w:r>
              <w:rPr>
                <w:rFonts w:ascii="Cambria" w:cs="Cambria" w:eastAsia="Cambria" w:hAnsi="Cambria"/>
                <w:b/>
                <w:bCs/>
                <w:i w:val="false"/>
                <w:iCs w:val="false"/>
                <w:strike w:val="false"/>
                <w:color w:val="000000"/>
                <w:sz w:val="24"/>
                <w:szCs w:val="24"/>
              </w:rPr>
              <w:t xml:space="preserve">24 hours</w:t>
            </w:r>
            <w:r>
              <w:rPr>
                <w:rFonts w:ascii="Cambria" w:cs="Cambria" w:eastAsia="Cambria" w:hAnsi="Cambria"/>
                <w:b w:val="false"/>
                <w:bCs w:val="false"/>
                <w:i w:val="false"/>
                <w:iCs w:val="false"/>
                <w:strike w:val="false"/>
                <w:color w:val="000000"/>
                <w:sz w:val="24"/>
                <w:szCs w:val="24"/>
              </w:rPr>
              <w:t xml:space="preserve">.</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Any staff member; Compliance Officer</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Step 2</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Preliminary Assessment</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The Compliance Officer conducts a preliminary assessment to determine the nature, scope, and severity of the violation. The Compliance Officer determines whether the violation is minor (procedural) or major (Red Line violation, financial impact, or legal exposure).</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Step 3</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Interim Measures</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If the violation is ongoing or poses immediate risk, the Compliance Officer may </w:t>
            </w:r>
            <w:r>
              <w:rPr>
                <w:rFonts w:ascii="Cambria" w:cs="Cambria" w:eastAsia="Cambria" w:hAnsi="Cambria"/>
                <w:b/>
                <w:bCs/>
                <w:i w:val="false"/>
                <w:iCs w:val="false"/>
                <w:strike w:val="false"/>
                <w:color w:val="000000"/>
                <w:sz w:val="24"/>
                <w:szCs w:val="24"/>
              </w:rPr>
              <w:t xml:space="preserve">temporarily suspend</w:t>
            </w:r>
            <w:r>
              <w:rPr>
                <w:rFonts w:ascii="Cambria" w:cs="Cambria" w:eastAsia="Cambria" w:hAnsi="Cambria"/>
                <w:b w:val="false"/>
                <w:bCs w:val="false"/>
                <w:i w:val="false"/>
                <w:iCs w:val="false"/>
                <w:strike w:val="false"/>
                <w:color w:val="000000"/>
                <w:sz w:val="24"/>
                <w:szCs w:val="24"/>
              </w:rPr>
              <w:t xml:space="preserve"> the delegated agent’s authority pending investigation. For major violations, the Board Chair must be notified immediately.</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 Board Chair</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Step 4</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Investigation</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 formal investigation is conducted. The investigation must include: documentation review, interviews with the delegated agent and witnesses, assessment of financial impact, and determination of root cause. The investigation must be completed within </w:t>
            </w:r>
            <w:r>
              <w:rPr>
                <w:rFonts w:ascii="Cambria" w:cs="Cambria" w:eastAsia="Cambria" w:hAnsi="Cambria"/>
                <w:b/>
                <w:bCs/>
                <w:i w:val="false"/>
                <w:iCs w:val="false"/>
                <w:strike w:val="false"/>
                <w:color w:val="000000"/>
                <w:sz w:val="24"/>
                <w:szCs w:val="24"/>
              </w:rPr>
              <w:t xml:space="preserve">15 business days</w:t>
            </w:r>
            <w:r>
              <w:rPr>
                <w:rFonts w:ascii="Cambria" w:cs="Cambria" w:eastAsia="Cambria" w:hAnsi="Cambria"/>
                <w:b w:val="false"/>
                <w:bCs w:val="false"/>
                <w:i w:val="false"/>
                <w:iCs w:val="false"/>
                <w:strike w:val="false"/>
                <w:color w:val="000000"/>
                <w:sz w:val="24"/>
                <w:szCs w:val="24"/>
              </w:rPr>
              <w:t xml:space="preserve">.</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 Board-designated investigator</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Step 5</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Review and Decision</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The investigation report is presented to the Board of Trustees. The Board determines the appropriate corrective action, which may include: written reprimand, retraining, modification of delegation scope, revocation of delegation, termination of employment, or financial recovery action.</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Board of Trustees</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Step 6</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Corrective Action Plan and Reporting</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The Board approves a corrective action plan (CAP) with specific actions, deadlines, and responsible parties. If the violation involves federal funds or regulatory noncompliance, the Compliance Officer must </w:t>
            </w:r>
            <w:r>
              <w:rPr>
                <w:rFonts w:ascii="Cambria" w:cs="Cambria" w:eastAsia="Cambria" w:hAnsi="Cambria"/>
                <w:b/>
                <w:bCs/>
                <w:i w:val="false"/>
                <w:iCs w:val="false"/>
                <w:strike w:val="false"/>
                <w:color w:val="000000"/>
                <w:sz w:val="24"/>
                <w:szCs w:val="24"/>
              </w:rPr>
              <w:t xml:space="preserve">report the violation to the contracting officer or awarding agency</w:t>
            </w:r>
            <w:r>
              <w:rPr>
                <w:rFonts w:ascii="Cambria" w:cs="Cambria" w:eastAsia="Cambria" w:hAnsi="Cambria"/>
                <w:b w:val="false"/>
                <w:bCs w:val="false"/>
                <w:i w:val="false"/>
                <w:iCs w:val="false"/>
                <w:strike w:val="false"/>
                <w:color w:val="000000"/>
                <w:sz w:val="24"/>
                <w:szCs w:val="24"/>
              </w:rPr>
              <w:t xml:space="preserve"> as required by the terms of the award and applicable regulations.</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 Board of Trustees</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Step 7</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Follow-Up and Closure</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The Compliance Officer monitors implementation of the CAP and verifies that all corrective actions have been completed. The matter is documented in the Authority Action Log and the Compliance Matrix is updated. A final report is provided to the Board confirming closure.</w:t>
            </w:r>
          </w:p>
        </w:tc>
        <w:tc>
          <w:tcPr>
            <w:tcW w:type="pct" w:w="1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Compliance Officer</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2A4A" w:color="auto" w:val="clear"/>
            <w:tcMar>
              <w:top w:type="dxa" w:w="150"/>
              <w:left w:type="dxa" w:w="210"/>
              <w:bottom w:type="dxa" w:w="150"/>
              <w:right w:type="dxa" w:w="210"/>
            </w:tcMar>
          </w:tcPr>
          <w:p>
            <w:pPr>
              <w:spacing w:after="120" w:line="408" w:lineRule="auto"/>
            </w:pPr>
            <w:r>
              <w:t xml:space="preserve">PART III: REIMBURSEMENT FOR COMMUNICATION SYSTEMS</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17: Overview and Legal Basis for Reimbursement</w:t>
      </w:r>
    </w:p>
    <w:p>
      <w:pPr>
        <w:pStyle w:val="Heading2"/>
        <w:spacing w:after="120" w:before="360" w:line="312" w:lineRule="auto"/>
      </w:pPr>
      <w:r>
        <w:rPr>
          <w:rFonts w:ascii="Cambria" w:cs="Cambria" w:eastAsia="Cambria" w:hAnsi="Cambria"/>
          <w:color w:val="1B2A4A"/>
          <w:sz w:val="36"/>
          <w:szCs w:val="36"/>
        </w:rPr>
        <w:t xml:space="preserve">17.1 Overview</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Reverend Brian Michael Frost, GS-1051-13 Music Specialist, created communication systems that united communities through music as part of the Church’s core mission. These systems were developed in connection with the 2008 Faith-Based and Community Initiative (Executive Order 13199, as amended by Executive Order 13498). The United States government received substantial value from these communication systems without providing full compensation to Reverend Frost or his Church. This Part establishes the legal framework, calculation methodology, and procedural roadmap for obtaining reimbursement.</w:t>
      </w:r>
    </w:p>
    <w:p>
      <w:pPr>
        <w:pStyle w:val="Heading2"/>
        <w:spacing w:after="120" w:before="360" w:line="312" w:lineRule="auto"/>
      </w:pPr>
      <w:r>
        <w:rPr>
          <w:rFonts w:ascii="Cambria" w:cs="Cambria" w:eastAsia="Cambria" w:hAnsi="Cambria"/>
          <w:color w:val="1B2A4A"/>
          <w:sz w:val="36"/>
          <w:szCs w:val="36"/>
        </w:rPr>
        <w:t xml:space="preserve">17.2 Reimbursement Pathways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following seven (7) independent legal pathways support Reverend Frost’s right to reimbursement. Each pathway may be pursued individually or in combination: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16%"/>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Pathway</w:t>
            </w:r>
          </w:p>
        </w:tc>
        <w:tc>
          <w:tcPr>
            <w:tcW w:type="pct" w:w="14%"/>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Legal Authority</w:t>
            </w:r>
          </w:p>
        </w:tc>
        <w:tc>
          <w:tcPr>
            <w:tcW w:type="pct" w:w="62%"/>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Description</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1</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Tucker Act Implied Contract Claim</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28 U.S.C. § 1491(a)(1)</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Claim against the United States for compensation under an implied-in-fact contract arising from the 2008 FBCI partnership. Filed in the U.S. Court of Federal Claims.</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2</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Copyright/Patent Compensation</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28 U.S.C. § 1498</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Compensation for government use or manufacture of copyrighted works or patented inventions without authorization. Requires copyright registration (see companion document).</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3</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FAR Precontract Cost Recovery</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48 CFR § 31.205-32</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Recovery of costs incurred before contract execution when those costs were necessary to comply with the proposed contract and were incurred with the expectation of contract award.</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4</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Contract Disputes Act Claim</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41 U.S.C. § 7103</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Formal claim submitted to the contracting officer for a decision. Provides administrative remedies before judicial review.</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5</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Federal Grant Reimbursement</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CFR Part 200</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Recovery of allowable costs incurred in the performance of a federal award, including retroactive capacity-building grants.</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6</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Back Pay Authority</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 U.S.C. § 5596</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Recovery of pay, allowances, and differentials owed to a federal employee as a result of an unjustified or unwarranted personnel action.</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7</w:t>
            </w:r>
          </w:p>
        </w:tc>
        <w:tc>
          <w:tcPr>
            <w:tcW w:type="pct" w:w="1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IP Rights Retention and Licensing</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FAR Subparts 27.3 and 27.4</w:t>
            </w:r>
          </w:p>
        </w:tc>
        <w:tc>
          <w:tcPr>
            <w:tcW w:type="pct" w:w="6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Assertion of limited rights (technical data) and restricted computer software rights for systems developed at private expense. Government receives minimum necessary license; Reverend Frost retains full commercialization rights.</w:t>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Section 18: Sum Certain Framework</w:t>
      </w:r>
    </w:p>
    <w:p>
      <w:pPr>
        <w:pStyle w:val="Heading2"/>
        <w:spacing w:after="120" w:before="360" w:line="312" w:lineRule="auto"/>
      </w:pPr>
      <w:r>
        <w:rPr>
          <w:rFonts w:ascii="Cambria" w:cs="Cambria" w:eastAsia="Cambria" w:hAnsi="Cambria"/>
          <w:color w:val="1B2A4A"/>
          <w:sz w:val="36"/>
          <w:szCs w:val="36"/>
        </w:rPr>
        <w:t xml:space="preserve">18.1 Methodology</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sum certain represents the total compensable value of the communication systems developed, deployed, and maintained by Reverend Frost from 2008 through 2026 — an 18-year period. The calculation uses the GS-13 Step 10 Los Angeles-Long Beach locality rate as the benchmark for the value of labor performed, reflecting the professional-level competency required for a Music Specialist at the senior grade level.</w:t>
      </w:r>
    </w:p>
    <w:p>
      <w:pPr>
        <w:pStyle w:val="Heading2"/>
        <w:spacing w:after="120" w:before="360" w:line="312" w:lineRule="auto"/>
      </w:pPr>
      <w:r>
        <w:rPr>
          <w:rFonts w:ascii="Cambria" w:cs="Cambria" w:eastAsia="Cambria" w:hAnsi="Cambria"/>
          <w:color w:val="1B2A4A"/>
          <w:sz w:val="36"/>
          <w:szCs w:val="36"/>
        </w:rPr>
        <w:t xml:space="preserve">18.2 Preliminary Sum Certain Estimate — Communication Systems (2008–2026, 18 Years)</w:t>
      </w:r>
    </w:p>
    <w:p>
      <w:pPr>
        <w:spacing w:after="120" w:before="60" w:line="360" w:lineRule="auto"/>
      </w:pPr>
      <w:r>
        <w:rPr>
          <w:rFonts w:ascii="Cambria" w:cs="Cambria" w:eastAsia="Cambria" w:hAnsi="Cambria"/>
          <w:b/>
          <w:bCs/>
          <w:i w:val="false"/>
          <w:iCs w:val="false"/>
          <w:strike w:val="false"/>
          <w:color w:val="000000"/>
          <w:sz w:val="24"/>
          <w:szCs w:val="24"/>
        </w:rPr>
        <w:t xml:space="preserve">Hourly Rate:</w:t>
      </w:r>
      <w:r>
        <w:rPr>
          <w:rFonts w:ascii="Cambria" w:cs="Cambria" w:eastAsia="Cambria" w:hAnsi="Cambria"/>
          <w:b w:val="false"/>
          <w:bCs w:val="false"/>
          <w:i w:val="false"/>
          <w:iCs w:val="false"/>
          <w:strike w:val="false"/>
          <w:color w:val="000000"/>
          <w:sz w:val="24"/>
          <w:szCs w:val="24"/>
        </w:rPr>
        <w:t xml:space="preserve"> $77.29/hr (GS-13 Step 10, Los Angeles-Long Beach Locality,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45%"/>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Category</w:t>
            </w:r>
          </w:p>
        </w:tc>
        <w:tc>
          <w:tcPr>
            <w:tcW w:type="pct" w:w="34%"/>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Calculation</w:t>
            </w:r>
          </w:p>
        </w:tc>
        <w:tc>
          <w:tcPr>
            <w:tcW w:type="pct" w:w="1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Amount</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1</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Development Labor</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18,720 hours (20 hrs/wk × 52 wks × 18 yrs) × $77.29/hr</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$1,446,869</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2</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Equipment &amp; Software</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$5,000/yr × 18 years</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$90,000</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3</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Infrastructure &amp; Hosting</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$3,000/yr × 18 years</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$54,000</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4</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Operations &amp; Maintenance</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$4,000/yr × 18 years</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$72,000</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5</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Opportunity Costs (Commercial Licensing Value)</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$50,000/yr × 18 years</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$900,000</w:t>
            </w:r>
          </w:p>
        </w:tc>
      </w:tr>
      <w:tr>
        <w:trPr>
          <w:tblHeader w:val="false"/>
        </w:trPr>
        <w:tc>
          <w:tcPr>
            <w:tcW w:type="pct" w:w="8%"/>
            <w:tcMar>
              <w:top w:type="dxa" w:w="90"/>
              <w:left w:type="dxa" w:w="120"/>
              <w:bottom w:type="dxa" w:w="90"/>
              <w:right w:type="dxa" w:w="120"/>
            </w:tcMar>
          </w:tcPr>
          <w:p>
            <w:r>
              <w:rPr>
                <w:b w:val="false"/>
                <w:bCs w:val="false"/>
              </w:rPr>
              <w:t xml:space="preserve"/>
            </w:r>
          </w:p>
        </w:tc>
        <w:tc>
          <w:tcPr>
            <w:tcW w:type="pct" w:w="4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SUBTOTAL (before interest)</w:t>
            </w:r>
          </w:p>
        </w:tc>
        <w:tc>
          <w:tcPr>
            <w:tcW w:type="pct" w:w="34%"/>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$2,562,869</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6</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Interest (IRS overpayment rate 8%, compounded annually, 12 years from midpoint)</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$2,562,869 × 1.518</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$3,890,435</w:t>
            </w:r>
          </w:p>
        </w:tc>
      </w:tr>
      <w:tr>
        <w:trPr>
          <w:tblHeader w:val="false"/>
        </w:trPr>
        <w:tc>
          <w:tcPr>
            <w:tcW w:type="pct" w:w="8%"/>
            <w:tcMar>
              <w:top w:type="dxa" w:w="90"/>
              <w:left w:type="dxa" w:w="120"/>
              <w:bottom w:type="dxa" w:w="90"/>
              <w:right w:type="dxa" w:w="120"/>
            </w:tcMar>
          </w:tcPr>
          <w:p>
            <w:r>
              <w:rPr>
                <w:b w:val="false"/>
                <w:bCs w:val="false"/>
              </w:rPr>
              <w:t xml:space="preserve"/>
            </w:r>
          </w:p>
        </w:tc>
        <w:tc>
          <w:tcPr>
            <w:tcW w:type="pct" w:w="4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TOTAL SUM CERTAIN (Moderate Estimate)</w:t>
            </w:r>
          </w:p>
        </w:tc>
        <w:tc>
          <w:tcPr>
            <w:tcW w:type="pct" w:w="34%"/>
            <w:tcMar>
              <w:top w:type="dxa" w:w="90"/>
              <w:left w:type="dxa" w:w="120"/>
              <w:bottom w:type="dxa" w:w="90"/>
              <w:right w:type="dxa" w:w="120"/>
            </w:tcMar>
          </w:tcPr>
          <w:p>
            <w:r>
              <w:rPr>
                <w:b w:val="false"/>
                <w:bCs w:val="false"/>
              </w:rPr>
              <w:t xml:space="preserve"/>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$6,453,304</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18.3 Scenario Range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47%"/>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Scenario</w:t>
            </w:r>
          </w:p>
        </w:tc>
        <w:tc>
          <w:tcPr>
            <w:tcW w:type="pct" w:w="1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Weekly Hours</w:t>
            </w:r>
          </w:p>
        </w:tc>
        <w:tc>
          <w:tcPr>
            <w:tcW w:type="pct" w:w="17%"/>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Total Labor Hours</w:t>
            </w:r>
          </w:p>
        </w:tc>
        <w:tc>
          <w:tcPr>
            <w:tcW w:type="pct" w:w="25%"/>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Sum Certain (with interest)</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Conservative (10 hrs/wk)</w:t>
            </w:r>
          </w:p>
        </w:tc>
        <w:tc>
          <w:tcPr>
            <w:tcW w:type="pct" w:w="1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10</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9,360</w:t>
            </w:r>
          </w:p>
        </w:tc>
        <w:tc>
          <w:tcPr>
            <w:tcW w:type="pct" w:w="2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~$3,500,000</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Moderate (20 hrs/wk)</w:t>
            </w:r>
          </w:p>
        </w:tc>
        <w:tc>
          <w:tcPr>
            <w:tcW w:type="pct" w:w="1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20</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18,720</w:t>
            </w:r>
          </w:p>
        </w:tc>
        <w:tc>
          <w:tcPr>
            <w:tcW w:type="pct" w:w="2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~$6,450,000</w:t>
            </w:r>
          </w:p>
        </w:tc>
      </w:tr>
      <w:tr>
        <w:trPr>
          <w:tblHeader w:val="false"/>
        </w:trPr>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Comprehensive (30 hrs/wk)</w:t>
            </w:r>
          </w:p>
        </w:tc>
        <w:tc>
          <w:tcPr>
            <w:tcW w:type="pct" w:w="1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30</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28,080</w:t>
            </w:r>
          </w:p>
        </w:tc>
        <w:tc>
          <w:tcPr>
            <w:tcW w:type="pct" w:w="25%"/>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~$9,400,000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CF2"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IMPORTANT NOTE ON PRELIMINARY FIGURES</w:t>
            </w:r>
          </w:p>
          <w:p>
            <w:pPr>
              <w:spacing w:after="120" w:line="360" w:lineRule="auto"/>
            </w:pPr>
            <w:r>
              <w:rPr>
                <w:rFonts w:ascii="Cambria" w:cs="Cambria" w:eastAsia="Cambria" w:hAnsi="Cambria"/>
                <w:b w:val="false"/>
                <w:bCs w:val="false"/>
                <w:i w:val="false"/>
                <w:iCs w:val="false"/>
                <w:strike w:val="false"/>
                <w:color w:val="000000"/>
                <w:sz w:val="24"/>
                <w:szCs w:val="24"/>
              </w:rPr>
              <w:t xml:space="preserve">These figures are preliminary estimates. The final sum certain must be supported by contemporaneous cost documentation — receipts, time logs, development records, and equipment invoices. The hourly labor rate uses the 2026 GS-13 Step 10 LA-Long Beach locality rate as the benchmark for the value of the work performed.</w:t>
            </w:r>
          </w:p>
        </w:tc>
      </w:tr>
    </w:tbl>
    <w:p>
      <w:pPr>
        <w:spacing w:after="240" w:before="0"/>
      </w:pPr>
    </w:p>
    <w:p>
      <w:pPr>
        <w:pStyle w:val="Heading2"/>
        <w:spacing w:after="120" w:before="360" w:line="312" w:lineRule="auto"/>
      </w:pPr>
      <w:r>
        <w:rPr>
          <w:rFonts w:ascii="Cambria" w:cs="Cambria" w:eastAsia="Cambria" w:hAnsi="Cambria"/>
          <w:color w:val="1B2A4A"/>
          <w:sz w:val="36"/>
          <w:szCs w:val="36"/>
        </w:rPr>
        <w:t xml:space="preserve">18.4 Sum Certain Formula</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sum certain is calculated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SUM CERTAIN FORMULA</w:t>
            </w:r>
          </w:p>
          <w:p>
            <w:pPr>
              <w:spacing w:after="120" w:line="360" w:lineRule="auto"/>
            </w:pPr>
            <w:r>
              <w:rPr>
                <w:rFonts w:ascii="Cambria" w:cs="Cambria" w:eastAsia="Cambria" w:hAnsi="Cambria"/>
                <w:b/>
                <w:bCs/>
                <w:i w:val="false"/>
                <w:iCs w:val="false"/>
                <w:strike w:val="false"/>
                <w:color w:val="000000"/>
                <w:sz w:val="24"/>
                <w:szCs w:val="24"/>
              </w:rPr>
              <w:t xml:space="preserve">Sum Certain = Development Labor + Equipment &amp; Software + Infrastructure &amp; Hosting + Operations &amp; Maintenance + Opportunity Costs + Interest</w:t>
            </w:r>
          </w:p>
          <w:p>
            <w:pPr>
              <w:spacing w:after="120" w:line="360" w:lineRule="auto"/>
            </w:pPr>
            <w:r>
              <w:rPr>
                <w:rFonts w:ascii="Cambria" w:cs="Cambria" w:eastAsia="Cambria" w:hAnsi="Cambria"/>
                <w:b w:val="false"/>
                <w:bCs w:val="false"/>
                <w:i w:val="false"/>
                <w:iCs w:val="false"/>
                <w:strike w:val="false"/>
                <w:color w:val="000000"/>
                <w:sz w:val="24"/>
                <w:szCs w:val="24"/>
              </w:rPr>
              <w:t xml:space="preserve">Where Interest = Subtotal × (1 + IRS Overpayment Rate)</w:t>
            </w:r>
            <w:r>
              <w:rPr>
                <w:rFonts w:ascii="Cambria" w:cs="Cambria" w:eastAsia="Cambria" w:hAnsi="Cambria"/>
                <w:b w:val="false"/>
                <w:bCs w:val="false"/>
                <w:i w:val="false"/>
                <w:iCs w:val="false"/>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rPr>
              <w:t xml:space="preserve">, with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number of years from midpoint of development period to date of claim filing. The IRS overpayment rate (currently approximately 8%) is compounded annually per 28 U.S.C. § 2516(a).</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Section 19: Intellectual Property Classification</w:t>
      </w:r>
    </w:p>
    <w:p>
      <w:pPr>
        <w:pStyle w:val="Heading2"/>
        <w:spacing w:after="120" w:before="360" w:line="312" w:lineRule="auto"/>
      </w:pPr>
      <w:r>
        <w:rPr>
          <w:rFonts w:ascii="Cambria" w:cs="Cambria" w:eastAsia="Cambria" w:hAnsi="Cambria"/>
          <w:color w:val="1B2A4A"/>
          <w:sz w:val="36"/>
          <w:szCs w:val="36"/>
        </w:rPr>
        <w:t xml:space="preserve">19.1 Ownership Determination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The communication systems were created by Reverend Frost in his </w:t>
      </w:r>
      <w:r>
        <w:rPr>
          <w:rFonts w:ascii="Cambria" w:cs="Cambria" w:eastAsia="Cambria" w:hAnsi="Cambria"/>
          <w:b/>
          <w:bCs/>
          <w:i w:val="false"/>
          <w:iCs w:val="false"/>
          <w:strike w:val="false"/>
          <w:color w:val="000000"/>
          <w:sz w:val="24"/>
          <w:szCs w:val="24"/>
        </w:rPr>
        <w:t xml:space="preserve">private/church capacity</w:t>
      </w:r>
      <w:r>
        <w:rPr>
          <w:rFonts w:ascii="Cambria" w:cs="Cambria" w:eastAsia="Cambria" w:hAnsi="Cambria"/>
          <w:b w:val="false"/>
          <w:bCs w:val="false"/>
          <w:i w:val="false"/>
          <w:iCs w:val="false"/>
          <w:strike w:val="false"/>
          <w:color w:val="000000"/>
          <w:sz w:val="24"/>
          <w:szCs w:val="24"/>
        </w:rPr>
        <w:t xml:space="preserve">, not as a federal employee acting within the scope of his government employment. This determination is critical for two reasons: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Clean IP ownership:</w:t>
      </w:r>
      <w:r>
        <w:rPr>
          <w:rFonts w:ascii="Cambria" w:cs="Cambria" w:eastAsia="Cambria" w:hAnsi="Cambria"/>
          <w:b w:val="false"/>
          <w:bCs w:val="false"/>
          <w:i w:val="false"/>
          <w:iCs w:val="false"/>
          <w:strike w:val="false"/>
          <w:color w:val="000000"/>
          <w:sz w:val="24"/>
          <w:szCs w:val="24"/>
        </w:rPr>
        <w:t xml:space="preserve"> Reverend Frost is the sole author and copyright holder of all communication system components.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Federal employee exclusion does not apply:</w:t>
      </w:r>
      <w:r>
        <w:rPr>
          <w:rFonts w:ascii="Cambria" w:cs="Cambria" w:eastAsia="Cambria" w:hAnsi="Cambria"/>
          <w:b w:val="false"/>
          <w:bCs w:val="false"/>
          <w:i w:val="false"/>
          <w:iCs w:val="false"/>
          <w:strike w:val="false"/>
          <w:color w:val="000000"/>
          <w:sz w:val="24"/>
          <w:szCs w:val="24"/>
        </w:rPr>
        <w:t xml:space="preserve"> The exclusion for works created by federal employees in the scope of their duties (17 U.S.C. § 105) does not apply to works created in a private or ecclesiastical capacity.</w:t>
      </w:r>
    </w:p>
    <w:p>
      <w:pPr>
        <w:pStyle w:val="Heading2"/>
        <w:spacing w:after="120" w:before="360" w:line="312" w:lineRule="auto"/>
      </w:pPr>
      <w:r>
        <w:rPr>
          <w:rFonts w:ascii="Cambria" w:cs="Cambria" w:eastAsia="Cambria" w:hAnsi="Cambria"/>
          <w:color w:val="1B2A4A"/>
          <w:sz w:val="36"/>
          <w:szCs w:val="36"/>
        </w:rPr>
        <w:t xml:space="preserve">19.2 FAR Rights Classification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Under FAR Subparts 27.3 (Patent Rights) and 27.4 (Rights in Data and Copyrights), systems developed entirely at private expense qualify for the following protections: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IP Category</w:t>
            </w:r>
          </w:p>
        </w:tc>
        <w:tc>
          <w:tcPr>
            <w:tcW w:type="pct" w:w="16%"/>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Rights Classification</w:t>
            </w:r>
          </w:p>
        </w:tc>
        <w:tc>
          <w:tcPr>
            <w:tcW w:type="pct" w:w="34%"/>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Government Rights</w:t>
            </w:r>
          </w:p>
        </w:tc>
        <w:tc>
          <w:tcPr>
            <w:tcW w:type="pct" w:w="37%"/>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Reverend Frost’s Rights</w:t>
            </w:r>
          </w:p>
        </w:tc>
      </w:tr>
      <w:tr>
        <w:trPr>
          <w:tblHeader w:val="false"/>
        </w:trPr>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Technical Data</w:t>
            </w:r>
          </w:p>
        </w:tc>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Limited Rights</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Use within the government only; no disclosure to third parties without permission</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ownership, commercialization, licensing, and distribution rights retained</w:t>
            </w:r>
          </w:p>
        </w:tc>
      </w:tr>
      <w:tr>
        <w:trPr>
          <w:tblHeader w:val="false"/>
        </w:trPr>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Computer Software</w:t>
            </w:r>
          </w:p>
        </w:tc>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Restricted Rights</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Use on a single computer; no modification, reproduction, or disclosure without permission</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ownership, commercialization, licensing, and distribution rights retained</w:t>
            </w:r>
          </w:p>
        </w:tc>
      </w:tr>
      <w:tr>
        <w:trPr>
          <w:tblHeader w:val="false"/>
        </w:trPr>
        <w:tc>
          <w:tcPr>
            <w:tcW w:type="pct" w:w="1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Musical Works</w:t>
            </w:r>
          </w:p>
        </w:tc>
        <w:tc>
          <w:tcPr>
            <w:tcW w:type="pct" w:w="16%"/>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Copyright — Private Ownership</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rights unless licensed</w:t>
            </w:r>
          </w:p>
        </w:tc>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All rights under 17 U.S.C. § 106 (reproduction, distribution, performance, display, derivative works)</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19.3 Implications for 28 U.S.C. § 1498 Claim</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Because the communication systems are </w:t>
      </w:r>
      <w:r>
        <w:rPr>
          <w:rFonts w:ascii="Cambria" w:cs="Cambria" w:eastAsia="Cambria" w:hAnsi="Cambria"/>
          <w:b/>
          <w:bCs/>
          <w:i w:val="false"/>
          <w:iCs w:val="false"/>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works made for hire and were developed at private expense, Reverend Frost owns all copyrights. Any government use, reproduction, or distribution of these systems without authorization or adequate compensation constitutes a taking for which just compensation is due under 28 U.S.C. § 1498(b). The government receives only the minimum necessary license; Reverend Frost retains full commercialization rights.</w:t>
      </w:r>
    </w:p>
    <w:p>
      <w:pPr>
        <w:pStyle w:val="Heading1"/>
        <w:spacing w:after="120" w:before="480" w:line="312" w:lineRule="auto"/>
      </w:pPr>
      <w:r>
        <w:rPr>
          <w:rFonts w:ascii="Cambria" w:cs="Cambria" w:eastAsia="Cambria" w:hAnsi="Cambria"/>
          <w:color w:val="1B2A4A"/>
          <w:sz w:val="48"/>
          <w:szCs w:val="48"/>
        </w:rPr>
        <w:t xml:space="preserve">Section 20: Priority Action Timeline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Priority</w:t>
            </w:r>
          </w:p>
        </w:tc>
        <w:tc>
          <w:tcPr>
            <w:tcW w:type="pct" w:w="36%"/>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Action</w:t>
            </w:r>
          </w:p>
        </w:tc>
        <w:tc>
          <w:tcPr>
            <w:tcW w:type="pct" w:w="2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Legal Authority</w:t>
            </w:r>
          </w:p>
        </w:tc>
        <w:tc>
          <w:tcPr>
            <w:tcW w:type="pct" w:w="14%"/>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Timeline</w:t>
            </w:r>
          </w:p>
        </w:tc>
        <w:tc>
          <w:tcPr>
            <w:tcW w:type="pct" w:w="2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Estimated Cost</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1</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Register copyrights for all communication system components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17 U.S.C. § 408; 37 CFR Part 202</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2–4 weeks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$65–$250 per registration</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2</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Document all development costs with receipts and time logs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28 U.S.C. § 1491; 2 CFR § 200.302</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1–2 weeks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$0</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3</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Determine strongest federal agency relationship via 2008 FBCI connection</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EO 13199; EO 13498</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 week</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$0</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4</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File Tucker Act or CDA claim with sum certain</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28 U.S.C. § 1491; 41 U.S.C. § 7103</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30–60 days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Attorney fees recoverable (EAJA)</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5</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Apply for retroactive capacity-building grants via Grants.gov</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CFR Part 200</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Next NOFO cycle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$0</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6</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Assert IP rights and propose licensing agreement</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FAR Subparts 27.3, 27.4</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30 days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$0</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7</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File back pay claim through agency HR if applicable</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 U.S.C. § 5596</w:t>
            </w:r>
          </w:p>
        </w:tc>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30 days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$0</w:t>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Section 21: Cross-Reference to Companion Documents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framework should be read in conjunction with the following companion documents, which provide detailed filing packages for the primary reimbursement claims: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17%"/>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Companion Document</w:t>
            </w:r>
          </w:p>
        </w:tc>
        <w:tc>
          <w:tcPr>
            <w:tcW w:type="pct" w:w="54%"/>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Purpose</w:t>
            </w:r>
          </w:p>
        </w:tc>
        <w:tc>
          <w:tcPr>
            <w:tcW w:type="pct" w:w="2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Primary Legal Authority</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1</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Tucker Act Claim Filing Package</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Complete filing package for the U.S. Court of Federal Claims, including jurisdiction statement, implied-in-fact contract analysis, sum certain, statute of limitations analysis, prayer for relief, and exhibits list</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28 U.S.C. § 1491(a)(1)</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2</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Copyright Registration Applications Package</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Comprehensive guide to registering all communication system components with the U.S. Copyright Office, including work-for-hire analysis, eCO filing instructions, deposit requirements, and group registration options</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17 U.S.C. §§ 408–412</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3</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Authority Action Log (Working Spreadsheet)</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Operational log for documenting all delegated actions, federal fund expenditures, and compliance activities under the Delegation of Authority framework</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CFR § 200.334</w:t>
            </w:r>
          </w:p>
        </w:tc>
      </w:tr>
      <w:tr>
        <w:trPr>
          <w:tblHeader w:val="false"/>
        </w:trPr>
        <w:tc>
          <w:tcPr>
            <w:tcW w:type="pct" w:w="8%"/>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4</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IP Rights Assertion Letter</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Formal letter to the federal contracting officer asserting limited rights (technical data) and restricted computer software rights under FAR 27.4, on behalf of Reverend Brian Michael Frost</w:t>
            </w:r>
          </w:p>
        </w:tc>
        <w:tc>
          <w:tcPr>
            <w:tcW w:type="pct" w:w="2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FAR Subparts 27.3, 27.4; 48 CFR §§ 252.227-7013, 252.227-7014</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2A4A" w:color="auto" w:val="clear"/>
            <w:tcMar>
              <w:top w:type="dxa" w:w="150"/>
              <w:left w:type="dxa" w:w="210"/>
              <w:bottom w:type="dxa" w:w="150"/>
              <w:right w:type="dxa" w:w="210"/>
            </w:tcMar>
          </w:tcPr>
          <w:p>
            <w:pPr>
              <w:spacing w:after="120" w:line="408" w:lineRule="auto"/>
            </w:pPr>
            <w:r>
              <w:t xml:space="preserve">APPENDICES</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Appendix A: Model Contract Clause — Separation of Religious and Secular Activities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CF2"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MODEL CONTRACT CLAUSE</w:t>
            </w:r>
          </w:p>
          <w:p>
            <w:pPr>
              <w:spacing w:after="120" w:line="360" w:lineRule="auto"/>
            </w:pPr>
            <w:r>
              <w:rPr>
                <w:rFonts w:ascii="Cambria" w:cs="Cambria" w:eastAsia="Cambria" w:hAnsi="Cambria"/>
                <w:b/>
                <w:bCs/>
                <w:i w:val="false"/>
                <w:iCs w:val="false"/>
                <w:strike w:val="false"/>
                <w:color w:val="000000"/>
                <w:sz w:val="24"/>
                <w:szCs w:val="24"/>
              </w:rPr>
              <w:t xml:space="preserve">Clause [__]: Separation of Federally Funded Services from Explicitly Religious Activities.</w:t>
            </w:r>
          </w:p>
          <w:p>
            <w:pPr>
              <w:spacing w:after="120" w:line="360" w:lineRule="auto"/>
            </w:pPr>
            <w:r>
              <w:rPr>
                <w:rFonts w:ascii="Cambria" w:cs="Cambria" w:eastAsia="Cambria" w:hAnsi="Cambria"/>
                <w:b w:val="false"/>
                <w:bCs w:val="false"/>
                <w:i w:val="false"/>
                <w:iCs w:val="false"/>
                <w:strike w:val="false"/>
                <w:color w:val="000000"/>
                <w:sz w:val="24"/>
                <w:szCs w:val="24"/>
              </w:rPr>
              <w:t xml:space="preserve">(a) The Contractor acknowledges that it is a faith-based organization within the meaning of Executive Order 13279, as amended. The Contractor agrees that direct federal financial assistance provided under this contract shall not be used to fund any explicitly religious activities, including but not limited to worship, religious instruction, proselytization, or any activity that involves overt religious content directed at program beneficiaries. If the Contractor conducts such activities, they must be offered separately in time or location from the services funded under this contract, and participation by beneficiaries must be voluntary.</w:t>
            </w:r>
          </w:p>
          <w:p>
            <w:pPr>
              <w:spacing w:after="120" w:line="360" w:lineRule="auto"/>
            </w:pPr>
            <w:r>
              <w:rPr>
                <w:rFonts w:ascii="Cambria" w:cs="Cambria" w:eastAsia="Cambria" w:hAnsi="Cambria"/>
                <w:b w:val="false"/>
                <w:bCs w:val="false"/>
                <w:i w:val="false"/>
                <w:iCs w:val="false"/>
                <w:strike w:val="false"/>
                <w:color w:val="000000"/>
                <w:sz w:val="24"/>
                <w:szCs w:val="24"/>
              </w:rPr>
              <w:t xml:space="preserve">(b) The Contractor shall provide each beneficiary with a written notice of their rights prior to enrollment in or receipt of services under this contract, including the right to request referral to an alternative provider, the right to decline participation in any religious activities, and the right to file a complaint with the awarding agency. The Contractor shall maintain documentation of all notices provided and all referral requests received.</w:t>
            </w:r>
          </w:p>
          <w:p>
            <w:pPr>
              <w:spacing w:after="120" w:line="360" w:lineRule="auto"/>
            </w:pPr>
            <w:r>
              <w:rPr>
                <w:rFonts w:ascii="Cambria" w:cs="Cambria" w:eastAsia="Cambria" w:hAnsi="Cambria"/>
                <w:b w:val="false"/>
                <w:bCs w:val="false"/>
                <w:i w:val="false"/>
                <w:iCs w:val="false"/>
                <w:strike w:val="false"/>
                <w:color w:val="000000"/>
                <w:sz w:val="24"/>
                <w:szCs w:val="24"/>
              </w:rPr>
              <w:t xml:space="preserve">(c) Nothing in this clause shall be construed to require the Contractor to alter its religious identity, remove religious art, symbols, or references from its facilities, or modify its governance structure. The Contractor retains all rights afforded to faith-based organizations under applicable law, including the exemption set forth in 42 U.S.C. § 2000e-1(a). This clause is intended to ensure compliance with the Establishment Clause of the First Amendment and applicable federal regulations, and shall be interpreted consistently with 2 CFR § 3474.15 and Executive Order 13279, as amended.</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Appendix B: Model Beneficiary Rights Notice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2A4A" w:sz="6"/>
              <w:left w:val="single" w:color="1B2A4A" w:sz="6"/>
              <w:bottom w:val="single" w:color="1B2A4A" w:sz="6"/>
              <w:right w:val="single" w:color="1B2A4A" w:sz="6"/>
            </w:tcBorders>
            <w:shd w:fill="E8EEF7" w:color="auto" w:val="clear"/>
            <w:tcMar>
              <w:top w:type="dxa" w:w="180"/>
              <w:left w:type="dxa" w:w="180"/>
              <w:bottom w:type="dxa" w:w="180"/>
              <w:right w:type="dxa" w:w="180"/>
            </w:tcMar>
          </w:tcPr>
          <w:p>
            <w:pPr>
              <w:spacing w:after="240" w:line="360" w:lineRule="auto"/>
              <w:jc w:val="center"/>
            </w:pPr>
            <w:r>
              <w:rPr>
                <w:rFonts w:ascii="Cambria" w:cs="Cambria" w:eastAsia="Cambria" w:hAnsi="Cambria"/>
                <w:b/>
                <w:bCs/>
                <w:i w:val="false"/>
                <w:iCs w:val="false"/>
                <w:strike w:val="false"/>
                <w:color w:val="000000"/>
                <w:sz w:val="24"/>
                <w:szCs w:val="24"/>
              </w:rPr>
              <w:t xml:space="preserve">NOTICE OF YOUR RIGHTS AS A PROGRAM PARTICIPANT</w:t>
            </w:r>
          </w:p>
          <w:p>
            <w:pPr>
              <w:spacing w:after="240" w:line="360" w:lineRule="auto"/>
              <w:jc w:val="center"/>
            </w:pPr>
            <w:r>
              <w:rPr>
                <w:rFonts w:ascii="Cambria" w:cs="Cambria" w:eastAsia="Cambria" w:hAnsi="Cambria"/>
                <w:b w:val="false"/>
                <w:bCs w:val="false"/>
                <w:i/>
                <w:iCs/>
                <w:strike w:val="false"/>
                <w:color w:val="000000"/>
                <w:sz w:val="24"/>
                <w:szCs w:val="24"/>
              </w:rPr>
              <w:t xml:space="preserve">This program is funded in whole or in part by the federal government.</w:t>
            </w:r>
          </w:p>
          <w:p>
            <w:pPr>
              <w:spacing w:after="120" w:line="360" w:lineRule="auto"/>
            </w:pPr>
            <w:r>
              <w:rPr>
                <w:rFonts w:ascii="Cambria" w:cs="Cambria" w:eastAsia="Cambria" w:hAnsi="Cambria"/>
                <w:b/>
                <w:bCs/>
                <w:i w:val="false"/>
                <w:iCs w:val="false"/>
                <w:strike w:val="false"/>
                <w:color w:val="000000"/>
                <w:sz w:val="24"/>
                <w:szCs w:val="24"/>
              </w:rPr>
              <w:t xml:space="preserve">You have the following rights:</w:t>
            </w:r>
          </w:p>
          <w:p>
            <w:pPr>
              <w:spacing w:after="100" w:line="408" w:lineRule="auto"/>
              <w:ind w:left="240"/>
            </w:pPr>
            <w:r>
              <w:t xml:space="preserve">1.  </w:t>
            </w:r>
            <w:r>
              <w:rPr>
                <w:rFonts w:ascii="Cambria" w:cs="Cambria" w:eastAsia="Cambria" w:hAnsi="Cambria"/>
                <w:b/>
                <w:bCs/>
                <w:i w:val="false"/>
                <w:iCs w:val="false"/>
                <w:strike w:val="false"/>
                <w:color w:val="000000"/>
                <w:sz w:val="24"/>
                <w:szCs w:val="24"/>
              </w:rPr>
              <w:t xml:space="preserve">No Required Religious Participation.</w:t>
            </w:r>
            <w:r>
              <w:rPr>
                <w:rFonts w:ascii="Cambria" w:cs="Cambria" w:eastAsia="Cambria" w:hAnsi="Cambria"/>
                <w:b w:val="false"/>
                <w:bCs w:val="false"/>
                <w:i w:val="false"/>
                <w:iCs w:val="false"/>
                <w:strike w:val="false"/>
                <w:color w:val="000000"/>
                <w:sz w:val="24"/>
                <w:szCs w:val="24"/>
              </w:rPr>
              <w:t xml:space="preserve"> You may not be required to participate in any religious activity — including worship services, prayer, Bible study, or religious instruction — as a condition of receiving services from this program. Any religious activities offered by this organization are entirely separate from the federally funded program and your participation is </w:t>
            </w:r>
            <w:r>
              <w:rPr>
                <w:rFonts w:ascii="Cambria" w:cs="Cambria" w:eastAsia="Cambria" w:hAnsi="Cambria"/>
                <w:b/>
                <w:bCs/>
                <w:i w:val="false"/>
                <w:iCs w:val="false"/>
                <w:strike w:val="false"/>
                <w:color w:val="000000"/>
                <w:sz w:val="24"/>
                <w:szCs w:val="24"/>
              </w:rPr>
              <w:t xml:space="preserve">completely voluntary</w:t>
            </w:r>
            <w:r>
              <w:rPr>
                <w:rFonts w:ascii="Cambria" w:cs="Cambria" w:eastAsia="Cambria" w:hAnsi="Cambria"/>
                <w:b w:val="false"/>
                <w:bCs w:val="false"/>
                <w:i w:val="false"/>
                <w:iCs w:val="false"/>
                <w:strike w:val="false"/>
                <w:color w:val="000000"/>
                <w:sz w:val="24"/>
                <w:szCs w:val="24"/>
              </w:rPr>
              <w:t xml:space="preserve">.</w:t>
            </w:r>
          </w:p>
          <w:p>
            <w:pPr>
              <w:spacing w:after="100" w:line="408" w:lineRule="auto"/>
              <w:ind w:left="240"/>
            </w:pPr>
            <w:r>
              <w:t xml:space="preserve">2.  </w:t>
            </w:r>
            <w:r>
              <w:rPr>
                <w:rFonts w:ascii="Cambria" w:cs="Cambria" w:eastAsia="Cambria" w:hAnsi="Cambria"/>
                <w:b/>
                <w:bCs/>
                <w:i w:val="false"/>
                <w:iCs w:val="false"/>
                <w:strike w:val="false"/>
                <w:color w:val="000000"/>
                <w:sz w:val="24"/>
                <w:szCs w:val="24"/>
              </w:rPr>
              <w:t xml:space="preserve">Right to an Alternative Provider.</w:t>
            </w:r>
            <w:r>
              <w:rPr>
                <w:rFonts w:ascii="Cambria" w:cs="Cambria" w:eastAsia="Cambria" w:hAnsi="Cambria"/>
                <w:b w:val="false"/>
                <w:bCs w:val="false"/>
                <w:i w:val="false"/>
                <w:iCs w:val="false"/>
                <w:strike w:val="false"/>
                <w:color w:val="000000"/>
                <w:sz w:val="24"/>
                <w:szCs w:val="24"/>
              </w:rPr>
              <w:t xml:space="preserve"> If you object to the religious character of this organization, you have the right to request referral to an alternative service provider. We will make reasonable efforts to identify an accessible, comparable alternative for you. To make this request, please speak with [Program Staff Name/Title] or contact us at [Phone Number / Email].</w:t>
            </w:r>
          </w:p>
          <w:p>
            <w:pPr>
              <w:spacing w:after="100" w:line="408" w:lineRule="auto"/>
              <w:ind w:left="240"/>
            </w:pPr>
            <w:r>
              <w:t xml:space="preserve">3.  </w:t>
            </w:r>
            <w:r>
              <w:rPr>
                <w:rFonts w:ascii="Cambria" w:cs="Cambria" w:eastAsia="Cambria" w:hAnsi="Cambria"/>
                <w:b/>
                <w:bCs/>
                <w:i w:val="false"/>
                <w:iCs w:val="false"/>
                <w:strike w:val="false"/>
                <w:color w:val="000000"/>
                <w:sz w:val="24"/>
                <w:szCs w:val="24"/>
              </w:rPr>
              <w:t xml:space="preserve">No Discrimination.</w:t>
            </w:r>
            <w:r>
              <w:rPr>
                <w:rFonts w:ascii="Cambria" w:cs="Cambria" w:eastAsia="Cambria" w:hAnsi="Cambria"/>
                <w:b w:val="false"/>
                <w:bCs w:val="false"/>
                <w:i w:val="false"/>
                <w:iCs w:val="false"/>
                <w:strike w:val="false"/>
                <w:color w:val="000000"/>
                <w:sz w:val="24"/>
                <w:szCs w:val="24"/>
              </w:rPr>
              <w:t xml:space="preserve"> You will not be denied services, penalized, or treated differently for declining to participate in any religious activities or for requesting an alternative provider.</w:t>
            </w:r>
          </w:p>
          <w:p>
            <w:pPr>
              <w:spacing w:after="100" w:line="408" w:lineRule="auto"/>
              <w:ind w:left="240"/>
            </w:pPr>
            <w:r>
              <w:t xml:space="preserve">4.  </w:t>
            </w:r>
            <w:r>
              <w:rPr>
                <w:rFonts w:ascii="Cambria" w:cs="Cambria" w:eastAsia="Cambria" w:hAnsi="Cambria"/>
                <w:b/>
                <w:bCs/>
                <w:i w:val="false"/>
                <w:iCs w:val="false"/>
                <w:strike w:val="false"/>
                <w:color w:val="000000"/>
                <w:sz w:val="24"/>
                <w:szCs w:val="24"/>
              </w:rPr>
              <w:t xml:space="preserve">Right to File a Complaint.</w:t>
            </w:r>
            <w:r>
              <w:rPr>
                <w:rFonts w:ascii="Cambria" w:cs="Cambria" w:eastAsia="Cambria" w:hAnsi="Cambria"/>
                <w:b w:val="false"/>
                <w:bCs w:val="false"/>
                <w:i w:val="false"/>
                <w:iCs w:val="false"/>
                <w:strike w:val="false"/>
                <w:color w:val="000000"/>
                <w:sz w:val="24"/>
                <w:szCs w:val="24"/>
              </w:rPr>
              <w:t xml:space="preserve"> If you believe your rights have been violated, you may file a complaint with:</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 [Federal Awarding Agency Name]</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 [Address]</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 [Phone Number]</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 [Email Address]</w:t>
            </w:r>
          </w:p>
          <w:p>
            <w:pPr>
              <w:spacing w:after="120" w:line="360" w:lineRule="auto"/>
              <w:jc w:val="center"/>
            </w:pPr>
            <w:r>
              <w:rPr>
                <w:rFonts w:ascii="Cambria" w:cs="Cambria" w:eastAsia="Cambria" w:hAnsi="Cambria"/>
                <w:b w:val="false"/>
                <w:bCs w:val="false"/>
                <w:i/>
                <w:iCs/>
                <w:strike w:val="false"/>
                <w:color w:val="000000"/>
                <w:sz w:val="24"/>
                <w:szCs w:val="24"/>
              </w:rPr>
              <w:t xml:space="preserve">This notice is required by federal law. Please keep a copy for your records.</w:t>
            </w:r>
          </w:p>
          <w:p>
            <w:pPr>
              <w:spacing w:after="120" w:line="360" w:lineRule="auto"/>
            </w:pPr>
            <w:r>
              <w:rPr>
                <w:rFonts w:ascii="Cambria" w:cs="Cambria" w:eastAsia="Cambria" w:hAnsi="Cambria"/>
                <w:b/>
                <w:bCs/>
                <w:i w:val="false"/>
                <w:iCs w:val="false"/>
                <w:strike w:val="false"/>
                <w:color w:val="000000"/>
                <w:sz w:val="24"/>
                <w:szCs w:val="24"/>
              </w:rPr>
              <w:t xml:space="preserve">Organization Name:</w:t>
            </w:r>
            <w:r>
              <w:rPr>
                <w:rFonts w:ascii="Cambria" w:cs="Cambria" w:eastAsia="Cambria" w:hAnsi="Cambria"/>
                <w:b w:val="false"/>
                <w:bCs w:val="false"/>
                <w:i w:val="false"/>
                <w:iCs w:val="false"/>
                <w:strike w:val="false"/>
                <w:color w:val="000000"/>
                <w:sz w:val="24"/>
                <w:szCs w:val="24"/>
              </w:rPr>
              <w:t xml:space="preserve"> _______________________________________________</w:t>
            </w:r>
          </w:p>
          <w:p>
            <w:pPr>
              <w:spacing w:after="120" w:line="360" w:lineRule="auto"/>
            </w:pPr>
            <w:r>
              <w:rPr>
                <w:rFonts w:ascii="Cambria" w:cs="Cambria" w:eastAsia="Cambria" w:hAnsi="Cambria"/>
                <w:b/>
                <w:bCs/>
                <w:i w:val="false"/>
                <w:iCs w:val="false"/>
                <w:strike w:val="false"/>
                <w:color w:val="000000"/>
                <w:sz w:val="24"/>
                <w:szCs w:val="24"/>
              </w:rPr>
              <w:t xml:space="preserve">Program Name:</w:t>
            </w:r>
            <w:r>
              <w:rPr>
                <w:rFonts w:ascii="Cambria" w:cs="Cambria" w:eastAsia="Cambria" w:hAnsi="Cambria"/>
                <w:b w:val="false"/>
                <w:bCs w:val="false"/>
                <w:i w:val="false"/>
                <w:iCs w:val="false"/>
                <w:strike w:val="false"/>
                <w:color w:val="000000"/>
                <w:sz w:val="24"/>
                <w:szCs w:val="24"/>
              </w:rPr>
              <w:t xml:space="preserve"> _______________________________________________</w:t>
            </w:r>
          </w:p>
          <w:p>
            <w:pPr>
              <w:spacing w:after="120" w:line="360" w:lineRule="auto"/>
            </w:pPr>
            <w:r>
              <w:rPr>
                <w:rFonts w:ascii="Cambria" w:cs="Cambria" w:eastAsia="Cambria" w:hAnsi="Cambria"/>
                <w:b/>
                <w:bCs/>
                <w:i w:val="false"/>
                <w:iCs w:val="false"/>
                <w:strike w:val="false"/>
                <w:color w:val="000000"/>
                <w:sz w:val="24"/>
                <w:szCs w:val="24"/>
              </w:rPr>
              <w:t xml:space="preserve">Date Provided to Beneficiary:</w:t>
            </w:r>
            <w:r>
              <w:rPr>
                <w:rFonts w:ascii="Cambria" w:cs="Cambria" w:eastAsia="Cambria" w:hAnsi="Cambria"/>
                <w:b w:val="false"/>
                <w:bCs w:val="false"/>
                <w:i w:val="false"/>
                <w:iCs w:val="false"/>
                <w:strike w:val="false"/>
                <w:color w:val="000000"/>
                <w:sz w:val="24"/>
                <w:szCs w:val="24"/>
              </w:rPr>
              <w:t xml:space="preserve"> _____________    </w:t>
            </w:r>
            <w:r>
              <w:rPr>
                <w:rFonts w:ascii="Cambria" w:cs="Cambria" w:eastAsia="Cambria" w:hAnsi="Cambria"/>
                <w:b/>
                <w:bCs/>
                <w:i w:val="false"/>
                <w:iCs w:val="false"/>
                <w:strike w:val="false"/>
                <w:color w:val="000000"/>
                <w:sz w:val="24"/>
                <w:szCs w:val="24"/>
              </w:rPr>
              <w:t xml:space="preserve">Beneficiary Initials:</w:t>
            </w:r>
            <w:r>
              <w:rPr>
                <w:rFonts w:ascii="Cambria" w:cs="Cambria" w:eastAsia="Cambria" w:hAnsi="Cambria"/>
                <w:b w:val="false"/>
                <w:bCs w:val="false"/>
                <w:i w:val="false"/>
                <w:iCs w:val="false"/>
                <w:strike w:val="false"/>
                <w:color w:val="000000"/>
                <w:sz w:val="24"/>
                <w:szCs w:val="24"/>
              </w:rPr>
              <w:t xml:space="preserve"> _____________</w:t>
            </w:r>
          </w:p>
        </w:tc>
      </w:tr>
    </w:tbl>
    <w:p>
      <w:pPr>
        <w:spacing w:after="240" w:before="0"/>
      </w:pPr>
    </w:p>
    <w:p>
      <w:pPr>
        <w:pStyle w:val="Heading1"/>
        <w:spacing w:after="120" w:before="480" w:line="312" w:lineRule="auto"/>
      </w:pPr>
      <w:r>
        <w:rPr>
          <w:rFonts w:ascii="Cambria" w:cs="Cambria" w:eastAsia="Cambria" w:hAnsi="Cambria"/>
          <w:color w:val="1B2A4A"/>
          <w:sz w:val="48"/>
          <w:szCs w:val="48"/>
        </w:rPr>
        <w:t xml:space="preserve">Appendix C: Quick-Reference Compliance Checklist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This checklist summarizes all major compliance obligations for an FBO operating under a government contract. Complete this checklist at least annually and retain as part of compliance documentation.</w:t>
      </w:r>
    </w:p>
    <w:p>
      <w:pPr>
        <w:pStyle w:val="Heading2"/>
        <w:spacing w:after="120" w:before="360" w:line="312" w:lineRule="auto"/>
      </w:pPr>
      <w:r>
        <w:rPr>
          <w:rFonts w:ascii="Cambria" w:cs="Cambria" w:eastAsia="Cambria" w:hAnsi="Cambria"/>
          <w:color w:val="1B2A4A"/>
          <w:sz w:val="36"/>
          <w:szCs w:val="36"/>
        </w:rPr>
        <w:t xml:space="preserve">Financial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9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Separate bank accounts or fund codes established for federal funds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federal funds expended for explicitly religious activities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Monthly reconciliation of federal fund accounts completed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Procurement procedures comply with 2 CFR §§ 200.317–200.327</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Single Audit completed if $750,000+ in federal expenditures (2 CFR § 200.501)</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Lobbying certification on file; no federal funds used for lobbying</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Programmatic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9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Federally funded services separated in time or location from religious activities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Written separation policies adopted and distributed to all program staff</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Program deliverables and performance metrics on track per contract terms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Quarterly separation compliance review conducted and documented</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Beneficiary Protections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9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Written beneficiary rights notice provided before enrollment/services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Notice posted prominently in all service delivery areas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Alternative provider directory maintained and current</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Referral requests documented and processed within a reasonable timeframe</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services conditioned on participation in religious activities</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Employment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9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Job descriptions for federally funded positions do not include religious duties during program hours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Hiring practices for funded positions comply with applicable nondiscrimination requirements</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Time-and-effort reports maintained for split-funded staff</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Drug-free workplace policy adopted and employee acknowledgments on file</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Reporting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9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All required federal performance and financial reports submitted on time</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SF-425 (Federal Financial Report) or equivalent filed as required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Incident reports submitted to awarding agency as required</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Civil rights compliance assurance filed with awarding agency</w:t>
            </w:r>
          </w:p>
        </w:tc>
      </w:tr>
    </w:tbl>
    <w:p>
      <w:pPr>
        <w:spacing w:after="200" w:before="0"/>
      </w:pPr>
    </w:p>
    <w:p>
      <w:pPr>
        <w:pStyle w:val="Heading2"/>
        <w:spacing w:after="120" w:before="360" w:line="312" w:lineRule="auto"/>
      </w:pPr>
      <w:r>
        <w:rPr>
          <w:rFonts w:ascii="Cambria" w:cs="Cambria" w:eastAsia="Cambria" w:hAnsi="Cambria"/>
          <w:color w:val="1B2A4A"/>
          <w:sz w:val="36"/>
          <w:szCs w:val="36"/>
        </w:rPr>
        <w:t xml:space="preserve">Records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w:t>
            </w:r>
          </w:p>
        </w:tc>
        <w:tc>
          <w:tcPr>
            <w:tcW w:type="pct" w:w="91%"/>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4"/>
                <w:szCs w:val="24"/>
              </w:rPr>
              <w:t xml:space="preserve">Requirement</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Authority Action Log maintained and entries made within 24 hours of each action</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All records retained for minimum of 3 years after final expenditure report (2 CFR § 200.334)</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Digital records maintained with access controls, backups, and disaster recovery plan</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Records available for inspection by awarding agency, IG, GAO, and pass-through entity</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Conflict of interest disclosures on file for all key personnel</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w:t>
            </w:r>
          </w:p>
        </w:tc>
        <w:tc>
          <w:tcPr>
            <w:tcW w:type="pct" w:w="9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Debarment/suspension verification (SAM.gov) completed for all contractors and subrecipients</w:t>
            </w:r>
          </w:p>
        </w:tc>
      </w:tr>
    </w:tbl>
    <w:p>
      <w:pPr>
        <w:spacing w:after="200" w:before="0"/>
      </w:pPr>
    </w:p>
    <w:p>
      <w:pPr>
        <w:spacing w:after="120" w:before="720" w:line="360" w:lineRule="auto"/>
        <w:jc w:val="center"/>
      </w:pPr>
      <w:r>
        <w:rPr>
          <w:rFonts w:ascii="Cambria" w:cs="Cambria" w:eastAsia="Cambria" w:hAnsi="Cambria"/>
          <w:b w:val="false"/>
          <w:bCs w:val="false"/>
          <w:i w:val="false"/>
          <w:iCs w:val="false"/>
          <w:strike w:val="false"/>
          <w:color w:val="888888"/>
          <w:sz w:val="18"/>
          <w:szCs w:val="18"/>
        </w:rPr>
        <w:t xml:space="preserve">Faith-Based Government Contracting &amp; DOA Framework — For Internal Use</w:t>
      </w:r>
      <w:r>
        <w:rPr>
          <w:rFonts w:ascii="Cambria" w:cs="Cambria" w:eastAsia="Cambria" w:hAnsi="Cambria"/>
          <w:b w:val="false"/>
          <w:bCs w:val="false"/>
          <w:i w:val="false"/>
          <w:iCs w:val="false"/>
          <w:color w:val="888888"/>
          <w:sz w:val="18"/>
          <w:szCs w:val="18"/>
        </w:rPr>
        <w:br/>
      </w:r>
      <w:r>
        <w:rPr>
          <w:rFonts w:ascii="Cambria" w:cs="Cambria" w:eastAsia="Cambria" w:hAnsi="Cambria"/>
          <w:b w:val="false"/>
          <w:bCs w:val="false"/>
          <w:i w:val="false"/>
          <w:iCs w:val="false"/>
          <w:strike w:val="false"/>
          <w:color w:val="888888"/>
          <w:sz w:val="18"/>
          <w:szCs w:val="18"/>
        </w:rPr>
        <w:t xml:space="preserve">Version 1.0  |  April 2026  |  Page ___ of ___</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t976zj65ZNjfieKP1U1YP</dc:title>
  <dc:creator>Un-named</dc:creator>
  <dc:description>Generated document</dc:description>
  <cp:lastModifiedBy>Un-named</cp:lastModifiedBy>
  <cp:revision>1</cp:revision>
  <dcterms:created xsi:type="dcterms:W3CDTF">2026-04-23T22:59:02.403Z</dcterms:created>
  <dcterms:modified xsi:type="dcterms:W3CDTF">2026-04-23T22:59:02.403Z</dcterms:modified>
</cp:coreProperties>
</file>

<file path=docProps/custom.xml><?xml version="1.0" encoding="utf-8"?>
<Properties xmlns="http://schemas.openxmlformats.org/officeDocument/2006/custom-properties" xmlns:vt="http://schemas.openxmlformats.org/officeDocument/2006/docPropsVTypes"/>
</file>