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60" w:before="60" w:line="360" w:lineRule="auto"/>
        <w:jc w:val="center"/>
      </w:pPr>
      <w:r>
        <w:rPr>
          <w:rFonts w:ascii="Cambria" w:cs="Cambria" w:eastAsia="Cambria" w:hAnsi="Cambria"/>
          <w:b w:val="false"/>
          <w:bCs w:val="false"/>
          <w:i w:val="false"/>
          <w:iCs w:val="false"/>
          <w:strike w:val="false"/>
          <w:color w:val="000000"/>
          <w:sz w:val="24"/>
          <w:szCs w:val="24"/>
        </w:rPr>
        <w:t xml:space="preserve">UNITED STATES GENERAL SERVICES ADMINISTRATION</w:t>
      </w:r>
    </w:p>
    <w:p>
      <w:pPr>
        <w:pBdr>
          <w:bottom w:val="single" w:color="000000" w:sz="6"/>
        </w:pBdr>
        <w:spacing w:after="240" w:before="240"/>
      </w:pPr>
    </w:p>
    <w:p>
      <w:pPr>
        <w:spacing w:after="120" w:before="60" w:line="360" w:lineRule="auto"/>
        <w:jc w:val="center"/>
      </w:pPr>
      <w:r>
        <w:rPr>
          <w:rFonts w:ascii="Cambria" w:cs="Cambria" w:eastAsia="Cambria" w:hAnsi="Cambria"/>
          <w:b/>
          <w:bCs/>
          <w:i w:val="false"/>
          <w:iCs w:val="false"/>
          <w:strike w:val="false"/>
          <w:color w:val="000000"/>
          <w:spacing w:val="20"/>
          <w:sz w:val="44"/>
          <w:szCs w:val="44"/>
        </w:rPr>
        <w:t xml:space="preserve">GSA FLEET PERMANENT VEHICLE</w:t>
      </w:r>
      <w:r>
        <w:rPr>
          <w:rFonts w:ascii="Cambria" w:cs="Cambria" w:eastAsia="Cambria" w:hAnsi="Cambria"/>
          <w:b/>
          <w:bCs/>
          <w:i w:val="false"/>
          <w:iCs w:val="false"/>
          <w:color w:val="000000"/>
          <w:sz w:val="44"/>
          <w:szCs w:val="44"/>
        </w:rPr>
        <w:br/>
      </w:r>
      <w:r>
        <w:rPr>
          <w:rFonts w:ascii="Cambria" w:cs="Cambria" w:eastAsia="Cambria" w:hAnsi="Cambria"/>
          <w:b/>
          <w:bCs/>
          <w:i w:val="false"/>
          <w:iCs w:val="false"/>
          <w:strike w:val="false"/>
          <w:color w:val="000000"/>
          <w:spacing w:val="20"/>
          <w:sz w:val="44"/>
          <w:szCs w:val="44"/>
        </w:rPr>
        <w:t xml:space="preserve">ASSIGNMENT REQUEST PACKAGE</w:t>
      </w:r>
    </w:p>
    <w:p>
      <w:pPr>
        <w:pBdr>
          <w:bottom w:val="single" w:color="000000" w:sz="6"/>
        </w:pBdr>
        <w:spacing w:after="240" w:before="240"/>
      </w:pPr>
    </w:p>
    <w:p>
      <w:pPr>
        <w:spacing w:after="480" w:before="60" w:line="360" w:lineRule="auto"/>
        <w:jc w:val="center"/>
      </w:pPr>
      <w:r>
        <w:rPr>
          <w:rFonts w:ascii="Cambria" w:cs="Cambria" w:eastAsia="Cambria" w:hAnsi="Cambria"/>
          <w:b/>
          <w:bCs/>
          <w:i w:val="false"/>
          <w:iCs w:val="false"/>
          <w:strike w:val="false"/>
          <w:color w:val="000000"/>
          <w:sz w:val="28"/>
          <w:szCs w:val="28"/>
        </w:rPr>
        <w:t xml:space="preserve">Full-Size Sedan — Permanent (Indefinite) Assignment</w:t>
      </w:r>
    </w:p>
    <w:p>
      <w:pPr>
        <w:spacing w:after="120" w:before="60" w:line="360" w:lineRule="auto"/>
        <w:jc w:val="center"/>
      </w:pPr>
      <w:r>
        <w:rPr>
          <w:rFonts w:ascii="Cambria" w:cs="Cambria" w:eastAsia="Cambria" w:hAnsi="Cambria"/>
          <w:b w:val="false"/>
          <w:bCs w:val="false"/>
          <w:i w:val="false"/>
          <w:iCs w:val="false"/>
          <w:strike w:val="false"/>
          <w:color w:val="000000"/>
          <w:sz w:val="24"/>
          <w:szCs w:val="24"/>
        </w:rPr>
        <w:t xml:space="preserve">Submitted Pursuant to 41 CFR Part 102-34 and 41 CFR § 101-39.204</w:t>
      </w:r>
    </w:p>
    <w:p>
      <w:pPr>
        <w:spacing w:after="80" w:before="60" w:line="360" w:lineRule="auto"/>
        <w:jc w:val="center"/>
      </w:pPr>
      <w:r>
        <w:rPr>
          <w:rFonts w:ascii="Cambria" w:cs="Cambria" w:eastAsia="Cambria" w:hAnsi="Cambria"/>
          <w:b/>
          <w:bCs/>
          <w:i w:val="false"/>
          <w:iCs w:val="false"/>
          <w:strike w:val="false"/>
          <w:color w:val="000000"/>
          <w:sz w:val="24"/>
          <w:szCs w:val="24"/>
        </w:rPr>
        <w:t xml:space="preserve">Requesting Official:</w:t>
      </w:r>
      <w:r>
        <w:rPr>
          <w:rFonts w:ascii="Cambria" w:cs="Cambria" w:eastAsia="Cambria" w:hAnsi="Cambria"/>
          <w:b w:val="false"/>
          <w:bCs w:val="false"/>
          <w:i w:val="false"/>
          <w:iCs w:val="false"/>
          <w:strike w:val="false"/>
          <w:color w:val="000000"/>
          <w:sz w:val="24"/>
          <w:szCs w:val="24"/>
        </w:rPr>
        <w:t xml:space="preserve"> Brian Michael Frost</w:t>
      </w:r>
    </w:p>
    <w:p>
      <w:pPr>
        <w:spacing w:after="80" w:before="60" w:line="360" w:lineRule="auto"/>
        <w:jc w:val="center"/>
      </w:pPr>
      <w:r>
        <w:rPr>
          <w:rFonts w:ascii="Cambria" w:cs="Cambria" w:eastAsia="Cambria" w:hAnsi="Cambria"/>
          <w:b/>
          <w:bCs/>
          <w:i w:val="false"/>
          <w:iCs w:val="false"/>
          <w:strike w:val="false"/>
          <w:color w:val="000000"/>
          <w:sz w:val="24"/>
          <w:szCs w:val="24"/>
        </w:rPr>
        <w:t xml:space="preserve">Duty Station:</w:t>
      </w:r>
      <w:r>
        <w:rPr>
          <w:rFonts w:ascii="Cambria" w:cs="Cambria" w:eastAsia="Cambria" w:hAnsi="Cambria"/>
          <w:b w:val="false"/>
          <w:bCs w:val="false"/>
          <w:i w:val="false"/>
          <w:iCs w:val="false"/>
          <w:strike w:val="false"/>
          <w:color w:val="000000"/>
          <w:sz w:val="24"/>
          <w:szCs w:val="24"/>
        </w:rPr>
        <w:t xml:space="preserve"> Camarillo, CA 93010</w:t>
      </w:r>
    </w:p>
    <w:p>
      <w:pPr>
        <w:spacing w:after="80" w:before="60" w:line="360" w:lineRule="auto"/>
        <w:jc w:val="center"/>
      </w:pPr>
      <w:r>
        <w:rPr>
          <w:rFonts w:ascii="Cambria" w:cs="Cambria" w:eastAsia="Cambria" w:hAnsi="Cambria"/>
          <w:b/>
          <w:bCs/>
          <w:i w:val="false"/>
          <w:iCs w:val="false"/>
          <w:strike w:val="false"/>
          <w:color w:val="000000"/>
          <w:sz w:val="24"/>
          <w:szCs w:val="24"/>
        </w:rPr>
        <w:t xml:space="preserve">Operating Area:</w:t>
      </w:r>
      <w:r>
        <w:rPr>
          <w:rFonts w:ascii="Cambria" w:cs="Cambria" w:eastAsia="Cambria" w:hAnsi="Cambria"/>
          <w:b w:val="false"/>
          <w:bCs w:val="false"/>
          <w:i w:val="false"/>
          <w:iCs w:val="false"/>
          <w:strike w:val="false"/>
          <w:color w:val="000000"/>
          <w:sz w:val="24"/>
          <w:szCs w:val="24"/>
        </w:rPr>
        <w:t xml:space="preserve"> Ventura County &amp; Los Angeles County, California</w:t>
      </w:r>
    </w:p>
    <w:p>
      <w:pPr>
        <w:spacing w:after="80" w:before="60" w:line="360" w:lineRule="auto"/>
        <w:jc w:val="center"/>
      </w:pPr>
      <w:r>
        <w:rPr>
          <w:rFonts w:ascii="Cambria" w:cs="Cambria" w:eastAsia="Cambria" w:hAnsi="Cambria"/>
          <w:b/>
          <w:bCs/>
          <w:i w:val="false"/>
          <w:iCs w:val="false"/>
          <w:strike w:val="false"/>
          <w:color w:val="000000"/>
          <w:sz w:val="24"/>
          <w:szCs w:val="24"/>
        </w:rPr>
        <w:t xml:space="preserve">Date of Submission:</w:t>
      </w:r>
      <w:r>
        <w:rPr>
          <w:rFonts w:ascii="Cambria" w:cs="Cambria" w:eastAsia="Cambria" w:hAnsi="Cambria"/>
          <w:b w:val="false"/>
          <w:bCs w:val="false"/>
          <w:i w:val="false"/>
          <w:iCs w:val="false"/>
          <w:strike w:val="false"/>
          <w:color w:val="000000"/>
          <w:sz w:val="24"/>
          <w:szCs w:val="24"/>
        </w:rPr>
        <w:t xml:space="preserve"> April 21, 2026</w:t>
      </w:r>
    </w:p>
    <w:p>
      <w:pPr>
        <w:spacing w:after="120" w:before="60" w:line="360" w:lineRule="auto"/>
        <w:jc w:val="center"/>
      </w:pPr>
      <w:r>
        <w:rPr>
          <w:rFonts w:ascii="Cambria" w:cs="Cambria" w:eastAsia="Cambria" w:hAnsi="Cambria"/>
          <w:b w:val="false"/>
          <w:bCs w:val="false"/>
          <w:i/>
          <w:iCs/>
          <w:strike w:val="false"/>
          <w:color w:val="000000"/>
          <w:sz w:val="24"/>
          <w:szCs w:val="24"/>
        </w:rPr>
        <w:t xml:space="preserve">This package contains four (4) sections:</w:t>
      </w:r>
    </w:p>
    <w:p>
      <w:pPr>
        <w:spacing w:after="120" w:before="60" w:line="360" w:lineRule="auto"/>
        <w:jc w:val="center"/>
      </w:pPr>
      <w:r>
        <w:rPr>
          <w:rFonts w:ascii="Cambria" w:cs="Cambria" w:eastAsia="Cambria" w:hAnsi="Cambria"/>
          <w:b w:val="false"/>
          <w:bCs w:val="false"/>
          <w:i w:val="false"/>
          <w:iCs w:val="false"/>
          <w:strike w:val="false"/>
          <w:color w:val="333333"/>
          <w:sz w:val="24"/>
          <w:szCs w:val="24"/>
        </w:rPr>
        <w:t xml:space="preserve">Section 1 — Mission Need Statement</w:t>
      </w:r>
    </w:p>
    <w:p>
      <w:pPr>
        <w:spacing w:after="120" w:before="60" w:line="360" w:lineRule="auto"/>
        <w:jc w:val="center"/>
      </w:pPr>
      <w:r>
        <w:rPr>
          <w:rFonts w:ascii="Cambria" w:cs="Cambria" w:eastAsia="Cambria" w:hAnsi="Cambria"/>
          <w:b w:val="false"/>
          <w:bCs w:val="false"/>
          <w:i w:val="false"/>
          <w:iCs w:val="false"/>
          <w:strike w:val="false"/>
          <w:color w:val="333333"/>
          <w:sz w:val="24"/>
          <w:szCs w:val="24"/>
        </w:rPr>
        <w:t xml:space="preserve">Section 2 — Permanent Vehicle Assignment Memorandum</w:t>
      </w:r>
    </w:p>
    <w:p>
      <w:pPr>
        <w:spacing w:after="120" w:before="60" w:line="360" w:lineRule="auto"/>
        <w:jc w:val="center"/>
      </w:pPr>
      <w:r>
        <w:rPr>
          <w:rFonts w:ascii="Cambria" w:cs="Cambria" w:eastAsia="Cambria" w:hAnsi="Cambria"/>
          <w:b w:val="false"/>
          <w:bCs w:val="false"/>
          <w:i w:val="false"/>
          <w:iCs w:val="false"/>
          <w:strike w:val="false"/>
          <w:color w:val="333333"/>
          <w:sz w:val="24"/>
          <w:szCs w:val="24"/>
        </w:rPr>
        <w:t xml:space="preserve">Section 3 — Vehicle Class Specification Sheet</w:t>
      </w:r>
    </w:p>
    <w:p>
      <w:pPr>
        <w:spacing w:after="120" w:before="60" w:line="360" w:lineRule="auto"/>
        <w:jc w:val="center"/>
      </w:pPr>
      <w:r>
        <w:rPr>
          <w:rFonts w:ascii="Cambria" w:cs="Cambria" w:eastAsia="Cambria" w:hAnsi="Cambria"/>
          <w:b w:val="false"/>
          <w:bCs w:val="false"/>
          <w:i w:val="false"/>
          <w:iCs w:val="false"/>
          <w:strike w:val="false"/>
          <w:color w:val="333333"/>
          <w:sz w:val="24"/>
          <w:szCs w:val="24"/>
        </w:rPr>
        <w:t xml:space="preserve">Section 4 — Routing and Concurrence Sheet</w:t>
      </w:r>
    </w:p>
    <w:p>
      <w:pPr>
        <w:spacing w:after="120" w:before="60" w:line="360" w:lineRule="auto"/>
        <w:jc w:val="center"/>
      </w:pPr>
      <w:r>
        <w:rPr>
          <w:rFonts w:ascii="Cambria" w:cs="Cambria" w:eastAsia="Cambria" w:hAnsi="Cambria"/>
          <w:b w:val="false"/>
          <w:bCs w:val="false"/>
          <w:i w:val="false"/>
          <w:iCs w:val="false"/>
          <w:strike w:val="false"/>
          <w:color w:val="333333"/>
          <w:sz w:val="24"/>
          <w:szCs w:val="24"/>
        </w:rPr>
        <w:t xml:space="preserve">SECTION 1 OF 4</w:t>
      </w:r>
    </w:p>
    <w:p>
      <w:pPr>
        <w:pStyle w:val="Heading1"/>
        <w:spacing w:after="120" w:before="480" w:line="312" w:lineRule="auto"/>
        <w:jc w:val="center"/>
      </w:pPr>
      <w:r>
        <w:rPr>
          <w:rFonts w:ascii="Cambria" w:cs="Cambria" w:eastAsia="Cambria" w:hAnsi="Cambria"/>
          <w:color w:val="000000"/>
          <w:sz w:val="44"/>
          <w:szCs w:val="44"/>
        </w:rPr>
        <w:t xml:space="preserve">MISSION NEED STATEMENT</w:t>
      </w:r>
    </w:p>
    <w:p>
      <w:pPr>
        <w:spacing w:after="480" w:before="60" w:line="360" w:lineRule="auto"/>
        <w:jc w:val="center"/>
      </w:pPr>
      <w:r>
        <w:rPr>
          <w:rFonts w:ascii="Cambria" w:cs="Cambria" w:eastAsia="Cambria" w:hAnsi="Cambria"/>
          <w:b/>
          <w:bCs/>
          <w:i w:val="false"/>
          <w:iCs w:val="false"/>
          <w:strike w:val="false"/>
          <w:color w:val="000000"/>
          <w:sz w:val="24"/>
          <w:szCs w:val="24"/>
        </w:rPr>
        <w:t xml:space="preserve">Permanent GSA Fleet Vehicle Assignment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Requesting Official</w:t>
            </w:r>
          </w:p>
        </w:tc>
        <w:tc>
          <w:tcPr>
            <w:tcW w:type="pct" w:w="9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Brian Michael Frost</w:t>
            </w:r>
          </w:p>
        </w:tc>
      </w:tr>
      <w:tr>
        <w:trPr>
          <w:tblHeader w:val="false"/>
        </w:trPr>
        <w:tc>
          <w:tcPr>
            <w:tcW w:type="pct" w:w="1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Duty Station</w:t>
            </w:r>
          </w:p>
        </w:tc>
        <w:tc>
          <w:tcPr>
            <w:tcW w:type="pct" w:w="9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Camarillo, CA 93010 (Ventura County)</w:t>
            </w:r>
          </w:p>
        </w:tc>
      </w:tr>
      <w:tr>
        <w:trPr>
          <w:tblHeader w:val="false"/>
        </w:trPr>
        <w:tc>
          <w:tcPr>
            <w:tcW w:type="pct" w:w="1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Operating Area</w:t>
            </w:r>
          </w:p>
        </w:tc>
        <w:tc>
          <w:tcPr>
            <w:tcW w:type="pct" w:w="9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Ventura County and Los Angeles County, California</w:t>
            </w:r>
          </w:p>
        </w:tc>
      </w:tr>
      <w:tr>
        <w:trPr>
          <w:tblHeader w:val="false"/>
        </w:trPr>
        <w:tc>
          <w:tcPr>
            <w:tcW w:type="pct" w:w="1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Date</w:t>
            </w:r>
          </w:p>
        </w:tc>
        <w:tc>
          <w:tcPr>
            <w:tcW w:type="pct" w:w="9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April 21, 2026</w:t>
            </w:r>
          </w:p>
        </w:tc>
      </w:tr>
      <w:tr>
        <w:trPr>
          <w:tblHeader w:val="false"/>
        </w:trPr>
        <w:tc>
          <w:tcPr>
            <w:tcW w:type="pct" w:w="1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Regulatory Authority</w:t>
            </w:r>
          </w:p>
        </w:tc>
        <w:tc>
          <w:tcPr>
            <w:tcW w:type="pct" w:w="9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41 CFR Part 102-34; 41 CFR § 101-39.204</w:t>
            </w:r>
          </w:p>
        </w:tc>
      </w:tr>
    </w:tbl>
    <w:p>
      <w:pPr>
        <w:spacing w:after="200" w:before="0"/>
      </w:pPr>
    </w:p>
    <w:p>
      <w:pPr>
        <w:pBdr>
          <w:bottom w:val="single" w:color="000000" w:sz="6"/>
        </w:pBdr>
        <w:spacing w:after="240" w:before="240"/>
      </w:pPr>
    </w:p>
    <w:p>
      <w:pPr>
        <w:pStyle w:val="Heading2"/>
        <w:spacing w:after="120" w:before="360" w:line="312" w:lineRule="auto"/>
      </w:pPr>
      <w:r>
        <w:rPr>
          <w:rFonts w:ascii="Cambria" w:cs="Cambria" w:eastAsia="Cambria" w:hAnsi="Cambria"/>
          <w:color w:val="000000"/>
          <w:sz w:val="32"/>
          <w:szCs w:val="32"/>
        </w:rPr>
        <w:t xml:space="preserve">1.1   Purpose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This Mission Need Statement (MNS) establishes the operational requirement for the permanent assignment of a General Services Administration (GSA) Fleet sedan to support multi-county federal duties spanning Ventura County and Los Angeles County, California. This requirement is submitted in accordance with the authority and procedures set forth under 41 CFR Part 102-34 (Motor Vehicle Management) and 41 CFR § 101-39.204 (Obtaining Motor Vehicles for Indefinite Assignment). The purpose of this MNS is to document the mission-critical need for continuous, exclusive vehicle availability and to provide the justification necessary for approval of a permanent (indefinite) fleet vehicle assignment.</w:t>
      </w:r>
    </w:p>
    <w:p>
      <w:pPr>
        <w:pStyle w:val="Heading2"/>
        <w:spacing w:after="120" w:before="360" w:line="312" w:lineRule="auto"/>
      </w:pPr>
      <w:r>
        <w:rPr>
          <w:rFonts w:ascii="Cambria" w:cs="Cambria" w:eastAsia="Cambria" w:hAnsi="Cambria"/>
          <w:color w:val="000000"/>
          <w:sz w:val="32"/>
          <w:szCs w:val="32"/>
        </w:rPr>
        <w:t xml:space="preserve">1.2   Background</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operational environment for this assignment encompasses two major Southern California counties — Ventura County and Los Angeles County — spanning approximately 4,750 square miles of combined territory. The duty area is characterized by diverse terrain, including coastal corridors along the Pacific seaboard, dense urban metropolitan areas within the greater Los Angeles basin, mountain passes through the Santa Susana and San Gabriel ranges, and inland valleys extending through the Oxnard Plain and Santa Clarita Valley.</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Mission execution requires frequent travel between duty stations, field sites, partner agency locations, and administrative offices distributed across both counties. These operational movements are often time-sensitive, unpredictable in scheduling, and span significant geographic distances requiring sustained highway travel.</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Current transportation alternatives — including public transit systems, commercial ride-share services, and short-term vehicle rentals — have been evaluated and determined to be inadequate for the following reasons: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Public transit coverage between Ventura and Los Angeles Counties is limited and does not provide the required response times or route flexibility;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Commercial ride-share services cannot accommodate the transport of sensitive materials, communications equipment, or administrative records;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Short-term rental vehicles do not provide the operational security, integrated telematics, or agency-standard equipment configurations required for mission execution;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None of these alternatives offer the scheduling flexibility necessary to respond to time-sensitive taskings across jurisdictional boundaries.</w:t>
      </w:r>
    </w:p>
    <w:p>
      <w:pPr>
        <w:pStyle w:val="Heading2"/>
        <w:spacing w:after="120" w:before="360" w:line="312" w:lineRule="auto"/>
      </w:pPr>
      <w:r>
        <w:rPr>
          <w:rFonts w:ascii="Cambria" w:cs="Cambria" w:eastAsia="Cambria" w:hAnsi="Cambria"/>
          <w:color w:val="000000"/>
          <w:sz w:val="32"/>
          <w:szCs w:val="32"/>
        </w:rPr>
        <w:t xml:space="preserve">1.3   Operational Requirements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following operational requirements have been identified as essential to mission execution within the designated multi-county duty area:</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Reliable daily transportation across a multi-county duty area averaging 80–150 miles per day;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Capacity to respond to time-sensitive operational taskings across jurisdictional boundaries;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Secure transport of sensitive materials, communications equipment, and administrative records;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All-weather operational capability across varied Southern California terrain and conditions, including coastal fog, seasonal rain events, and mountain pass conditions;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Professional representation at inter-agency meetings, site inspections, and coordination events throughout the operating area;</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Sustained highway performance for frequent use of US-101, I-405, SR-118, SR-126, and I-5 corridors, including extended periods of high-speed travel in mixed traffic conditions.</w:t>
      </w:r>
    </w:p>
    <w:p>
      <w:pPr>
        <w:pStyle w:val="Heading2"/>
        <w:spacing w:after="120" w:before="360" w:line="312" w:lineRule="auto"/>
      </w:pPr>
      <w:r>
        <w:rPr>
          <w:rFonts w:ascii="Cambria" w:cs="Cambria" w:eastAsia="Cambria" w:hAnsi="Cambria"/>
          <w:color w:val="000000"/>
          <w:sz w:val="32"/>
          <w:szCs w:val="32"/>
        </w:rPr>
        <w:t xml:space="preserve">1.4   Justification for Permanent Assignment</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frequency, geographic scope, and unpredictable scheduling of multi-county duties make short-term vehicle pools, daily dispatch arrangements, or commercial transportation alternatives operationally infeasible. The requesting official's mission profile requires vehicle availability at all times during duty hours, with the ability to respond to unscheduled taskings on short notice across a duty area spanning two counties and approximately 4,750 square miles.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Per 41 CFR § 101-39.204, a permanent (indefinite) assignment is justified when the mission requires continuous, exclusive vehicle availability and when alternative means of transportation cannot cost-effectively meet mission needs. The following factors support this determination: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Continuous Availability:</w:t>
      </w:r>
      <w:r>
        <w:rPr>
          <w:rFonts w:ascii="Cambria" w:cs="Cambria" w:eastAsia="Cambria" w:hAnsi="Cambria"/>
          <w:b w:val="false"/>
          <w:bCs w:val="false"/>
          <w:i w:val="false"/>
          <w:iCs w:val="false"/>
          <w:strike w:val="false"/>
          <w:color w:val="000000"/>
          <w:sz w:val="24"/>
          <w:szCs w:val="24"/>
        </w:rPr>
        <w:t xml:space="preserve"> The mission requires a vehicle to be available at the duty station at all times during operating hours, without the delays inherent in pool dispatch or rental procurement;</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Exclusive Assignment:</w:t>
      </w:r>
      <w:r>
        <w:rPr>
          <w:rFonts w:ascii="Cambria" w:cs="Cambria" w:eastAsia="Cambria" w:hAnsi="Cambria"/>
          <w:b w:val="false"/>
          <w:bCs w:val="false"/>
          <w:i w:val="false"/>
          <w:iCs w:val="false"/>
          <w:strike w:val="false"/>
          <w:color w:val="000000"/>
          <w:sz w:val="24"/>
          <w:szCs w:val="24"/>
        </w:rPr>
        <w:t xml:space="preserve"> Sensitive materials and communications equipment must be secured within a designated vehicle, precluding shared-use or pool arrangements;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Cost-Effectiveness:</w:t>
      </w:r>
      <w:r>
        <w:rPr>
          <w:rFonts w:ascii="Cambria" w:cs="Cambria" w:eastAsia="Cambria" w:hAnsi="Cambria"/>
          <w:b w:val="false"/>
          <w:bCs w:val="false"/>
          <w:i w:val="false"/>
          <w:iCs w:val="false"/>
          <w:strike w:val="false"/>
          <w:color w:val="000000"/>
          <w:sz w:val="24"/>
          <w:szCs w:val="24"/>
        </w:rPr>
        <w:t xml:space="preserve"> Estimated annual mileage of 22,000–30,000 miles makes a permanent GSA Fleet assignment significantly more cost-effective than daily rental, ride-share, or taxi alternatives;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Operational Efficiency:</w:t>
      </w:r>
      <w:r>
        <w:rPr>
          <w:rFonts w:ascii="Cambria" w:cs="Cambria" w:eastAsia="Cambria" w:hAnsi="Cambria"/>
          <w:b w:val="false"/>
          <w:bCs w:val="false"/>
          <w:i w:val="false"/>
          <w:iCs w:val="false"/>
          <w:strike w:val="false"/>
          <w:color w:val="000000"/>
          <w:sz w:val="24"/>
          <w:szCs w:val="24"/>
        </w:rPr>
        <w:t xml:space="preserve"> Elimination of daily dispatch procedures, vehicle checkout/return processes, and rental procurement timelines directly supports mission responsiveness.</w:t>
      </w:r>
    </w:p>
    <w:p>
      <w:pPr>
        <w:pStyle w:val="Heading2"/>
        <w:spacing w:after="120" w:before="360" w:line="312" w:lineRule="auto"/>
      </w:pPr>
      <w:r>
        <w:rPr>
          <w:rFonts w:ascii="Cambria" w:cs="Cambria" w:eastAsia="Cambria" w:hAnsi="Cambria"/>
          <w:color w:val="000000"/>
          <w:sz w:val="32"/>
          <w:szCs w:val="32"/>
        </w:rPr>
        <w:t xml:space="preserve">1.5   Conclusion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Based on the operational requirements, mission profile, and cost-effectiveness analysis described herein, a permanent GSA Fleet sedan, classified at the Full-Size Sedan level (GSA Standard Class 330/340 equivalent or higher), is required to meet the stated mission need. This vehicle classification is necessary to provide the highway stability, passenger capacity, cargo volume, and sustained performance characteristics essential to multi-county federal operations across Ventura and Los Angeles Counties, California.</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Approval of this Mission Need Statement is respectfully requested to support the formal vehicle assignment process in accordance with 41 CFR Part 102-34 and 41 CFR § 101-39.204.</w:t>
      </w:r>
    </w:p>
    <w:p>
      <w:pPr>
        <w:spacing w:after="120" w:before="60" w:line="360" w:lineRule="auto"/>
        <w:jc w:val="center"/>
      </w:pPr>
      <w:r>
        <w:rPr>
          <w:rFonts w:ascii="Cambria" w:cs="Cambria" w:eastAsia="Cambria" w:hAnsi="Cambria"/>
          <w:b w:val="false"/>
          <w:bCs w:val="false"/>
          <w:i w:val="false"/>
          <w:iCs w:val="false"/>
          <w:strike w:val="false"/>
          <w:color w:val="333333"/>
          <w:sz w:val="24"/>
          <w:szCs w:val="24"/>
        </w:rPr>
        <w:t xml:space="preserve">SECTION 2 OF 4</w:t>
      </w:r>
    </w:p>
    <w:p>
      <w:pPr>
        <w:pStyle w:val="Heading1"/>
        <w:spacing w:after="480" w:before="480" w:line="312" w:lineRule="auto"/>
        <w:jc w:val="center"/>
      </w:pPr>
      <w:r>
        <w:rPr>
          <w:rFonts w:ascii="Cambria" w:cs="Cambria" w:eastAsia="Cambria" w:hAnsi="Cambria"/>
          <w:color w:val="000000"/>
          <w:sz w:val="44"/>
          <w:szCs w:val="44"/>
        </w:rPr>
        <w:t xml:space="preserve">MEMORANDUM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DATE:</w:t>
            </w:r>
          </w:p>
        </w:tc>
        <w:tc>
          <w:tcPr>
            <w:tcW w:type="pct" w:w="87%"/>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April 21, 2026</w:t>
            </w:r>
          </w:p>
        </w:tc>
      </w:tr>
      <w:tr>
        <w:trPr>
          <w:tblHeader w:val="false"/>
        </w:trPr>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FROM:</w:t>
            </w:r>
          </w:p>
        </w:tc>
        <w:tc>
          <w:tcPr>
            <w:tcW w:type="pct" w:w="8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Brian Michael Frost, Requesting Official</w:t>
            </w:r>
          </w:p>
        </w:tc>
      </w:tr>
      <w:tr>
        <w:trPr>
          <w:tblHeader w:val="false"/>
        </w:trPr>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TO:</w:t>
            </w:r>
          </w:p>
        </w:tc>
        <w:tc>
          <w:tcPr>
            <w:tcW w:type="pct" w:w="8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Fleet Manager / GSA Fleet Management Center, Pacific Rim Region</w:t>
            </w:r>
          </w:p>
        </w:tc>
      </w:tr>
      <w:tr>
        <w:trPr>
          <w:tblHeader w:val="false"/>
        </w:trPr>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SUBJECT:</w:t>
            </w:r>
          </w:p>
        </w:tc>
        <w:tc>
          <w:tcPr>
            <w:tcW w:type="pct" w:w="8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Request for Permanent Assignment — GSA Fleet Full-Size Sedan, Multi-County Duty Area (Ventura/Los Angeles Counties, CA)</w:t>
            </w:r>
          </w:p>
        </w:tc>
      </w:tr>
    </w:tbl>
    <w:p>
      <w:pPr>
        <w:spacing w:after="200" w:before="0"/>
      </w:pPr>
    </w:p>
    <w:p>
      <w:pPr>
        <w:pBdr>
          <w:bottom w:val="single" w:color="000000" w:sz="6"/>
        </w:pBdr>
        <w:spacing w:after="240" w:before="240"/>
      </w:pPr>
    </w:p>
    <w:p>
      <w:pPr>
        <w:pStyle w:val="Heading2"/>
        <w:spacing w:after="120" w:before="360" w:line="312" w:lineRule="auto"/>
      </w:pPr>
      <w:r>
        <w:rPr>
          <w:rFonts w:ascii="Cambria" w:cs="Cambria" w:eastAsia="Cambria" w:hAnsi="Cambria"/>
          <w:color w:val="000000"/>
          <w:sz w:val="32"/>
          <w:szCs w:val="32"/>
        </w:rPr>
        <w:t xml:space="preserve">2.1   Request</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I hereby formally request the permanent (indefinite) assignment of one (1) GSA Fleet full-size sedan, classified at the Full-Size Sedan standard (Class 330/340 equivalent or higher), for exclusive use in support of multi-county federal operations spanning Ventura County and Los Angeles County, California. This request is submitted in accordance with applicable Federal Management Regulation (FMR) guidance governing the permanent assignment of motor vehicles to federal personnel.</w:t>
      </w:r>
    </w:p>
    <w:p>
      <w:pPr>
        <w:pStyle w:val="Heading2"/>
        <w:spacing w:after="120" w:before="360" w:line="312" w:lineRule="auto"/>
      </w:pPr>
      <w:r>
        <w:rPr>
          <w:rFonts w:ascii="Cambria" w:cs="Cambria" w:eastAsia="Cambria" w:hAnsi="Cambria"/>
          <w:color w:val="000000"/>
          <w:sz w:val="32"/>
          <w:szCs w:val="32"/>
        </w:rPr>
        <w:t xml:space="preserve">2.2   Authority</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This request is submitted pursuant to the following regulatory authorities: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41 CFR Part 102-34</w:t>
      </w:r>
      <w:r>
        <w:rPr>
          <w:rFonts w:ascii="Cambria" w:cs="Cambria" w:eastAsia="Cambria" w:hAnsi="Cambria"/>
          <w:b w:val="false"/>
          <w:bCs w:val="false"/>
          <w:i w:val="false"/>
          <w:iCs w:val="false"/>
          <w:strike w:val="false"/>
          <w:color w:val="000000"/>
          <w:sz w:val="24"/>
          <w:szCs w:val="24"/>
        </w:rPr>
        <w:t xml:space="preserve"> — Motor Vehicle Management, which establishes the policies and procedures governing the acquisition, assignment, and management of federal motor vehicles;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41 CFR § 101-39.204</w:t>
      </w:r>
      <w:r>
        <w:rPr>
          <w:rFonts w:ascii="Cambria" w:cs="Cambria" w:eastAsia="Cambria" w:hAnsi="Cambria"/>
          <w:b w:val="false"/>
          <w:bCs w:val="false"/>
          <w:i w:val="false"/>
          <w:iCs w:val="false"/>
          <w:strike w:val="false"/>
          <w:color w:val="000000"/>
          <w:sz w:val="24"/>
          <w:szCs w:val="24"/>
        </w:rPr>
        <w:t xml:space="preserve"> — Obtaining Motor Vehicles for Indefinite Assignment, which prescribes the requirements and justification standards for permanent vehicle assignments;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Applicable </w:t>
      </w:r>
      <w:r>
        <w:rPr>
          <w:rFonts w:ascii="Cambria" w:cs="Cambria" w:eastAsia="Cambria" w:hAnsi="Cambria"/>
          <w:b/>
          <w:bCs/>
          <w:i w:val="false"/>
          <w:iCs w:val="false"/>
          <w:strike w:val="false"/>
          <w:color w:val="000000"/>
          <w:sz w:val="24"/>
          <w:szCs w:val="24"/>
        </w:rPr>
        <w:t xml:space="preserve">Federal Management Regulation (FMR)</w:t>
      </w:r>
      <w:r>
        <w:rPr>
          <w:rFonts w:ascii="Cambria" w:cs="Cambria" w:eastAsia="Cambria" w:hAnsi="Cambria"/>
          <w:b w:val="false"/>
          <w:bCs w:val="false"/>
          <w:i w:val="false"/>
          <w:iCs w:val="false"/>
          <w:strike w:val="false"/>
          <w:color w:val="000000"/>
          <w:sz w:val="24"/>
          <w:szCs w:val="24"/>
        </w:rPr>
        <w:t xml:space="preserve"> guidance regarding fleet utilization, cost-effectiveness analysis, and vehicle class determinations.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This request is submitted with the concurrence of the designated agency fleet manager, as required under 41 CFR § 101-39.204(b)(1). The concurrence certification is documented in the Routing and Concurrence Sheet (Section 4) attached to this package.</w:t>
      </w:r>
    </w:p>
    <w:p>
      <w:pPr>
        <w:pStyle w:val="Heading2"/>
        <w:spacing w:after="120" w:before="360" w:line="312" w:lineRule="auto"/>
      </w:pPr>
      <w:r>
        <w:rPr>
          <w:rFonts w:ascii="Cambria" w:cs="Cambria" w:eastAsia="Cambria" w:hAnsi="Cambria"/>
          <w:color w:val="000000"/>
          <w:sz w:val="32"/>
          <w:szCs w:val="32"/>
        </w:rPr>
        <w:t xml:space="preserve">2.3   Vehicle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Parameter</w:t>
            </w:r>
          </w:p>
        </w:tc>
        <w:tc>
          <w:tcPr>
            <w:tcW w:type="pct" w:w="81%"/>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Requirement</w:t>
            </w:r>
          </w:p>
        </w:tc>
      </w:tr>
      <w:tr>
        <w:trPr>
          <w:tblHeader w:val="false"/>
        </w:trPr>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Vehicle Type</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Full-Size Sedan (GSA Class 330/340 equivalent or higher)</w:t>
            </w:r>
          </w:p>
        </w:tc>
      </w:tr>
      <w:tr>
        <w:trPr>
          <w:tblHeader w:val="false"/>
        </w:trPr>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Drivetrain</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Rear-wheel drive or all-wheel drive</w:t>
            </w:r>
          </w:p>
        </w:tc>
      </w:tr>
      <w:tr>
        <w:trPr>
          <w:tblHeader w:val="false"/>
        </w:trPr>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Engine</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Turbocharged V6, minimum 300 horsepower</w:t>
            </w:r>
          </w:p>
        </w:tc>
      </w:tr>
      <w:tr>
        <w:trPr>
          <w:tblHeader w:val="false"/>
        </w:trPr>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Transmission</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Automatic (10-speed preferred)</w:t>
            </w:r>
          </w:p>
        </w:tc>
      </w:tr>
      <w:tr>
        <w:trPr>
          <w:tblHeader w:val="false"/>
        </w:trPr>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Minimum Cargo Capacity</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11.0 cubic feet</w:t>
            </w:r>
          </w:p>
        </w:tc>
      </w:tr>
      <w:tr>
        <w:trPr>
          <w:tblHeader w:val="false"/>
        </w:trPr>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Seating Capacity</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 passengers</w:t>
            </w:r>
          </w:p>
        </w:tc>
      </w:tr>
      <w:tr>
        <w:trPr>
          <w:tblHeader w:val="false"/>
        </w:trPr>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Required Features</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Integrated telematics, advanced safety suite (ADAS), dual-zone automatic climate control, Bluetooth/hands-free communications, smartphone integration</w:t>
            </w:r>
          </w:p>
        </w:tc>
      </w:tr>
      <w:tr>
        <w:trPr>
          <w:tblHeader w:val="false"/>
        </w:trPr>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Fuel Type</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Premium unleaded gasoline</w:t>
            </w:r>
          </w:p>
        </w:tc>
      </w:tr>
    </w:tbl>
    <w:p>
      <w:pPr>
        <w:spacing w:after="200" w:before="0"/>
      </w:pPr>
    </w:p>
    <w:p>
      <w:pPr>
        <w:pStyle w:val="Heading2"/>
        <w:spacing w:after="120" w:before="360" w:line="312" w:lineRule="auto"/>
      </w:pPr>
      <w:r>
        <w:rPr>
          <w:rFonts w:ascii="Cambria" w:cs="Cambria" w:eastAsia="Cambria" w:hAnsi="Cambria"/>
          <w:color w:val="000000"/>
          <w:sz w:val="32"/>
          <w:szCs w:val="32"/>
        </w:rPr>
        <w:t xml:space="preserve">2.4   Assignment Location</w:t>
      </w:r>
    </w:p>
    <w:p>
      <w:pPr>
        <w:spacing w:after="120" w:before="60" w:line="360" w:lineRule="auto"/>
      </w:pPr>
      <w:r>
        <w:rPr>
          <w:rFonts w:ascii="Cambria" w:cs="Cambria" w:eastAsia="Cambria" w:hAnsi="Cambria"/>
          <w:b/>
          <w:bCs/>
          <w:i w:val="false"/>
          <w:iCs w:val="false"/>
          <w:strike w:val="false"/>
          <w:color w:val="000000"/>
          <w:sz w:val="24"/>
          <w:szCs w:val="24"/>
        </w:rPr>
        <w:t xml:space="preserve">Primary Garage Location:</w:t>
      </w:r>
      <w:r>
        <w:rPr>
          <w:rFonts w:ascii="Cambria" w:cs="Cambria" w:eastAsia="Cambria" w:hAnsi="Cambria"/>
          <w:b w:val="false"/>
          <w:bCs w:val="false"/>
          <w:i w:val="false"/>
          <w:iCs w:val="false"/>
          <w:strike w:val="false"/>
          <w:color w:val="000000"/>
          <w:sz w:val="24"/>
          <w:szCs w:val="24"/>
        </w:rPr>
        <w:t xml:space="preserve"> Camarillo, CA 93010 (Ventura County)</w:t>
      </w:r>
    </w:p>
    <w:p>
      <w:pPr>
        <w:spacing w:after="120" w:before="60" w:line="360" w:lineRule="auto"/>
      </w:pPr>
      <w:r>
        <w:rPr>
          <w:rFonts w:ascii="Cambria" w:cs="Cambria" w:eastAsia="Cambria" w:hAnsi="Cambria"/>
          <w:b/>
          <w:bCs/>
          <w:i w:val="false"/>
          <w:iCs w:val="false"/>
          <w:strike w:val="false"/>
          <w:color w:val="000000"/>
          <w:sz w:val="24"/>
          <w:szCs w:val="24"/>
        </w:rPr>
        <w:t xml:space="preserve">Operating Area:</w:t>
      </w:r>
      <w:r>
        <w:rPr>
          <w:rFonts w:ascii="Cambria" w:cs="Cambria" w:eastAsia="Cambria" w:hAnsi="Cambria"/>
          <w:b w:val="false"/>
          <w:bCs w:val="false"/>
          <w:i w:val="false"/>
          <w:iCs w:val="false"/>
          <w:strike w:val="false"/>
          <w:color w:val="000000"/>
          <w:sz w:val="24"/>
          <w:szCs w:val="24"/>
        </w:rPr>
        <w:t xml:space="preserve"> All of Ventura County and Los Angeles County, California. The combined operating area encompasses approximately 4,750 square miles, with regular travel routes including US-101, I-405, SR-118, SR-126, and I-5 corridors.</w:t>
      </w:r>
    </w:p>
    <w:p>
      <w:pPr>
        <w:pStyle w:val="Heading2"/>
        <w:spacing w:after="120" w:before="360" w:line="312" w:lineRule="auto"/>
      </w:pPr>
      <w:r>
        <w:rPr>
          <w:rFonts w:ascii="Cambria" w:cs="Cambria" w:eastAsia="Cambria" w:hAnsi="Cambria"/>
          <w:color w:val="000000"/>
          <w:sz w:val="32"/>
          <w:szCs w:val="32"/>
        </w:rPr>
        <w:t xml:space="preserve">2.5   Date Required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2%"/>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Earliest Acceptable Date</w:t>
            </w:r>
          </w:p>
        </w:tc>
        <w:tc>
          <w:tcPr>
            <w:tcW w:type="pct" w:w="88%"/>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June 1, 2026</w:t>
            </w:r>
          </w:p>
        </w:tc>
      </w:tr>
      <w:tr>
        <w:trPr>
          <w:tblHeader w:val="false"/>
        </w:trPr>
        <w:tc>
          <w:tcPr>
            <w:tcW w:type="pct" w:w="12%"/>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Latest Acceptable Date</w:t>
            </w:r>
          </w:p>
        </w:tc>
        <w:tc>
          <w:tcPr>
            <w:tcW w:type="pct" w:w="8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September 30, 2026</w:t>
            </w:r>
          </w:p>
        </w:tc>
      </w:tr>
    </w:tbl>
    <w:p>
      <w:pPr>
        <w:spacing w:after="200" w:before="0"/>
      </w:pPr>
    </w:p>
    <w:p>
      <w:pPr>
        <w:pStyle w:val="Heading2"/>
        <w:spacing w:after="120" w:before="360" w:line="312" w:lineRule="auto"/>
      </w:pPr>
      <w:r>
        <w:rPr>
          <w:rFonts w:ascii="Cambria" w:cs="Cambria" w:eastAsia="Cambria" w:hAnsi="Cambria"/>
          <w:color w:val="000000"/>
          <w:sz w:val="32"/>
          <w:szCs w:val="32"/>
        </w:rPr>
        <w:t xml:space="preserve">2.6   Estimated Annual Utilization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Estimated annual mileage: </w:t>
      </w:r>
      <w:r>
        <w:rPr>
          <w:rFonts w:ascii="Cambria" w:cs="Cambria" w:eastAsia="Cambria" w:hAnsi="Cambria"/>
          <w:b/>
          <w:bCs/>
          <w:i w:val="false"/>
          <w:iCs w:val="false"/>
          <w:strike w:val="false"/>
          <w:color w:val="000000"/>
          <w:sz w:val="24"/>
          <w:szCs w:val="24"/>
        </w:rPr>
        <w:t xml:space="preserve">22,000–30,000 miles</w:t>
      </w:r>
      <w:r>
        <w:rPr>
          <w:rFonts w:ascii="Cambria" w:cs="Cambria" w:eastAsia="Cambria" w:hAnsi="Cambria"/>
          <w:b w:val="false"/>
          <w:bCs w:val="false"/>
          <w:i w:val="false"/>
          <w:iCs w:val="false"/>
          <w:strike w:val="false"/>
          <w:color w:val="000000"/>
          <w:sz w:val="24"/>
          <w:szCs w:val="24"/>
        </w:rPr>
        <w:t xml:space="preserve">. This estimate is based on current operational tempo, including daily multi-county travel averaging 80–150 miles per day across approximately 240–260 duty days per year.</w:t>
      </w:r>
    </w:p>
    <w:p>
      <w:pPr>
        <w:pStyle w:val="Heading2"/>
        <w:spacing w:after="120" w:before="360" w:line="312" w:lineRule="auto"/>
      </w:pPr>
      <w:r>
        <w:rPr>
          <w:rFonts w:ascii="Cambria" w:cs="Cambria" w:eastAsia="Cambria" w:hAnsi="Cambria"/>
          <w:color w:val="000000"/>
          <w:sz w:val="32"/>
          <w:szCs w:val="32"/>
        </w:rPr>
        <w:t xml:space="preserve">2.7   Certification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80"/>
              <w:left w:type="dxa" w:w="180"/>
              <w:bottom w:type="dxa" w:w="180"/>
              <w:right w:type="dxa" w:w="180"/>
            </w:tcMar>
          </w:tcPr>
          <w:p>
            <w:pPr>
              <w:spacing w:after="120" w:line="360" w:lineRule="auto"/>
            </w:pPr>
            <w:r>
              <w:rPr>
                <w:rFonts w:ascii="Cambria" w:cs="Cambria" w:eastAsia="Cambria" w:hAnsi="Cambria"/>
                <w:b/>
                <w:bCs/>
                <w:i w:val="false"/>
                <w:iCs w:val="false"/>
                <w:strike w:val="false"/>
                <w:color w:val="000000"/>
                <w:sz w:val="24"/>
                <w:szCs w:val="24"/>
              </w:rPr>
              <w:t xml:space="preserve">CERTIFICATION STATEMENT</w:t>
            </w:r>
          </w:p>
          <w:p>
            <w:pPr>
              <w:spacing w:after="120" w:line="360" w:lineRule="auto"/>
            </w:pPr>
            <w:r>
              <w:rPr>
                <w:rFonts w:ascii="Cambria" w:cs="Cambria" w:eastAsia="Cambria" w:hAnsi="Cambria"/>
                <w:b w:val="false"/>
                <w:bCs w:val="false"/>
                <w:i w:val="false"/>
                <w:iCs w:val="false"/>
                <w:strike w:val="false"/>
                <w:color w:val="000000"/>
                <w:sz w:val="24"/>
                <w:szCs w:val="24"/>
              </w:rPr>
              <w:t xml:space="preserve">I certify that this request has been coordinated with the designated agency fleet manager, that alternative means of transportation have been evaluated and determined to be infeasible or not cost-effective for the described mission, and that a vehicle larger than compact size is essential to the agency's mission as described herein, in accordance with 41 CFR § 101-39.204(b)(2).</w:t>
            </w:r>
          </w:p>
        </w:tc>
      </w:tr>
    </w:tbl>
    <w:p>
      <w:pPr>
        <w:spacing w:after="240" w:before="0"/>
      </w:pPr>
    </w:p>
    <w:p>
      <w:pPr>
        <w:pBdr>
          <w:bottom w:val="single" w:color="000000" w:sz="6"/>
        </w:pBdr>
        <w:spacing w:after="240" w:before="240"/>
      </w:pPr>
    </w:p>
    <w:p>
      <w:pPr>
        <w:spacing w:after="60" w:before="60" w:line="360" w:lineRule="auto"/>
      </w:pPr>
      <w:r>
        <w:rPr>
          <w:rFonts w:ascii="Cambria" w:cs="Cambria" w:eastAsia="Cambria" w:hAnsi="Cambria"/>
          <w:b/>
          <w:bCs/>
          <w:i w:val="false"/>
          <w:iCs w:val="false"/>
          <w:strike w:val="false"/>
          <w:color w:val="000000"/>
          <w:sz w:val="24"/>
          <w:szCs w:val="24"/>
        </w:rPr>
        <w:t xml:space="preserve">Brian Michael Frost</w:t>
      </w:r>
    </w:p>
    <w:p>
      <w:pPr>
        <w:spacing w:after="60" w:before="60" w:line="360" w:lineRule="auto"/>
      </w:pPr>
      <w:r>
        <w:rPr>
          <w:rFonts w:ascii="Cambria" w:cs="Cambria" w:eastAsia="Cambria" w:hAnsi="Cambria"/>
          <w:b w:val="false"/>
          <w:bCs w:val="false"/>
          <w:i w:val="false"/>
          <w:iCs w:val="false"/>
          <w:strike w:val="false"/>
          <w:color w:val="000000"/>
          <w:sz w:val="24"/>
          <w:szCs w:val="24"/>
        </w:rPr>
        <w:t xml:space="preserve">Requesting Official</w:t>
      </w:r>
    </w:p>
    <w:p>
      <w:pPr>
        <w:spacing w:after="60" w:before="60" w:line="360" w:lineRule="auto"/>
      </w:pPr>
      <w:r>
        <w:rPr>
          <w:rFonts w:ascii="Cambria" w:cs="Cambria" w:eastAsia="Cambria" w:hAnsi="Cambria"/>
          <w:b w:val="false"/>
          <w:bCs w:val="false"/>
          <w:i w:val="false"/>
          <w:iCs w:val="false"/>
          <w:strike w:val="false"/>
          <w:color w:val="000000"/>
          <w:sz w:val="24"/>
          <w:szCs w:val="24"/>
        </w:rPr>
        <w:t xml:space="preserve">Date: _______________</w:t>
      </w:r>
    </w:p>
    <w:p>
      <w:pPr>
        <w:spacing w:after="120" w:before="60" w:line="360" w:lineRule="auto"/>
        <w:jc w:val="center"/>
      </w:pPr>
      <w:r>
        <w:rPr>
          <w:rFonts w:ascii="Cambria" w:cs="Cambria" w:eastAsia="Cambria" w:hAnsi="Cambria"/>
          <w:b w:val="false"/>
          <w:bCs w:val="false"/>
          <w:i w:val="false"/>
          <w:iCs w:val="false"/>
          <w:strike w:val="false"/>
          <w:color w:val="333333"/>
          <w:sz w:val="24"/>
          <w:szCs w:val="24"/>
        </w:rPr>
        <w:t xml:space="preserve">SECTION 3 OF 4</w:t>
      </w:r>
    </w:p>
    <w:p>
      <w:pPr>
        <w:pStyle w:val="Heading1"/>
        <w:spacing w:after="120" w:before="480" w:line="312" w:lineRule="auto"/>
        <w:jc w:val="center"/>
      </w:pPr>
      <w:r>
        <w:rPr>
          <w:rFonts w:ascii="Cambria" w:cs="Cambria" w:eastAsia="Cambria" w:hAnsi="Cambria"/>
          <w:color w:val="000000"/>
          <w:sz w:val="44"/>
          <w:szCs w:val="44"/>
        </w:rPr>
        <w:t xml:space="preserve">VEHICLE CLASS SPECIFICATION</w:t>
      </w:r>
    </w:p>
    <w:p>
      <w:pPr>
        <w:spacing w:after="80" w:before="60" w:line="360" w:lineRule="auto"/>
        <w:jc w:val="center"/>
      </w:pPr>
      <w:r>
        <w:rPr>
          <w:rFonts w:ascii="Cambria" w:cs="Cambria" w:eastAsia="Cambria" w:hAnsi="Cambria"/>
          <w:b/>
          <w:bCs/>
          <w:i w:val="false"/>
          <w:iCs w:val="false"/>
          <w:strike w:val="false"/>
          <w:color w:val="000000"/>
          <w:sz w:val="24"/>
          <w:szCs w:val="24"/>
        </w:rPr>
        <w:t xml:space="preserve">Full-Size Sedan, GSA Class 330/340 Equivalent</w:t>
      </w:r>
    </w:p>
    <w:p>
      <w:pPr>
        <w:spacing w:after="480" w:before="60" w:line="360" w:lineRule="auto"/>
        <w:jc w:val="center"/>
      </w:pPr>
      <w:r>
        <w:rPr>
          <w:rFonts w:ascii="Cambria" w:cs="Cambria" w:eastAsia="Cambria" w:hAnsi="Cambria"/>
          <w:b w:val="false"/>
          <w:bCs w:val="false"/>
          <w:i/>
          <w:iCs/>
          <w:strike w:val="false"/>
          <w:color w:val="000000"/>
          <w:sz w:val="24"/>
          <w:szCs w:val="24"/>
        </w:rPr>
        <w:t xml:space="preserve">Aligned to Cadillac CT5-V or Equivalent Performance Sedan</w:t>
      </w:r>
    </w:p>
    <w:p>
      <w:pPr>
        <w:pBdr>
          <w:bottom w:val="single" w:color="000000" w:sz="6"/>
        </w:pBdr>
        <w:spacing w:after="240" w:before="240"/>
      </w:pPr>
    </w:p>
    <w:p>
      <w:pPr>
        <w:pStyle w:val="Heading2"/>
        <w:spacing w:after="120" w:before="360" w:line="312" w:lineRule="auto"/>
      </w:pPr>
      <w:r>
        <w:rPr>
          <w:rFonts w:ascii="Cambria" w:cs="Cambria" w:eastAsia="Cambria" w:hAnsi="Cambria"/>
          <w:color w:val="000000"/>
          <w:sz w:val="32"/>
          <w:szCs w:val="32"/>
        </w:rPr>
        <w:t xml:space="preserve">3.1   General Classification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3%"/>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Parameter</w:t>
            </w:r>
          </w:p>
        </w:tc>
        <w:tc>
          <w:tcPr>
            <w:tcW w:type="pct" w:w="67%"/>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Specification</w:t>
            </w:r>
          </w:p>
        </w:tc>
      </w:tr>
      <w:tr>
        <w:trPr>
          <w:tblHeader w:val="false"/>
        </w:trPr>
        <w:tc>
          <w:tcPr>
            <w:tcW w:type="pct" w:w="3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GSA Vehicle Class</w:t>
            </w:r>
          </w:p>
        </w:tc>
        <w:tc>
          <w:tcPr>
            <w:tcW w:type="pct" w:w="6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Full-Size Sedan (Class 330/340 or equivalent)</w:t>
            </w:r>
          </w:p>
        </w:tc>
      </w:tr>
      <w:tr>
        <w:trPr>
          <w:tblHeader w:val="false"/>
        </w:trPr>
        <w:tc>
          <w:tcPr>
            <w:tcW w:type="pct" w:w="3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Reference Vehicle</w:t>
            </w:r>
          </w:p>
        </w:tc>
        <w:tc>
          <w:tcPr>
            <w:tcW w:type="pct" w:w="6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Cadillac CT5-V (2025/2026 Model Year)</w:t>
            </w:r>
          </w:p>
        </w:tc>
      </w:tr>
      <w:tr>
        <w:trPr>
          <w:tblHeader w:val="false"/>
        </w:trPr>
        <w:tc>
          <w:tcPr>
            <w:tcW w:type="pct" w:w="3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Body Style</w:t>
            </w:r>
          </w:p>
        </w:tc>
        <w:tc>
          <w:tcPr>
            <w:tcW w:type="pct" w:w="6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4-Door Sedan</w:t>
            </w:r>
          </w:p>
        </w:tc>
      </w:tr>
      <w:tr>
        <w:trPr>
          <w:tblHeader w:val="false"/>
        </w:trPr>
        <w:tc>
          <w:tcPr>
            <w:tcW w:type="pct" w:w="3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Seating Capacity</w:t>
            </w:r>
          </w:p>
        </w:tc>
        <w:tc>
          <w:tcPr>
            <w:tcW w:type="pct" w:w="6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 Passengers</w:t>
            </w:r>
          </w:p>
        </w:tc>
      </w:tr>
      <w:tr>
        <w:trPr>
          <w:tblHeader w:val="false"/>
        </w:trPr>
        <w:tc>
          <w:tcPr>
            <w:tcW w:type="pct" w:w="3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Country of Assembly</w:t>
            </w:r>
          </w:p>
        </w:tc>
        <w:tc>
          <w:tcPr>
            <w:tcW w:type="pct" w:w="6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United States</w:t>
            </w:r>
          </w:p>
        </w:tc>
      </w:tr>
    </w:tbl>
    <w:p>
      <w:pPr>
        <w:spacing w:after="200" w:before="0"/>
      </w:pPr>
    </w:p>
    <w:p>
      <w:pPr>
        <w:pStyle w:val="Heading2"/>
        <w:spacing w:after="120" w:before="360" w:line="312" w:lineRule="auto"/>
      </w:pPr>
      <w:r>
        <w:rPr>
          <w:rFonts w:ascii="Cambria" w:cs="Cambria" w:eastAsia="Cambria" w:hAnsi="Cambria"/>
          <w:color w:val="000000"/>
          <w:sz w:val="32"/>
          <w:szCs w:val="32"/>
        </w:rPr>
        <w:t xml:space="preserve">3.2   Powertrain Specifications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2%"/>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Parameter</w:t>
            </w:r>
          </w:p>
        </w:tc>
        <w:tc>
          <w:tcPr>
            <w:tcW w:type="pct" w:w="58%"/>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Specification</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Engine Type</w:t>
            </w:r>
          </w:p>
        </w:tc>
        <w:tc>
          <w:tcPr>
            <w:tcW w:type="pct" w:w="5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3.0L Twin-Turbocharged V6</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Horsepower</w:t>
            </w:r>
          </w:p>
        </w:tc>
        <w:tc>
          <w:tcPr>
            <w:tcW w:type="pct" w:w="5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360 HP @ 5,400 RPM</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Torque</w:t>
            </w:r>
          </w:p>
        </w:tc>
        <w:tc>
          <w:tcPr>
            <w:tcW w:type="pct" w:w="5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405 lb-ft @ 2,350 RPM</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Transmission</w:t>
            </w:r>
          </w:p>
        </w:tc>
        <w:tc>
          <w:tcPr>
            <w:tcW w:type="pct" w:w="5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10-Speed Automatic</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Drivetrain</w:t>
            </w:r>
          </w:p>
        </w:tc>
        <w:tc>
          <w:tcPr>
            <w:tcW w:type="pct" w:w="5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Rear-Wheel Drive (AWD Available)</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Fuel Type</w:t>
            </w:r>
          </w:p>
        </w:tc>
        <w:tc>
          <w:tcPr>
            <w:tcW w:type="pct" w:w="5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Premium Unleaded Gasoline</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Fuel Tank Capacity</w:t>
            </w:r>
          </w:p>
        </w:tc>
        <w:tc>
          <w:tcPr>
            <w:tcW w:type="pct" w:w="5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17.0 Gallons</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EPA Combined MPG</w:t>
            </w:r>
          </w:p>
        </w:tc>
        <w:tc>
          <w:tcPr>
            <w:tcW w:type="pct" w:w="5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21 MPG</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EPA City / Highway MPG</w:t>
            </w:r>
          </w:p>
        </w:tc>
        <w:tc>
          <w:tcPr>
            <w:tcW w:type="pct" w:w="5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18 / 27 MPG</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Estimated Range</w:t>
            </w:r>
          </w:p>
        </w:tc>
        <w:tc>
          <w:tcPr>
            <w:tcW w:type="pct" w:w="5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357 Miles (Combined)</w:t>
            </w:r>
          </w:p>
        </w:tc>
      </w:tr>
    </w:tbl>
    <w:p>
      <w:pPr>
        <w:spacing w:after="200" w:before="0"/>
      </w:pPr>
    </w:p>
    <w:p>
      <w:pPr>
        <w:pStyle w:val="Heading2"/>
        <w:spacing w:after="120" w:before="360" w:line="312" w:lineRule="auto"/>
      </w:pPr>
      <w:r>
        <w:rPr>
          <w:rFonts w:ascii="Cambria" w:cs="Cambria" w:eastAsia="Cambria" w:hAnsi="Cambria"/>
          <w:color w:val="000000"/>
          <w:sz w:val="32"/>
          <w:szCs w:val="32"/>
        </w:rPr>
        <w:t xml:space="preserve">3.3   Dimensions and Weight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5%"/>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Parameter</w:t>
            </w:r>
          </w:p>
        </w:tc>
        <w:tc>
          <w:tcPr>
            <w:tcW w:type="pct" w:w="35%"/>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Specification</w:t>
            </w:r>
          </w:p>
        </w:tc>
      </w:tr>
      <w:tr>
        <w:trPr>
          <w:tblHeader w:val="false"/>
        </w:trPr>
        <w:tc>
          <w:tcPr>
            <w:tcW w:type="pct" w:w="6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Overall Length</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193.8 inches</w:t>
            </w:r>
          </w:p>
        </w:tc>
      </w:tr>
      <w:tr>
        <w:trPr>
          <w:tblHeader w:val="false"/>
        </w:trPr>
        <w:tc>
          <w:tcPr>
            <w:tcW w:type="pct" w:w="6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Overall Width (w/ mirrors)</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80.3 inches</w:t>
            </w:r>
          </w:p>
        </w:tc>
      </w:tr>
      <w:tr>
        <w:trPr>
          <w:tblHeader w:val="false"/>
        </w:trPr>
        <w:tc>
          <w:tcPr>
            <w:tcW w:type="pct" w:w="6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Overall Height</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57.2 inches</w:t>
            </w:r>
          </w:p>
        </w:tc>
      </w:tr>
      <w:tr>
        <w:trPr>
          <w:tblHeader w:val="false"/>
        </w:trPr>
        <w:tc>
          <w:tcPr>
            <w:tcW w:type="pct" w:w="6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Wheelbase</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116.0 inches</w:t>
            </w:r>
          </w:p>
        </w:tc>
      </w:tr>
      <w:tr>
        <w:trPr>
          <w:tblHeader w:val="false"/>
        </w:trPr>
        <w:tc>
          <w:tcPr>
            <w:tcW w:type="pct" w:w="6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Curb Weight</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3,974 lbs</w:t>
            </w:r>
          </w:p>
        </w:tc>
      </w:tr>
      <w:tr>
        <w:trPr>
          <w:tblHeader w:val="false"/>
        </w:trPr>
        <w:tc>
          <w:tcPr>
            <w:tcW w:type="pct" w:w="6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Cargo Volume</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11.9 cu. ft.</w:t>
            </w:r>
          </w:p>
        </w:tc>
      </w:tr>
      <w:tr>
        <w:trPr>
          <w:tblHeader w:val="false"/>
        </w:trPr>
        <w:tc>
          <w:tcPr>
            <w:tcW w:type="pct" w:w="6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Ground Clearance</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4.0 inches</w:t>
            </w:r>
          </w:p>
        </w:tc>
      </w:tr>
      <w:tr>
        <w:trPr>
          <w:tblHeader w:val="false"/>
        </w:trPr>
        <w:tc>
          <w:tcPr>
            <w:tcW w:type="pct" w:w="6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Turning Circle</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39.0 ft</w:t>
            </w:r>
          </w:p>
        </w:tc>
      </w:tr>
    </w:tbl>
    <w:p>
      <w:pPr>
        <w:spacing w:after="200" w:before="0"/>
      </w:pPr>
    </w:p>
    <w:p>
      <w:pPr>
        <w:pStyle w:val="Heading2"/>
        <w:spacing w:after="120" w:before="360" w:line="312" w:lineRule="auto"/>
      </w:pPr>
      <w:r>
        <w:rPr>
          <w:rFonts w:ascii="Cambria" w:cs="Cambria" w:eastAsia="Cambria" w:hAnsi="Cambria"/>
          <w:color w:val="000000"/>
          <w:sz w:val="32"/>
          <w:szCs w:val="32"/>
        </w:rPr>
        <w:t xml:space="preserve">3.4   Required Equipment and Features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Integrated GSA Fleet telematics system</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Advanced driver-assistance systems (ADAS): forward collision alert, automatic emergency braking, lane departure warning, lane keep assist, blind spot monitoring, rear cross-traffic alert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Dual-zone automatic climate control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Bluetooth hands-free communications and smartphone integration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Rearview camera and parking sensors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Leather or leatherette seating surfaces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Power-adjustable driver and front passenger seats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Keyless entry and push-button start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LED headlamps and taillamps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All-season tires rated for Southern California climate conditions</w:t>
      </w:r>
    </w:p>
    <w:p>
      <w:pPr>
        <w:pStyle w:val="Heading2"/>
        <w:spacing w:after="120" w:before="360" w:line="312" w:lineRule="auto"/>
      </w:pPr>
      <w:r>
        <w:rPr>
          <w:rFonts w:ascii="Cambria" w:cs="Cambria" w:eastAsia="Cambria" w:hAnsi="Cambria"/>
          <w:color w:val="000000"/>
          <w:sz w:val="32"/>
          <w:szCs w:val="32"/>
        </w:rPr>
        <w:t xml:space="preserve">3.5   Justification for Class Upgrade Beyond Compact</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Per 41 CFR § 101-39.204(b)(2), federal agencies are directed to acquire passenger vehicles of compact or smaller size unless the agency head or designee certifies that larger vehicles are essential to the agency's mission. The multi-county operational profile described in this request package — encompassing sustained high-speed highway travel on US-101, I-405, and I-5; extended daily mileage averaging 80–150 miles; frequent inter-agency representation duties requiring professional presentation; and the recurring need to transport equipment, sensitive materials, and administrative records — necessitates a full-size sedan with superior highway stability, passenger comfort, cargo capacity, and sustained performance capability that compact-class vehicles cannot provide.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Specifically, compact vehicles lack the cargo volume required for secure equipment transport (minimum 11.0 cu. ft. required), the sustained highway cruising stability necessary for daily high-speed corridor travel, and the passenger comfort and professional presentation standards expected at inter-agency meetings and coordination events. The full-size sedan classification represents the minimum vehicle class capable of meeting all stated operational requirements simultaneously.</w:t>
      </w:r>
    </w:p>
    <w:p>
      <w:pPr>
        <w:spacing w:after="120" w:before="60" w:line="360" w:lineRule="auto"/>
        <w:jc w:val="center"/>
      </w:pPr>
      <w:r>
        <w:rPr>
          <w:rFonts w:ascii="Cambria" w:cs="Cambria" w:eastAsia="Cambria" w:hAnsi="Cambria"/>
          <w:b w:val="false"/>
          <w:bCs w:val="false"/>
          <w:i w:val="false"/>
          <w:iCs w:val="false"/>
          <w:strike w:val="false"/>
          <w:color w:val="333333"/>
          <w:sz w:val="24"/>
          <w:szCs w:val="24"/>
        </w:rPr>
        <w:t xml:space="preserve">SECTION 4 OF 4</w:t>
      </w:r>
    </w:p>
    <w:p>
      <w:pPr>
        <w:pStyle w:val="Heading1"/>
        <w:spacing w:after="120" w:before="480" w:line="312" w:lineRule="auto"/>
        <w:jc w:val="center"/>
      </w:pPr>
      <w:r>
        <w:rPr>
          <w:rFonts w:ascii="Cambria" w:cs="Cambria" w:eastAsia="Cambria" w:hAnsi="Cambria"/>
          <w:color w:val="000000"/>
          <w:sz w:val="44"/>
          <w:szCs w:val="44"/>
        </w:rPr>
        <w:t xml:space="preserve">ROUTING AND CONCURRENCE SHEET</w:t>
      </w:r>
    </w:p>
    <w:p>
      <w:pPr>
        <w:spacing w:after="480" w:before="60" w:line="360" w:lineRule="auto"/>
        <w:jc w:val="center"/>
      </w:pPr>
      <w:r>
        <w:rPr>
          <w:rFonts w:ascii="Cambria" w:cs="Cambria" w:eastAsia="Cambria" w:hAnsi="Cambria"/>
          <w:b/>
          <w:bCs/>
          <w:i w:val="false"/>
          <w:iCs w:val="false"/>
          <w:strike w:val="false"/>
          <w:color w:val="000000"/>
          <w:sz w:val="24"/>
          <w:szCs w:val="24"/>
        </w:rPr>
        <w:t xml:space="preserve">GSA Fleet Permanent Vehicle Assignment Request</w:t>
      </w:r>
    </w:p>
    <w:p>
      <w:pPr>
        <w:pBdr>
          <w:bottom w:val="single" w:color="000000" w:sz="6"/>
        </w:pBdr>
        <w:spacing w:after="240" w:before="240"/>
      </w:pPr>
    </w:p>
    <w:p>
      <w:pPr>
        <w:pStyle w:val="Heading2"/>
        <w:spacing w:after="120" w:before="360" w:line="312" w:lineRule="auto"/>
      </w:pPr>
      <w:r>
        <w:rPr>
          <w:rFonts w:ascii="Cambria" w:cs="Cambria" w:eastAsia="Cambria" w:hAnsi="Cambria"/>
          <w:color w:val="000000"/>
          <w:sz w:val="32"/>
          <w:szCs w:val="32"/>
        </w:rPr>
        <w:t xml:space="preserve">4.1   Request Information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Request Type</w:t>
            </w:r>
          </w:p>
        </w:tc>
        <w:tc>
          <w:tcPr>
            <w:tcW w:type="pct" w:w="9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Permanent (Indefinite) Vehicle Assignment</w:t>
            </w:r>
          </w:p>
        </w:tc>
      </w:tr>
      <w:tr>
        <w:trPr>
          <w:tblHeader w:val="false"/>
        </w:trPr>
        <w:tc>
          <w:tcPr>
            <w:tcW w:type="pct" w:w="1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Requesting Official</w:t>
            </w:r>
          </w:p>
        </w:tc>
        <w:tc>
          <w:tcPr>
            <w:tcW w:type="pct" w:w="9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Brian Michael Frost</w:t>
            </w:r>
          </w:p>
        </w:tc>
      </w:tr>
      <w:tr>
        <w:trPr>
          <w:tblHeader w:val="false"/>
        </w:trPr>
        <w:tc>
          <w:tcPr>
            <w:tcW w:type="pct" w:w="1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Duty Station</w:t>
            </w:r>
          </w:p>
        </w:tc>
        <w:tc>
          <w:tcPr>
            <w:tcW w:type="pct" w:w="9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Camarillo, CA 93010</w:t>
            </w:r>
          </w:p>
        </w:tc>
      </w:tr>
      <w:tr>
        <w:trPr>
          <w:tblHeader w:val="false"/>
        </w:trPr>
        <w:tc>
          <w:tcPr>
            <w:tcW w:type="pct" w:w="1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Operating Area</w:t>
            </w:r>
          </w:p>
        </w:tc>
        <w:tc>
          <w:tcPr>
            <w:tcW w:type="pct" w:w="9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Ventura County and Los Angeles County, CA</w:t>
            </w:r>
          </w:p>
        </w:tc>
      </w:tr>
      <w:tr>
        <w:trPr>
          <w:tblHeader w:val="false"/>
        </w:trPr>
        <w:tc>
          <w:tcPr>
            <w:tcW w:type="pct" w:w="1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Vehicle Class Requested</w:t>
            </w:r>
          </w:p>
        </w:tc>
        <w:tc>
          <w:tcPr>
            <w:tcW w:type="pct" w:w="9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Full-Size Sedan (Class 330/340 Equivalent)</w:t>
            </w:r>
          </w:p>
        </w:tc>
      </w:tr>
      <w:tr>
        <w:trPr>
          <w:tblHeader w:val="false"/>
        </w:trPr>
        <w:tc>
          <w:tcPr>
            <w:tcW w:type="pct" w:w="1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Date Submitted</w:t>
            </w:r>
          </w:p>
        </w:tc>
        <w:tc>
          <w:tcPr>
            <w:tcW w:type="pct" w:w="9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April 21, 2026</w:t>
            </w:r>
          </w:p>
        </w:tc>
      </w:tr>
      <w:tr>
        <w:trPr>
          <w:tblHeader w:val="false"/>
        </w:trPr>
        <w:tc>
          <w:tcPr>
            <w:tcW w:type="pct" w:w="1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Package Reference No.</w:t>
            </w:r>
          </w:p>
        </w:tc>
        <w:tc>
          <w:tcPr>
            <w:tcW w:type="pct" w:w="90%"/>
            <w:tcMar>
              <w:top w:type="dxa" w:w="90"/>
              <w:left w:type="dxa" w:w="120"/>
              <w:bottom w:type="dxa" w:w="90"/>
              <w:right w:type="dxa" w:w="120"/>
            </w:tcMar>
          </w:tcPr>
          <w:p>
            <w:r>
              <w:rPr>
                <w:rFonts w:ascii="Cambria" w:cs="Cambria" w:eastAsia="Cambria" w:hAnsi="Cambria"/>
                <w:b w:val="false"/>
                <w:bCs w:val="false"/>
                <w:i/>
                <w:iCs/>
                <w:strike w:val="false"/>
                <w:color w:val="000000"/>
                <w:sz w:val="24"/>
                <w:szCs w:val="24"/>
              </w:rPr>
              <w:t xml:space="preserve">[To Be Assigned]</w:t>
            </w:r>
          </w:p>
        </w:tc>
      </w:tr>
    </w:tbl>
    <w:p>
      <w:pPr>
        <w:spacing w:after="200" w:before="0"/>
      </w:pPr>
    </w:p>
    <w:p>
      <w:pPr>
        <w:pStyle w:val="Heading2"/>
        <w:spacing w:after="120" w:before="360" w:line="312" w:lineRule="auto"/>
      </w:pPr>
      <w:r>
        <w:rPr>
          <w:rFonts w:ascii="Cambria" w:cs="Cambria" w:eastAsia="Cambria" w:hAnsi="Cambria"/>
          <w:color w:val="000000"/>
          <w:sz w:val="32"/>
          <w:szCs w:val="32"/>
        </w:rPr>
        <w:t xml:space="preserve">4.2   Routing and Approval Chain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8%"/>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Step</w:t>
            </w:r>
          </w:p>
        </w:tc>
        <w:tc>
          <w:tcPr>
            <w:tcW w:type="pct" w:w="22%"/>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Office / Authority</w:t>
            </w:r>
          </w:p>
        </w:tc>
        <w:tc>
          <w:tcPr>
            <w:tcW w:type="pct" w:w="25%"/>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Action Required</w:t>
            </w:r>
          </w:p>
        </w:tc>
        <w:tc>
          <w:tcPr>
            <w:tcW w:type="pct" w:w="14%"/>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Name / Title</w:t>
            </w:r>
          </w:p>
        </w:tc>
        <w:tc>
          <w:tcPr>
            <w:tcW w:type="pct" w:w="8%"/>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Signature</w:t>
            </w:r>
          </w:p>
        </w:tc>
        <w:tc>
          <w:tcPr>
            <w:tcW w:type="pct" w:w="8%"/>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Date</w:t>
            </w:r>
          </w:p>
        </w:tc>
        <w:tc>
          <w:tcPr>
            <w:tcW w:type="pct" w:w="15%"/>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Concurrence</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Requesting Official</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Initiate Request</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Brian Michael Frost</w:t>
            </w:r>
          </w:p>
        </w:tc>
        <w:tc>
          <w:tcPr>
            <w:tcW w:type="pct" w:w="8%"/>
            <w:tcMar>
              <w:top w:type="dxa" w:w="90"/>
              <w:left w:type="dxa" w:w="120"/>
              <w:bottom w:type="dxa" w:w="90"/>
              <w:right w:type="dxa" w:w="120"/>
            </w:tcMar>
          </w:tcPr>
          <w:p>
            <w:r>
              <w:rPr>
                <w:b w:val="false"/>
                <w:bCs w:val="false"/>
              </w:rPr>
              <w:t xml:space="preserve"/>
            </w:r>
          </w:p>
        </w:tc>
        <w:tc>
          <w:tcPr>
            <w:tcW w:type="pct" w:w="8%"/>
            <w:tcMar>
              <w:top w:type="dxa" w:w="90"/>
              <w:left w:type="dxa" w:w="120"/>
              <w:bottom w:type="dxa" w:w="90"/>
              <w:right w:type="dxa" w:w="120"/>
            </w:tcMar>
          </w:tcPr>
          <w:p>
            <w:r>
              <w:rPr>
                <w:b w:val="false"/>
                <w:bCs w:val="false"/>
              </w:rPr>
              <w:t xml:space="preserve"/>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N/A</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Immediate Supervisor</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Review and Endorsement</w:t>
            </w:r>
          </w:p>
        </w:tc>
        <w:tc>
          <w:tcPr>
            <w:tcW w:type="pct" w:w="14%"/>
            <w:tcMar>
              <w:top w:type="dxa" w:w="90"/>
              <w:left w:type="dxa" w:w="120"/>
              <w:bottom w:type="dxa" w:w="90"/>
              <w:right w:type="dxa" w:w="120"/>
            </w:tcMar>
          </w:tcPr>
          <w:p>
            <w:r>
              <w:rPr>
                <w:b w:val="false"/>
                <w:bCs w:val="false"/>
              </w:rPr>
              <w:t xml:space="preserve"/>
            </w:r>
          </w:p>
        </w:tc>
        <w:tc>
          <w:tcPr>
            <w:tcW w:type="pct" w:w="8%"/>
            <w:tcMar>
              <w:top w:type="dxa" w:w="90"/>
              <w:left w:type="dxa" w:w="120"/>
              <w:bottom w:type="dxa" w:w="90"/>
              <w:right w:type="dxa" w:w="120"/>
            </w:tcMar>
          </w:tcPr>
          <w:p>
            <w:r>
              <w:rPr>
                <w:b w:val="false"/>
                <w:bCs w:val="false"/>
              </w:rPr>
              <w:t xml:space="preserve"/>
            </w:r>
          </w:p>
        </w:tc>
        <w:tc>
          <w:tcPr>
            <w:tcW w:type="pct" w:w="8%"/>
            <w:tcMar>
              <w:top w:type="dxa" w:w="90"/>
              <w:left w:type="dxa" w:w="120"/>
              <w:bottom w:type="dxa" w:w="90"/>
              <w:right w:type="dxa" w:w="120"/>
            </w:tcMar>
          </w:tcPr>
          <w:p>
            <w:r>
              <w:rPr>
                <w:b w:val="false"/>
                <w:bCs w:val="false"/>
              </w:rPr>
              <w:t xml:space="preserve"/>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Concur / Non-Concur</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Agency Fleet Manager</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Fleet Concurrence per 41 CFR § 101-39.204(b)(1)</w:t>
            </w:r>
          </w:p>
        </w:tc>
        <w:tc>
          <w:tcPr>
            <w:tcW w:type="pct" w:w="14%"/>
            <w:tcMar>
              <w:top w:type="dxa" w:w="90"/>
              <w:left w:type="dxa" w:w="120"/>
              <w:bottom w:type="dxa" w:w="90"/>
              <w:right w:type="dxa" w:w="120"/>
            </w:tcMar>
          </w:tcPr>
          <w:p>
            <w:r>
              <w:rPr>
                <w:b w:val="false"/>
                <w:bCs w:val="false"/>
              </w:rPr>
              <w:t xml:space="preserve"/>
            </w:r>
          </w:p>
        </w:tc>
        <w:tc>
          <w:tcPr>
            <w:tcW w:type="pct" w:w="8%"/>
            <w:tcMar>
              <w:top w:type="dxa" w:w="90"/>
              <w:left w:type="dxa" w:w="120"/>
              <w:bottom w:type="dxa" w:w="90"/>
              <w:right w:type="dxa" w:w="120"/>
            </w:tcMar>
          </w:tcPr>
          <w:p>
            <w:r>
              <w:rPr>
                <w:b w:val="false"/>
                <w:bCs w:val="false"/>
              </w:rPr>
              <w:t xml:space="preserve"/>
            </w:r>
          </w:p>
        </w:tc>
        <w:tc>
          <w:tcPr>
            <w:tcW w:type="pct" w:w="8%"/>
            <w:tcMar>
              <w:top w:type="dxa" w:w="90"/>
              <w:left w:type="dxa" w:w="120"/>
              <w:bottom w:type="dxa" w:w="90"/>
              <w:right w:type="dxa" w:w="120"/>
            </w:tcMar>
          </w:tcPr>
          <w:p>
            <w:r>
              <w:rPr>
                <w:b w:val="false"/>
                <w:bCs w:val="false"/>
              </w:rPr>
              <w:t xml:space="preserve"/>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Concur / Non-Concur</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Budget / Finance Officer</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Funding Verification</w:t>
            </w:r>
          </w:p>
        </w:tc>
        <w:tc>
          <w:tcPr>
            <w:tcW w:type="pct" w:w="14%"/>
            <w:tcMar>
              <w:top w:type="dxa" w:w="90"/>
              <w:left w:type="dxa" w:w="120"/>
              <w:bottom w:type="dxa" w:w="90"/>
              <w:right w:type="dxa" w:w="120"/>
            </w:tcMar>
          </w:tcPr>
          <w:p>
            <w:r>
              <w:rPr>
                <w:b w:val="false"/>
                <w:bCs w:val="false"/>
              </w:rPr>
              <w:t xml:space="preserve"/>
            </w:r>
          </w:p>
        </w:tc>
        <w:tc>
          <w:tcPr>
            <w:tcW w:type="pct" w:w="8%"/>
            <w:tcMar>
              <w:top w:type="dxa" w:w="90"/>
              <w:left w:type="dxa" w:w="120"/>
              <w:bottom w:type="dxa" w:w="90"/>
              <w:right w:type="dxa" w:w="120"/>
            </w:tcMar>
          </w:tcPr>
          <w:p>
            <w:r>
              <w:rPr>
                <w:b w:val="false"/>
                <w:bCs w:val="false"/>
              </w:rPr>
              <w:t xml:space="preserve"/>
            </w:r>
          </w:p>
        </w:tc>
        <w:tc>
          <w:tcPr>
            <w:tcW w:type="pct" w:w="8%"/>
            <w:tcMar>
              <w:top w:type="dxa" w:w="90"/>
              <w:left w:type="dxa" w:w="120"/>
              <w:bottom w:type="dxa" w:w="90"/>
              <w:right w:type="dxa" w:w="120"/>
            </w:tcMar>
          </w:tcPr>
          <w:p>
            <w:r>
              <w:rPr>
                <w:b w:val="false"/>
                <w:bCs w:val="false"/>
              </w:rPr>
              <w:t xml:space="preserve"/>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Concur / Non-Concur</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Agency Head or Designee</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Class Upgrade Certification per 41 CFR § 101-39.204(b)(2)</w:t>
            </w:r>
          </w:p>
        </w:tc>
        <w:tc>
          <w:tcPr>
            <w:tcW w:type="pct" w:w="14%"/>
            <w:tcMar>
              <w:top w:type="dxa" w:w="90"/>
              <w:left w:type="dxa" w:w="120"/>
              <w:bottom w:type="dxa" w:w="90"/>
              <w:right w:type="dxa" w:w="120"/>
            </w:tcMar>
          </w:tcPr>
          <w:p>
            <w:r>
              <w:rPr>
                <w:b w:val="false"/>
                <w:bCs w:val="false"/>
              </w:rPr>
              <w:t xml:space="preserve"/>
            </w:r>
          </w:p>
        </w:tc>
        <w:tc>
          <w:tcPr>
            <w:tcW w:type="pct" w:w="8%"/>
            <w:tcMar>
              <w:top w:type="dxa" w:w="90"/>
              <w:left w:type="dxa" w:w="120"/>
              <w:bottom w:type="dxa" w:w="90"/>
              <w:right w:type="dxa" w:w="120"/>
            </w:tcMar>
          </w:tcPr>
          <w:p>
            <w:r>
              <w:rPr>
                <w:b w:val="false"/>
                <w:bCs w:val="false"/>
              </w:rPr>
              <w:t xml:space="preserve"/>
            </w:r>
          </w:p>
        </w:tc>
        <w:tc>
          <w:tcPr>
            <w:tcW w:type="pct" w:w="8%"/>
            <w:tcMar>
              <w:top w:type="dxa" w:w="90"/>
              <w:left w:type="dxa" w:w="120"/>
              <w:bottom w:type="dxa" w:w="90"/>
              <w:right w:type="dxa" w:w="120"/>
            </w:tcMar>
          </w:tcPr>
          <w:p>
            <w:r>
              <w:rPr>
                <w:b w:val="false"/>
                <w:bCs w:val="false"/>
              </w:rPr>
              <w:t xml:space="preserve"/>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Approve / Disapprove</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6</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GSA Fleet Management Center (Pacific Rim Region)</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Assignment Processing</w:t>
            </w:r>
          </w:p>
        </w:tc>
        <w:tc>
          <w:tcPr>
            <w:tcW w:type="pct" w:w="14%"/>
            <w:tcMar>
              <w:top w:type="dxa" w:w="90"/>
              <w:left w:type="dxa" w:w="120"/>
              <w:bottom w:type="dxa" w:w="90"/>
              <w:right w:type="dxa" w:w="120"/>
            </w:tcMar>
          </w:tcPr>
          <w:p>
            <w:r>
              <w:rPr>
                <w:b w:val="false"/>
                <w:bCs w:val="false"/>
              </w:rPr>
              <w:t xml:space="preserve"/>
            </w:r>
          </w:p>
        </w:tc>
        <w:tc>
          <w:tcPr>
            <w:tcW w:type="pct" w:w="8%"/>
            <w:tcMar>
              <w:top w:type="dxa" w:w="90"/>
              <w:left w:type="dxa" w:w="120"/>
              <w:bottom w:type="dxa" w:w="90"/>
              <w:right w:type="dxa" w:w="120"/>
            </w:tcMar>
          </w:tcPr>
          <w:p>
            <w:r>
              <w:rPr>
                <w:b w:val="false"/>
                <w:bCs w:val="false"/>
              </w:rPr>
              <w:t xml:space="preserve"/>
            </w:r>
          </w:p>
        </w:tc>
        <w:tc>
          <w:tcPr>
            <w:tcW w:type="pct" w:w="8%"/>
            <w:tcMar>
              <w:top w:type="dxa" w:w="90"/>
              <w:left w:type="dxa" w:w="120"/>
              <w:bottom w:type="dxa" w:w="90"/>
              <w:right w:type="dxa" w:w="120"/>
            </w:tcMar>
          </w:tcPr>
          <w:p>
            <w:r>
              <w:rPr>
                <w:b w:val="false"/>
                <w:bCs w:val="false"/>
              </w:rPr>
              <w:t xml:space="preserve"/>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Approved / Denied</w:t>
            </w:r>
          </w:p>
        </w:tc>
      </w:tr>
    </w:tbl>
    <w:p>
      <w:pPr>
        <w:spacing w:after="200" w:before="0"/>
      </w:pPr>
    </w:p>
    <w:p>
      <w:pPr>
        <w:pStyle w:val="Heading2"/>
        <w:spacing w:after="120" w:before="360" w:line="312" w:lineRule="auto"/>
      </w:pPr>
      <w:r>
        <w:rPr>
          <w:rFonts w:ascii="Cambria" w:cs="Cambria" w:eastAsia="Cambria" w:hAnsi="Cambria"/>
          <w:color w:val="000000"/>
          <w:sz w:val="32"/>
          <w:szCs w:val="32"/>
        </w:rPr>
        <w:t xml:space="preserve">4.3   Remarks</w:t>
      </w:r>
    </w:p>
    <w:p>
      <w:pPr>
        <w:spacing w:after="120" w:before="60" w:line="360" w:lineRule="auto"/>
      </w:pPr>
      <w:r>
        <w:rPr>
          <w:rFonts w:ascii="Cambria" w:cs="Cambria" w:eastAsia="Cambria" w:hAnsi="Cambria"/>
          <w:b w:val="false"/>
          <w:bCs w:val="false"/>
          <w:i/>
          <w:iCs/>
          <w:strike w:val="false"/>
          <w:color w:val="000000"/>
          <w:sz w:val="24"/>
          <w:szCs w:val="24"/>
        </w:rPr>
        <w:t xml:space="preserve">Reviewers may record comments, conditions, or additional guidance below:</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80"/>
              <w:left w:type="dxa" w:w="180"/>
              <w:bottom w:type="dxa" w:w="180"/>
              <w:right w:type="dxa" w:w="180"/>
            </w:tcMar>
          </w:tcPr>
          <w:p>
            <w:pPr>
              <w:spacing w:after="120" w:line="360" w:lineRule="auto"/>
            </w:pPr>
            <w:r>
              <w:rPr>
                <w:rFonts w:ascii="Cambria" w:cs="Cambria" w:eastAsia="Cambria" w:hAnsi="Cambria"/>
                <w:b/>
                <w:bCs/>
                <w:i w:val="false"/>
                <w:iCs w:val="false"/>
                <w:strike w:val="false"/>
                <w:color w:val="000000"/>
                <w:sz w:val="24"/>
                <w:szCs w:val="24"/>
              </w:rPr>
              <w:t xml:space="preserve">COORDINATION CERTIFICATION</w:t>
            </w:r>
          </w:p>
          <w:p>
            <w:pPr>
              <w:spacing w:after="120" w:line="360" w:lineRule="auto"/>
            </w:pPr>
            <w:r>
              <w:rPr>
                <w:rFonts w:ascii="Cambria" w:cs="Cambria" w:eastAsia="Cambria" w:hAnsi="Cambria"/>
                <w:b w:val="false"/>
                <w:bCs w:val="false"/>
                <w:i w:val="false"/>
                <w:iCs w:val="false"/>
                <w:strike w:val="false"/>
                <w:color w:val="000000"/>
                <w:sz w:val="24"/>
                <w:szCs w:val="24"/>
              </w:rPr>
              <w:t xml:space="preserve">This routing and concurrence sheet constitutes the formal coordination record for the attached vehicle assignment request package. All concurring officials certify that they have reviewed the Mission Need Statement (Section 1), Vehicle Assignment Memorandum (Section 2), and Vehicle Class Specification Sheet (Section 3), and that the request is consistent with applicable federal motor vehicle management regulations, including 41 CFR Part 102-34 and 41 CFR § 101-39.204.</w:t>
            </w:r>
          </w:p>
        </w:tc>
      </w:tr>
    </w:tbl>
    <w:p>
      <w:pPr>
        <w:spacing w:after="240" w:before="0"/>
      </w:pPr>
    </w:p>
    <w:p>
      <w:pPr>
        <w:spacing w:after="120" w:before="480" w:line="360" w:lineRule="auto"/>
        <w:jc w:val="center"/>
      </w:pPr>
      <w:r>
        <w:rPr>
          <w:rFonts w:ascii="Cambria" w:cs="Cambria" w:eastAsia="Cambria" w:hAnsi="Cambria"/>
          <w:b w:val="false"/>
          <w:bCs w:val="false"/>
          <w:i w:val="false"/>
          <w:iCs w:val="false"/>
          <w:strike w:val="false"/>
          <w:color w:val="333333"/>
          <w:sz w:val="18"/>
          <w:szCs w:val="18"/>
        </w:rPr>
        <w:t xml:space="preserve">GSA Fleet Permanent Vehicle Assignment Request Package  |  Brian Michael Frost  |  Camarillo, CA  |  April 21,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A5LpfHpFYatHzkm3EVXUy</dc:title>
  <dc:creator>Un-named</dc:creator>
  <dc:description>Generated document</dc:description>
  <cp:lastModifiedBy>Un-named</cp:lastModifiedBy>
  <cp:revision>1</cp:revision>
  <dcterms:created xsi:type="dcterms:W3CDTF">2026-04-22T05:37:34.836Z</dcterms:created>
  <dcterms:modified xsi:type="dcterms:W3CDTF">2026-04-22T05:37:34.836Z</dcterms:modified>
</cp:coreProperties>
</file>

<file path=docProps/custom.xml><?xml version="1.0" encoding="utf-8"?>
<Properties xmlns="http://schemas.openxmlformats.org/officeDocument/2006/custom-properties" xmlns:vt="http://schemas.openxmlformats.org/officeDocument/2006/docPropsVTypes"/>
</file>