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jc w:val="center"/>
      </w:pPr>
      <w:r>
        <w:rPr>
          <w:rFonts w:ascii="Calibri" w:cs="Calibri" w:eastAsia="Calibri" w:hAnsi="Calibri"/>
          <w:color w:val="2B5797"/>
          <w:sz w:val="52"/>
          <w:szCs w:val="52"/>
        </w:rPr>
        <w:t xml:space="preserve">GSA Integrated Reference Guide</w:t>
      </w:r>
    </w:p>
    <w:p>
      <w:pPr>
        <w:spacing w:after="120" w:line="360" w:lineRule="auto"/>
        <w:jc w:val="center"/>
      </w:pPr>
      <w:r>
        <w:rPr>
          <w:rFonts w:ascii="Calibri" w:cs="Calibri" w:eastAsia="Calibri" w:hAnsi="Calibri"/>
          <w:b/>
          <w:bCs/>
          <w:i w:val="false"/>
          <w:iCs w:val="false"/>
          <w:strike w:val="false"/>
          <w:color w:val="000000"/>
          <w:sz w:val="22"/>
          <w:szCs w:val="22"/>
        </w:rPr>
        <w:t xml:space="preserve">Document Summaries and Operational System Map</w:t>
      </w:r>
    </w:p>
    <w:p>
      <w:pPr>
        <w:spacing w:after="60" w:before="60" w:line="360" w:lineRule="auto"/>
        <w:jc w:val="center"/>
      </w:pPr>
      <w:r>
        <w:rPr>
          <w:rFonts w:ascii="Calibri" w:cs="Calibri" w:eastAsia="Calibri" w:hAnsi="Calibri"/>
          <w:b/>
          <w:bCs/>
          <w:i w:val="false"/>
          <w:iCs w:val="false"/>
          <w:strike w:val="false"/>
          <w:color w:val="333333"/>
          <w:sz w:val="22"/>
          <w:szCs w:val="22"/>
        </w:rPr>
        <w:t xml:space="preserve">Prepared for:</w:t>
      </w:r>
      <w:r>
        <w:rPr>
          <w:rFonts w:ascii="Calibri" w:cs="Calibri" w:eastAsia="Calibri" w:hAnsi="Calibri"/>
          <w:b w:val="false"/>
          <w:bCs w:val="false"/>
          <w:i w:val="false"/>
          <w:iCs w:val="false"/>
          <w:strike w:val="false"/>
          <w:color w:val="000000"/>
          <w:sz w:val="22"/>
          <w:szCs w:val="22"/>
        </w:rPr>
        <w:t xml:space="preserve"> Brian Michael Frost</w:t>
      </w:r>
    </w:p>
    <w:p>
      <w:pPr>
        <w:spacing w:after="60" w:before="60" w:line="360" w:lineRule="auto"/>
        <w:jc w:val="center"/>
      </w:pPr>
      <w:r>
        <w:rPr>
          <w:rFonts w:ascii="Calibri" w:cs="Calibri" w:eastAsia="Calibri" w:hAnsi="Calibri"/>
          <w:b w:val="false"/>
          <w:bCs w:val="false"/>
          <w:i w:val="false"/>
          <w:iCs w:val="false"/>
          <w:strike w:val="false"/>
          <w:color w:val="000000"/>
          <w:sz w:val="22"/>
          <w:szCs w:val="22"/>
        </w:rPr>
        <w:t xml:space="preserve">Camarillo, CA 93010</w:t>
      </w:r>
    </w:p>
    <w:p>
      <w:pPr>
        <w:spacing w:after="60" w:before="60" w:line="360" w:lineRule="auto"/>
        <w:jc w:val="center"/>
      </w:pPr>
      <w:r>
        <w:rPr>
          <w:rFonts w:ascii="Calibri" w:cs="Calibri" w:eastAsia="Calibri" w:hAnsi="Calibri"/>
          <w:b/>
          <w:bCs/>
          <w:i w:val="false"/>
          <w:iCs w:val="false"/>
          <w:strike w:val="false"/>
          <w:color w:val="333333"/>
          <w:sz w:val="22"/>
          <w:szCs w:val="22"/>
        </w:rPr>
        <w:t xml:space="preserve">Date:</w:t>
      </w:r>
      <w:r>
        <w:rPr>
          <w:rFonts w:ascii="Calibri" w:cs="Calibri" w:eastAsia="Calibri" w:hAnsi="Calibri"/>
          <w:b w:val="false"/>
          <w:bCs w:val="false"/>
          <w:i w:val="false"/>
          <w:iCs w:val="false"/>
          <w:strike w:val="false"/>
          <w:color w:val="000000"/>
          <w:sz w:val="22"/>
          <w:szCs w:val="22"/>
        </w:rPr>
        <w:t xml:space="preserve"> April 28, 2026</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UNCLASSIFIED — FOR OFFICIAL USE ONLY</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TABLE OF CONTENTS</w:t>
            </w:r>
          </w:p>
          <w:p>
            <w:pPr>
              <w:spacing w:after="40" w:line="360" w:lineRule="auto"/>
            </w:pPr>
            <w:r>
              <w:rPr>
                <w:rFonts w:ascii="Calibri" w:cs="Calibri" w:eastAsia="Calibri" w:hAnsi="Calibri"/>
                <w:b w:val="false"/>
                <w:bCs w:val="false"/>
                <w:i w:val="false"/>
                <w:iCs w:val="false"/>
                <w:strike w:val="false"/>
                <w:color w:val="000000"/>
                <w:sz w:val="22"/>
                <w:szCs w:val="22"/>
              </w:rPr>
              <w:t xml:space="preserve">Section 1 — Executive Overview</w:t>
            </w:r>
          </w:p>
          <w:p>
            <w:pPr>
              <w:spacing w:after="40" w:line="360" w:lineRule="auto"/>
            </w:pPr>
            <w:r>
              <w:rPr>
                <w:rFonts w:ascii="Calibri" w:cs="Calibri" w:eastAsia="Calibri" w:hAnsi="Calibri"/>
                <w:b w:val="false"/>
                <w:bCs w:val="false"/>
                <w:i w:val="false"/>
                <w:iCs w:val="false"/>
                <w:strike w:val="false"/>
                <w:color w:val="000000"/>
                <w:sz w:val="22"/>
                <w:szCs w:val="22"/>
              </w:rPr>
              <w:t xml:space="preserve">Section 2 — Individual Document Summaries (Documents 1–11)</w:t>
            </w:r>
          </w:p>
          <w:p>
            <w:pPr>
              <w:spacing w:after="40" w:line="360" w:lineRule="auto"/>
            </w:pPr>
            <w:r>
              <w:rPr>
                <w:rFonts w:ascii="Calibri" w:cs="Calibri" w:eastAsia="Calibri" w:hAnsi="Calibri"/>
                <w:b w:val="false"/>
                <w:bCs w:val="false"/>
                <w:i w:val="false"/>
                <w:iCs w:val="false"/>
                <w:strike w:val="false"/>
                <w:color w:val="000000"/>
                <w:sz w:val="22"/>
                <w:szCs w:val="22"/>
              </w:rPr>
              <w:t xml:space="preserve">Section 3 — Integrated System Map: How These Documents Connect</w:t>
            </w:r>
          </w:p>
          <w:p>
            <w:pPr>
              <w:spacing w:after="40" w:line="360" w:lineRule="auto"/>
            </w:pPr>
            <w:r>
              <w:rPr>
                <w:rFonts w:ascii="Calibri" w:cs="Calibri" w:eastAsia="Calibri" w:hAnsi="Calibri"/>
                <w:b w:val="false"/>
                <w:bCs w:val="false"/>
                <w:i w:val="false"/>
                <w:iCs w:val="false"/>
                <w:strike w:val="false"/>
                <w:color w:val="000000"/>
                <w:sz w:val="22"/>
                <w:szCs w:val="22"/>
              </w:rPr>
              <w:t xml:space="preserve">Section 4 — Key Regulatory Cross-Reference Table</w:t>
            </w:r>
          </w:p>
          <w:p>
            <w:pPr>
              <w:spacing w:after="40" w:line="360" w:lineRule="auto"/>
            </w:pPr>
            <w:r>
              <w:rPr>
                <w:rFonts w:ascii="Calibri" w:cs="Calibri" w:eastAsia="Calibri" w:hAnsi="Calibri"/>
                <w:b w:val="false"/>
                <w:bCs w:val="false"/>
                <w:i w:val="false"/>
                <w:iCs w:val="false"/>
                <w:strike w:val="false"/>
                <w:color w:val="000000"/>
                <w:sz w:val="22"/>
                <w:szCs w:val="22"/>
              </w:rPr>
              <w:t xml:space="preserve">Section 5 — Key Contacts and Submission Points</w:t>
            </w:r>
          </w:p>
          <w:p>
            <w:pPr>
              <w:spacing w:after="0" w:line="360" w:lineRule="auto"/>
            </w:pPr>
            <w:r>
              <w:rPr>
                <w:rFonts w:ascii="Calibri" w:cs="Calibri" w:eastAsia="Calibri" w:hAnsi="Calibri"/>
                <w:b w:val="false"/>
                <w:bCs w:val="false"/>
                <w:i w:val="false"/>
                <w:iCs w:val="false"/>
                <w:strike w:val="false"/>
                <w:color w:val="000000"/>
                <w:sz w:val="22"/>
                <w:szCs w:val="22"/>
              </w:rPr>
              <w:t xml:space="preserve">Section 6 — Operational Status Tracker</w:t>
            </w:r>
          </w:p>
        </w:tc>
      </w:tr>
    </w:tbl>
    <w:p>
      <w:pPr>
        <w:spacing w:after="240" w:before="0"/>
      </w:pP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1: Executive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guide consolidates and cross-references 11 GSA source documents spanning the functional domains of eligibility determination, fleet vehicle management, procurement and supply chain operations, facilities use, IT modernization, and administrative governance. Its purpose is to serve as a single integrated operational reference that ties together the regulatory authorities, procedural guides, and active request packages comprising Brian Michael Frost's GSA portfolio. By mapping each document's regulatory basis, operational function, and interconnections with the other materials, this reference guide enables rapid identification of governing authorities, submission procedures, and current action items across all active GSA workstreams. The documents reviewed herein range from foundational eligibility orders and delegation authorities to active fleet vehicle assignment packages, system account guides, procurement policy instruments, and enterprise technology planning materials.</w:t>
      </w: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2: Individual Document Summaries</w:t>
      </w:r>
    </w:p>
    <w:p>
      <w:pPr>
        <w:spacing w:after="60" w:before="60" w:line="360" w:lineRule="auto"/>
      </w:pPr>
      <w:r>
        <w:rPr>
          <w:rFonts w:ascii="Calibri" w:cs="Calibri" w:eastAsia="Calibri" w:hAnsi="Calibri"/>
          <w:b/>
          <w:bCs/>
          <w:i w:val="false"/>
          <w:iCs w:val="false"/>
          <w:strike w:val="false"/>
          <w:color w:val="2B5797"/>
          <w:sz w:val="24"/>
          <w:szCs w:val="24"/>
        </w:rPr>
        <w:t xml:space="preserve">Document 1: OGP 4800.2I — Eligibility to Use GSA Sources of Supply and Services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7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Document Type</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Order</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Issuing Authority</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Office of Government-wide Policy (OGP); Associate Administrator Troy Cribb</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Date</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July 19, 2016 (cancels ADM 4800.2H)</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Regulatory Authority</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40 U.S.C. §§ 501–502; 40 U.S.C. § 602</w:t>
            </w:r>
          </w:p>
        </w:tc>
      </w:tr>
    </w:tbl>
    <w:p>
      <w:pPr>
        <w:spacing w:after="200" w:before="0"/>
      </w:pPr>
    </w:p>
    <w:p>
      <w:pPr>
        <w:spacing w:after="120" w:before="60" w:line="360" w:lineRule="auto"/>
      </w:pPr>
      <w:r>
        <w:rPr>
          <w:rFonts w:ascii="Calibri" w:cs="Calibri" w:eastAsia="Calibri" w:hAnsi="Calibri"/>
          <w:b/>
          <w:bCs/>
          <w:i w:val="false"/>
          <w:iCs w:val="false"/>
          <w:strike w:val="false"/>
          <w:color w:val="333333"/>
          <w:sz w:val="22"/>
          <w:szCs w:val="22"/>
        </w:rPr>
        <w:t xml:space="preserve">Summary:</w:t>
      </w:r>
      <w:r>
        <w:rPr>
          <w:rFonts w:ascii="Calibri" w:cs="Calibri" w:eastAsia="Calibri" w:hAnsi="Calibri"/>
          <w:b w:val="false"/>
          <w:bCs w:val="false"/>
          <w:i w:val="false"/>
          <w:iCs w:val="false"/>
          <w:strike w:val="false"/>
          <w:color w:val="000000"/>
          <w:sz w:val="22"/>
          <w:szCs w:val="22"/>
        </w:rPr>
        <w:t xml:space="preserve"> OGP 4800.2I is the definitive listing of all agencies and organizations authorized to use GSA sources of supply and services. It defines eligibility for executive agencies (Appendix A — cabinet departments, independent agencies, wholly owned government corporations), other federal agencies and eligible users (Appendix B — legislative and judicial branch entities, the DC government, the Red Cross, tribal organizations, and state/local governments for Schedules 70 and 84 and disaster purchasing), and international organizations under FAA Section 607 (Appendix C — NATO, UN, World Bank, and others). The order also covers cost-reimbursement contractors under FAR Part 51, GSA Fleet vehicle eligibility, and travel/transportation services. Ineligible activities include federal grantees (except for public health emergencies). New eligibility determinations are submitted to the OGP Office of Acquisition Policy at spe.request@gsa.gov.</w:t>
      </w:r>
    </w:p>
    <w:p>
      <w:pPr>
        <w:pBdr>
          <w:bottom w:val="single" w:color="CCCCCC" w:sz="6"/>
        </w:pBdr>
        <w:spacing w:after="240" w:before="240"/>
      </w:pPr>
    </w:p>
    <w:p>
      <w:pPr>
        <w:spacing w:after="60" w:before="60" w:line="360" w:lineRule="auto"/>
      </w:pPr>
      <w:r>
        <w:rPr>
          <w:rFonts w:ascii="Calibri" w:cs="Calibri" w:eastAsia="Calibri" w:hAnsi="Calibri"/>
          <w:b/>
          <w:bCs/>
          <w:i w:val="false"/>
          <w:iCs w:val="false"/>
          <w:strike w:val="false"/>
          <w:color w:val="2B5797"/>
          <w:sz w:val="24"/>
          <w:szCs w:val="24"/>
        </w:rPr>
        <w:t xml:space="preserve">Document 2: ADM 5450.39D CHGE 16 — Delegations of Authority Manual, Chapter 6, Office of Government-wide Policy (OGP)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7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Document Type</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Delegation of Authority Order</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Issuing Authority</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Administrator</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Date</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October 16, 2020 (cancels CHGE 12, dated October 18, 2018; expires October 16, 2027)</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Regulatory Authority</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Foundations for Evidence-Based Policymaking Act of 2018 ("Evidence Act")</w:t>
            </w:r>
          </w:p>
        </w:tc>
      </w:tr>
    </w:tbl>
    <w:p>
      <w:pPr>
        <w:spacing w:after="200" w:before="0"/>
      </w:pPr>
    </w:p>
    <w:p>
      <w:pPr>
        <w:spacing w:after="120" w:before="60" w:line="360" w:lineRule="auto"/>
      </w:pPr>
      <w:r>
        <w:rPr>
          <w:rFonts w:ascii="Calibri" w:cs="Calibri" w:eastAsia="Calibri" w:hAnsi="Calibri"/>
          <w:b/>
          <w:bCs/>
          <w:i w:val="false"/>
          <w:iCs w:val="false"/>
          <w:strike w:val="false"/>
          <w:color w:val="333333"/>
          <w:sz w:val="22"/>
          <w:szCs w:val="22"/>
        </w:rPr>
        <w:t xml:space="preserve">Summary:</w:t>
      </w:r>
      <w:r>
        <w:rPr>
          <w:rFonts w:ascii="Calibri" w:cs="Calibri" w:eastAsia="Calibri" w:hAnsi="Calibri"/>
          <w:b w:val="false"/>
          <w:bCs w:val="false"/>
          <w:i w:val="false"/>
          <w:iCs w:val="false"/>
          <w:strike w:val="false"/>
          <w:color w:val="000000"/>
          <w:sz w:val="22"/>
          <w:szCs w:val="22"/>
        </w:rPr>
        <w:t xml:space="preserve"> This order updates Chapter 6 of the GSA Delegations of Authority Manual. It adds Part 4, implementing the Evidence Act, which requires federal agencies to establish an Evaluation Officer, develop a multi-year Learning Agenda and Annual Evaluation Plan, complete capacity assessments, and implement an agency-wide Evaluation Policy. Authorities are delegated to the Associate Administrator of OGP. The order also adds new paragraph 1.g to Part 1. Status: Active through October 16, 2027.</w:t>
      </w:r>
    </w:p>
    <w:p>
      <w:pPr>
        <w:pBdr>
          <w:bottom w:val="single" w:color="CCCCCC" w:sz="6"/>
        </w:pBdr>
        <w:spacing w:after="240" w:before="240"/>
      </w:pPr>
    </w:p>
    <w:p>
      <w:pPr>
        <w:spacing w:after="60" w:before="60" w:line="360" w:lineRule="auto"/>
      </w:pPr>
      <w:r>
        <w:rPr>
          <w:rFonts w:ascii="Calibri" w:cs="Calibri" w:eastAsia="Calibri" w:hAnsi="Calibri"/>
          <w:b/>
          <w:bCs/>
          <w:i w:val="false"/>
          <w:iCs w:val="false"/>
          <w:strike w:val="false"/>
          <w:color w:val="2B5797"/>
          <w:sz w:val="24"/>
          <w:szCs w:val="24"/>
        </w:rPr>
        <w:t xml:space="preserve">Document 3: GSA Fleet Permanent Vehicle Assignment Request Package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Document Type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Multi-section request package (Mission Need Statement, Assignment Memorandum, Vehicle Spec Sheet, Routing/Concurrence Sheet)</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Prepared by</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Brian Michael Frost</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Date</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 21, 2026</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Regulatory Authority</w:t>
            </w:r>
          </w:p>
        </w:tc>
        <w:tc>
          <w:tcPr>
            <w:tcW w:type="pct" w:w="8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41 CFR Part 102-34 (Motor Vehicle Management); 41 CFR § 101-39.204 (Indefinite Assignment)</w:t>
            </w:r>
          </w:p>
        </w:tc>
      </w:tr>
    </w:tbl>
    <w:p>
      <w:pPr>
        <w:spacing w:after="200" w:before="0"/>
      </w:pPr>
    </w:p>
    <w:p>
      <w:pPr>
        <w:spacing w:after="120" w:before="60" w:line="360" w:lineRule="auto"/>
      </w:pPr>
      <w:r>
        <w:rPr>
          <w:rFonts w:ascii="Calibri" w:cs="Calibri" w:eastAsia="Calibri" w:hAnsi="Calibri"/>
          <w:b/>
          <w:bCs/>
          <w:i w:val="false"/>
          <w:iCs w:val="false"/>
          <w:strike w:val="false"/>
          <w:color w:val="333333"/>
          <w:sz w:val="22"/>
          <w:szCs w:val="22"/>
        </w:rPr>
        <w:t xml:space="preserve">Summary:</w:t>
      </w:r>
      <w:r>
        <w:rPr>
          <w:rFonts w:ascii="Calibri" w:cs="Calibri" w:eastAsia="Calibri" w:hAnsi="Calibri"/>
          <w:b w:val="false"/>
          <w:bCs w:val="false"/>
          <w:i w:val="false"/>
          <w:iCs w:val="false"/>
          <w:strike w:val="false"/>
          <w:color w:val="000000"/>
          <w:sz w:val="22"/>
          <w:szCs w:val="22"/>
        </w:rPr>
        <w:t xml:space="preserve"> This is a four-section package requesting permanent assignment of a GSA Fleet full-size sedan (Class 330/340 equivalent, benchmarked to Cadillac CT5-V) for multi-county federal duties spanning Ventura County and Los Angeles County, California (approximately 4,750 square miles). The package documents daily mileage of 80–150 miles, estimated annual utilization of 22,000–30,000 miles, and the inadequacy of public transit, ride-share, or rental alternatives. It includes class upgrade justification per § 101-39.204(b)(2), fleet manager concurrence certification per § 101-39.204(b)(1), and a six-step routing table from Requesting Official through the GSA Fleet Management Center (Pacific Rim Region). Earliest acceptable delivery is June 1, 2026.</w:t>
      </w:r>
    </w:p>
    <w:p>
      <w:pPr>
        <w:pBdr>
          <w:bottom w:val="single" w:color="CCCCCC" w:sz="6"/>
        </w:pBdr>
        <w:spacing w:after="240" w:before="240"/>
      </w:pPr>
    </w:p>
    <w:p>
      <w:pPr>
        <w:spacing w:after="60" w:before="60" w:line="360" w:lineRule="auto"/>
      </w:pPr>
      <w:r>
        <w:rPr>
          <w:rFonts w:ascii="Calibri" w:cs="Calibri" w:eastAsia="Calibri" w:hAnsi="Calibri"/>
          <w:b/>
          <w:bCs/>
          <w:i w:val="false"/>
          <w:iCs w:val="false"/>
          <w:strike w:val="false"/>
          <w:color w:val="2B5797"/>
          <w:sz w:val="24"/>
          <w:szCs w:val="24"/>
        </w:rPr>
        <w:t xml:space="preserve">Document 4: GSA Fleet Package Summary (Companion Document)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45%"/>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Document Type</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Summary/Overview Narrative</w:t>
            </w:r>
          </w:p>
        </w:tc>
      </w:tr>
      <w:tr>
        <w:trPr>
          <w:tblHeader w:val="false"/>
        </w:trPr>
        <w:tc>
          <w:tcPr>
            <w:tcW w:type="pct" w:w="45%"/>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Prepared by</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Brian Michael Frost</w:t>
            </w:r>
          </w:p>
        </w:tc>
      </w:tr>
      <w:tr>
        <w:trPr>
          <w:tblHeader w:val="false"/>
        </w:trPr>
        <w:tc>
          <w:tcPr>
            <w:tcW w:type="pct" w:w="45%"/>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Date</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 2026</w:t>
            </w:r>
          </w:p>
        </w:tc>
      </w:tr>
      <w:tr>
        <w:trPr>
          <w:tblHeader w:val="false"/>
        </w:trPr>
        <w:tc>
          <w:tcPr>
            <w:tcW w:type="pct" w:w="45%"/>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Regulatory Authority</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See Document 3</w:t>
            </w:r>
          </w:p>
        </w:tc>
      </w:tr>
    </w:tbl>
    <w:p>
      <w:pPr>
        <w:spacing w:after="200" w:before="0"/>
      </w:pPr>
    </w:p>
    <w:p>
      <w:pPr>
        <w:spacing w:after="120" w:before="60" w:line="360" w:lineRule="auto"/>
      </w:pPr>
      <w:r>
        <w:rPr>
          <w:rFonts w:ascii="Calibri" w:cs="Calibri" w:eastAsia="Calibri" w:hAnsi="Calibri"/>
          <w:b/>
          <w:bCs/>
          <w:i w:val="false"/>
          <w:iCs w:val="false"/>
          <w:strike w:val="false"/>
          <w:color w:val="333333"/>
          <w:sz w:val="22"/>
          <w:szCs w:val="22"/>
        </w:rPr>
        <w:t xml:space="preserve">Summary:</w:t>
      </w:r>
      <w:r>
        <w:rPr>
          <w:rFonts w:ascii="Calibri" w:cs="Calibri" w:eastAsia="Calibri" w:hAnsi="Calibri"/>
          <w:b w:val="false"/>
          <w:bCs w:val="false"/>
          <w:i w:val="false"/>
          <w:iCs w:val="false"/>
          <w:strike w:val="false"/>
          <w:color w:val="000000"/>
          <w:sz w:val="22"/>
          <w:szCs w:val="22"/>
        </w:rPr>
        <w:t xml:space="preserve"> This companion narrative summarizes the four-section Fleet Vehicle Assignment Request Package (Document 3). It provides a quick-reference overview of the Mission Need Statement, Assignment Memorandum, Vehicle Class Specification Sheet, and Routing/Concurrence Sheet for reviewer orientation. The document is designed to give concurrence chain officials and fleet management reviewers an accessible entry point to the full package without requiring immediate review of all supporting detail.</w:t>
      </w:r>
    </w:p>
    <w:p>
      <w:pPr>
        <w:pBdr>
          <w:bottom w:val="single" w:color="CCCCCC" w:sz="6"/>
        </w:pBdr>
        <w:spacing w:after="240" w:before="240"/>
      </w:pPr>
    </w:p>
    <w:p>
      <w:pPr>
        <w:spacing w:after="60" w:before="60" w:line="360" w:lineRule="auto"/>
      </w:pPr>
      <w:r>
        <w:rPr>
          <w:rFonts w:ascii="Calibri" w:cs="Calibri" w:eastAsia="Calibri" w:hAnsi="Calibri"/>
          <w:b/>
          <w:bCs/>
          <w:i w:val="false"/>
          <w:iCs w:val="false"/>
          <w:strike w:val="false"/>
          <w:color w:val="2B5797"/>
          <w:sz w:val="24"/>
          <w:szCs w:val="24"/>
        </w:rPr>
        <w:t xml:space="preserve">Document 5: GSA Global Supply — Domain Access Instructions for GSA Advantage/GSA eBuy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7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Document Type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Procedural Instruction Page (screenshot from gsaglobalsupply.gsa.gov)</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Issuing Authority</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Global Supply</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Date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 dated (current as of portfolio compilation)</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Regulatory Authority</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Procedural</w:t>
            </w:r>
          </w:p>
        </w:tc>
      </w:tr>
    </w:tbl>
    <w:p>
      <w:pPr>
        <w:spacing w:after="200" w:before="0"/>
      </w:pPr>
    </w:p>
    <w:p>
      <w:pPr>
        <w:spacing w:after="120" w:before="60" w:line="360" w:lineRule="auto"/>
      </w:pPr>
      <w:r>
        <w:rPr>
          <w:rFonts w:ascii="Calibri" w:cs="Calibri" w:eastAsia="Calibri" w:hAnsi="Calibri"/>
          <w:b/>
          <w:bCs/>
          <w:i w:val="false"/>
          <w:iCs w:val="false"/>
          <w:strike w:val="false"/>
          <w:color w:val="333333"/>
          <w:sz w:val="22"/>
          <w:szCs w:val="22"/>
        </w:rPr>
        <w:t xml:space="preserve">Summary:</w:t>
      </w:r>
      <w:r>
        <w:rPr>
          <w:rFonts w:ascii="Calibri" w:cs="Calibri" w:eastAsia="Calibri" w:hAnsi="Calibri"/>
          <w:b w:val="false"/>
          <w:bCs w:val="false"/>
          <w:i w:val="false"/>
          <w:iCs w:val="false"/>
          <w:strike w:val="false"/>
          <w:color w:val="000000"/>
          <w:sz w:val="22"/>
          <w:szCs w:val="22"/>
        </w:rPr>
        <w:t xml:space="preserve"> This document provides step-by-step instructions for requesting that a federal agency domain be approved for ordering through GSA Advantage and/or submitting RFQs through GSA eBuy. Requirements include an official letterhead from the agency, signed and dated by the agency head or approving official, clearly identifying the domain (which must be unique to the agency — no ISP email domains such as Gmail or Yahoo), background or legislative evidence of valid U.S. Federal Government entity status, and a designated Point of Contact. Requests are submitted to GSA.Advantage@gsa.gov. The page shows user "BRIAN" logged into Global Supply with access to categories including Office Supplies, Furniture, Safety, Tools, and Disaster Relief.</w:t>
      </w:r>
    </w:p>
    <w:p>
      <w:pPr>
        <w:pBdr>
          <w:bottom w:val="single" w:color="CCCCCC" w:sz="6"/>
        </w:pBdr>
        <w:spacing w:after="240" w:before="240"/>
      </w:pPr>
    </w:p>
    <w:p>
      <w:pPr>
        <w:spacing w:after="60" w:before="60" w:line="360" w:lineRule="auto"/>
      </w:pPr>
      <w:r>
        <w:rPr>
          <w:rFonts w:ascii="Calibri" w:cs="Calibri" w:eastAsia="Calibri" w:hAnsi="Calibri"/>
          <w:b/>
          <w:bCs/>
          <w:i w:val="false"/>
          <w:iCs w:val="false"/>
          <w:strike w:val="false"/>
          <w:color w:val="2B5797"/>
          <w:sz w:val="24"/>
          <w:szCs w:val="24"/>
        </w:rPr>
        <w:t xml:space="preserve">Document 6: GSA FAS — MAS Pricing Practices Market Research (RFI)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7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Document Type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Request for Information (RFI)</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Issuing Authority</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Federal Acquisition Service (FAS), Office of Policy and Compliance</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Responses Due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May 8, 2024</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Regulatory Authority</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FAR 15.403-3(c)(1); GSAR 552.238-81; SCP-FSS-001</w:t>
            </w:r>
          </w:p>
        </w:tc>
      </w:tr>
    </w:tbl>
    <w:p>
      <w:pPr>
        <w:spacing w:after="200" w:before="0"/>
      </w:pPr>
    </w:p>
    <w:p>
      <w:pPr>
        <w:spacing w:after="120" w:before="60" w:line="360" w:lineRule="auto"/>
      </w:pPr>
      <w:r>
        <w:rPr>
          <w:rFonts w:ascii="Calibri" w:cs="Calibri" w:eastAsia="Calibri" w:hAnsi="Calibri"/>
          <w:b/>
          <w:bCs/>
          <w:i w:val="false"/>
          <w:iCs w:val="false"/>
          <w:strike w:val="false"/>
          <w:color w:val="333333"/>
          <w:sz w:val="22"/>
          <w:szCs w:val="22"/>
        </w:rPr>
        <w:t xml:space="preserve">Summary:</w:t>
      </w:r>
      <w:r>
        <w:rPr>
          <w:rFonts w:ascii="Calibri" w:cs="Calibri" w:eastAsia="Calibri" w:hAnsi="Calibri"/>
          <w:b w:val="false"/>
          <w:bCs w:val="false"/>
          <w:i w:val="false"/>
          <w:iCs w:val="false"/>
          <w:strike w:val="false"/>
          <w:color w:val="000000"/>
          <w:sz w:val="22"/>
          <w:szCs w:val="22"/>
        </w:rPr>
        <w:t xml:space="preserve"> This industry-facing RFI sought input on streamlining "fair and reasonable" pricing determinations for Multiple Award Schedule (MAS) contracts. It covered two main topics: (1) offering identical items under multiple Special Item Numbers (SINs), seeking feedback on documentation practices, challenges, and standardized labor categories; and (2) offeror-provided documentation to support pricing, exploring representative sampling for large catalogs to reduce contractor burden while maintaining price analysis integrity. The RFI also addressed Basis of Award (BoA) customer designation when the Most Favored Customer is the federal government. Responses granted GSA authority to share submitted information with other government entities.</w:t>
      </w:r>
    </w:p>
    <w:p>
      <w:pPr>
        <w:pBdr>
          <w:bottom w:val="single" w:color="CCCCCC" w:sz="6"/>
        </w:pBdr>
        <w:spacing w:after="240" w:before="240"/>
      </w:pPr>
    </w:p>
    <w:p>
      <w:pPr>
        <w:spacing w:after="60" w:before="60" w:line="360" w:lineRule="auto"/>
      </w:pPr>
      <w:r>
        <w:rPr>
          <w:rFonts w:ascii="Calibri" w:cs="Calibri" w:eastAsia="Calibri" w:hAnsi="Calibri"/>
          <w:b/>
          <w:bCs/>
          <w:i w:val="false"/>
          <w:iCs w:val="false"/>
          <w:strike w:val="false"/>
          <w:color w:val="2B5797"/>
          <w:sz w:val="24"/>
          <w:szCs w:val="24"/>
        </w:rPr>
        <w:t xml:space="preserve">Document 7: GSA.docx (Data Export)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45%"/>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Document Type</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Tabular Data Export</w:t>
            </w:r>
          </w:p>
        </w:tc>
      </w:tr>
      <w:tr>
        <w:trPr>
          <w:tblHeader w:val="false"/>
        </w:trPr>
        <w:tc>
          <w:tcPr>
            <w:tcW w:type="pct" w:w="45%"/>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Issuing Authority</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Unknown / System-generated</w:t>
            </w:r>
          </w:p>
        </w:tc>
      </w:tr>
      <w:tr>
        <w:trPr>
          <w:tblHeader w:val="false"/>
        </w:trPr>
        <w:tc>
          <w:tcPr>
            <w:tcW w:type="pct" w:w="45%"/>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Date</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 dated</w:t>
            </w:r>
          </w:p>
        </w:tc>
      </w:tr>
      <w:tr>
        <w:trPr>
          <w:tblHeader w:val="false"/>
        </w:trPr>
        <w:tc>
          <w:tcPr>
            <w:tcW w:type="pct" w:w="45%"/>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Regulatory Authority</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r>
    </w:tbl>
    <w:p>
      <w:pPr>
        <w:spacing w:after="200" w:before="0"/>
      </w:pPr>
    </w:p>
    <w:p>
      <w:pPr>
        <w:spacing w:after="120" w:before="60" w:line="360" w:lineRule="auto"/>
      </w:pPr>
      <w:r>
        <w:rPr>
          <w:rFonts w:ascii="Calibri" w:cs="Calibri" w:eastAsia="Calibri" w:hAnsi="Calibri"/>
          <w:b/>
          <w:bCs/>
          <w:i w:val="false"/>
          <w:iCs w:val="false"/>
          <w:strike w:val="false"/>
          <w:color w:val="333333"/>
          <w:sz w:val="22"/>
          <w:szCs w:val="22"/>
        </w:rPr>
        <w:t xml:space="preserve">Summary:</w:t>
      </w:r>
      <w:r>
        <w:rPr>
          <w:rFonts w:ascii="Calibri" w:cs="Calibri" w:eastAsia="Calibri" w:hAnsi="Calibri"/>
          <w:b w:val="false"/>
          <w:bCs w:val="false"/>
          <w:i w:val="false"/>
          <w:iCs w:val="false"/>
          <w:strike w:val="false"/>
          <w:color w:val="000000"/>
          <w:sz w:val="22"/>
          <w:szCs w:val="22"/>
        </w:rPr>
        <w:t xml:space="preserve"> This file appears to be a raw data export or template containing table structures but no visible populated content. It may be a placeholder or an export from a GSA procurement or supply chain system. In its current form, it has limited operational value and may require re-export or population with current data to serve a functional purpose within this portfolio.</w:t>
      </w:r>
    </w:p>
    <w:p>
      <w:pPr>
        <w:pBdr>
          <w:bottom w:val="single" w:color="CCCCCC" w:sz="6"/>
        </w:pBdr>
        <w:spacing w:after="240" w:before="240"/>
      </w:pPr>
    </w:p>
    <w:p>
      <w:pPr>
        <w:spacing w:after="60" w:before="60" w:line="360" w:lineRule="auto"/>
      </w:pPr>
      <w:r>
        <w:rPr>
          <w:rFonts w:ascii="Calibri" w:cs="Calibri" w:eastAsia="Calibri" w:hAnsi="Calibri"/>
          <w:b/>
          <w:bCs/>
          <w:i w:val="false"/>
          <w:iCs w:val="false"/>
          <w:strike w:val="false"/>
          <w:color w:val="2B5797"/>
          <w:sz w:val="24"/>
          <w:szCs w:val="24"/>
        </w:rPr>
        <w:t xml:space="preserve">Document 8: GSA Form 3453 (Rev. 1/2016) — Application/Permit for Use of Space in Public Buildings and Grounds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7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Document Type</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Federal Form (OMB Control Number 3090-0044)</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Issuing Authority</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Public Buildings Service, Office of Facilities Management and Services Programs (PM)</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Regulatory Authority</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40 U.S.C. § 581(h); 41 CFR Part 102-74, Subpart D (Federal Management Regulation)</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Form Expiration</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May 31, 2025</w:t>
            </w:r>
          </w:p>
        </w:tc>
      </w:tr>
    </w:tbl>
    <w:p>
      <w:pPr>
        <w:spacing w:after="200" w:before="0"/>
      </w:pPr>
    </w:p>
    <w:p>
      <w:pPr>
        <w:spacing w:after="120" w:before="60" w:line="360" w:lineRule="auto"/>
      </w:pPr>
      <w:r>
        <w:rPr>
          <w:rFonts w:ascii="Calibri" w:cs="Calibri" w:eastAsia="Calibri" w:hAnsi="Calibri"/>
          <w:b/>
          <w:bCs/>
          <w:i w:val="false"/>
          <w:iCs w:val="false"/>
          <w:strike w:val="false"/>
          <w:color w:val="333333"/>
          <w:sz w:val="22"/>
          <w:szCs w:val="22"/>
        </w:rPr>
        <w:t xml:space="preserve">Summary:</w:t>
      </w:r>
      <w:r>
        <w:rPr>
          <w:rFonts w:ascii="Calibri" w:cs="Calibri" w:eastAsia="Calibri" w:hAnsi="Calibri"/>
          <w:b w:val="false"/>
          <w:bCs w:val="false"/>
          <w:i w:val="false"/>
          <w:iCs w:val="false"/>
          <w:strike w:val="false"/>
          <w:color w:val="000000"/>
          <w:sz w:val="22"/>
          <w:szCs w:val="22"/>
        </w:rPr>
        <w:t xml:space="preserve"> GSA Form 3453 is a two-part application form for requesting use of federally owned property. Part I captures applicant information (name, address, phone, email), sponsor/promoter details, activity description, proposed building or area, dates and hours, and number of persons. It includes a solicitation fund certification under 26 U.S.C. 501(c)(3/4/5). Part II is completed by GSA only (approval section). Part III contains conditions including indemnification, cleanup responsibility, records retention (3 years), and appeal rights (5 calendar days to the GSA Regional Administrator). Of note: farmers market use requires consultation with regional counsel to determine whether a permit, license (GSA Form 1582), or outlease is the appropriate instrument.</w:t>
      </w:r>
    </w:p>
    <w:p>
      <w:pPr>
        <w:pBdr>
          <w:bottom w:val="single" w:color="CCCCCC" w:sz="6"/>
        </w:pBdr>
        <w:spacing w:after="240" w:before="240"/>
      </w:pPr>
    </w:p>
    <w:p>
      <w:pPr>
        <w:spacing w:after="60" w:before="60" w:line="360" w:lineRule="auto"/>
      </w:pPr>
      <w:r>
        <w:rPr>
          <w:rFonts w:ascii="Calibri" w:cs="Calibri" w:eastAsia="Calibri" w:hAnsi="Calibri"/>
          <w:b/>
          <w:bCs/>
          <w:i w:val="false"/>
          <w:iCs w:val="false"/>
          <w:strike w:val="false"/>
          <w:color w:val="2B5797"/>
          <w:sz w:val="24"/>
          <w:szCs w:val="24"/>
        </w:rPr>
        <w:t xml:space="preserve">Document 9: GSAFleet.gov Account Creation User Guide (v2, November 2023)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7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Document Type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Step-by-step User Guide</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Issuing Authority</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Fleet Systems Modernization (fleetsystemsmodernization@gsa.gov)</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Date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Updated November 2023</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Regulatory Authority</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Procedural</w:t>
            </w:r>
          </w:p>
        </w:tc>
      </w:tr>
    </w:tbl>
    <w:p>
      <w:pPr>
        <w:spacing w:after="200" w:before="0"/>
      </w:pPr>
    </w:p>
    <w:p>
      <w:pPr>
        <w:spacing w:after="120" w:before="60" w:line="360" w:lineRule="auto"/>
      </w:pPr>
      <w:r>
        <w:rPr>
          <w:rFonts w:ascii="Calibri" w:cs="Calibri" w:eastAsia="Calibri" w:hAnsi="Calibri"/>
          <w:b/>
          <w:bCs/>
          <w:i w:val="false"/>
          <w:iCs w:val="false"/>
          <w:strike w:val="false"/>
          <w:color w:val="333333"/>
          <w:sz w:val="22"/>
          <w:szCs w:val="22"/>
        </w:rPr>
        <w:t xml:space="preserve">Summary:</w:t>
      </w:r>
      <w:r>
        <w:rPr>
          <w:rFonts w:ascii="Calibri" w:cs="Calibri" w:eastAsia="Calibri" w:hAnsi="Calibri"/>
          <w:b w:val="false"/>
          <w:bCs w:val="false"/>
          <w:i w:val="false"/>
          <w:iCs w:val="false"/>
          <w:strike w:val="false"/>
          <w:color w:val="000000"/>
          <w:sz w:val="22"/>
          <w:szCs w:val="22"/>
        </w:rPr>
        <w:t xml:space="preserve"> This 13-page guide covers account creation procedures for GSAFleet.gov. It details separate workflows for Federal Fleet Managers (an 8-step process including email verification, Okta login, profile completion with agency/bureau/office selection, and manager approval) and GSA Users (SecureAuth/ENT login). Profile fields include agency, bureau, office (multi-select), work address, phone number, and supervisor/fleet manager. Legacy customer numbers from GSA Fleet Drive Thru are automatically associated with new accounts. GSA Zonal employees must additionally specify Zone and FMC/Field Office. Support contact: fleetsystemsmodernization@gsa.gov.</w:t>
      </w:r>
    </w:p>
    <w:p>
      <w:pPr>
        <w:pBdr>
          <w:bottom w:val="single" w:color="CCCCCC" w:sz="6"/>
        </w:pBdr>
        <w:spacing w:after="240" w:before="240"/>
      </w:pPr>
    </w:p>
    <w:p>
      <w:pPr>
        <w:spacing w:after="60" w:before="60" w:line="360" w:lineRule="auto"/>
      </w:pPr>
      <w:r>
        <w:rPr>
          <w:rFonts w:ascii="Calibri" w:cs="Calibri" w:eastAsia="Calibri" w:hAnsi="Calibri"/>
          <w:b/>
          <w:bCs/>
          <w:i w:val="false"/>
          <w:iCs w:val="false"/>
          <w:strike w:val="false"/>
          <w:color w:val="2B5797"/>
          <w:sz w:val="24"/>
          <w:szCs w:val="24"/>
        </w:rPr>
        <w:t xml:space="preserve">Document 10: GSA Administrative Orders List (2022 FOIA Release)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7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Document Type</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Comprehensive Listing of Active GSA ADM Orders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Source</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FOIA response GSA-2023-000005, released October 3, 2022, by Theresa Ottery, FOIA Program Manager</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Date</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October 3, 2022 (release date)</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Regulatory Authority</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U.S.C. § 552 (Freedom of Information Act)</w:t>
            </w:r>
          </w:p>
        </w:tc>
      </w:tr>
    </w:tbl>
    <w:p>
      <w:pPr>
        <w:spacing w:after="200" w:before="0"/>
      </w:pPr>
    </w:p>
    <w:p>
      <w:pPr>
        <w:spacing w:after="120" w:before="60" w:line="360" w:lineRule="auto"/>
      </w:pPr>
      <w:r>
        <w:rPr>
          <w:rFonts w:ascii="Calibri" w:cs="Calibri" w:eastAsia="Calibri" w:hAnsi="Calibri"/>
          <w:b/>
          <w:bCs/>
          <w:i w:val="false"/>
          <w:iCs w:val="false"/>
          <w:strike w:val="false"/>
          <w:color w:val="333333"/>
          <w:sz w:val="22"/>
          <w:szCs w:val="22"/>
        </w:rPr>
        <w:t xml:space="preserve">Summary:</w:t>
      </w:r>
      <w:r>
        <w:rPr>
          <w:rFonts w:ascii="Calibri" w:cs="Calibri" w:eastAsia="Calibri" w:hAnsi="Calibri"/>
          <w:b w:val="false"/>
          <w:bCs w:val="false"/>
          <w:i w:val="false"/>
          <w:iCs w:val="false"/>
          <w:strike w:val="false"/>
          <w:color w:val="000000"/>
          <w:sz w:val="22"/>
          <w:szCs w:val="22"/>
        </w:rPr>
        <w:t xml:space="preserve"> This FOIA release provides a complete inventory of approximately 65+ active GSA Administrative Orders spanning delegations of authority, continuity of operations, security (SCIF, insider threat, HSPD-12), organizational structure, civil rights, classified courier procedures, metric programs, personnel suitability, and fund control. Notable entries include the ADM 5450.39D series (Delegations of Authority chapters), ADM 2430.2A (COOP Mission Essential Functions), ADM 1025.4 (SCIF Policy), ADM 5940.2 (Occupational Safety and Health), ADM 9732.1E (Personnel Security Handbook), and ADM 4200.2C (Administrative Control of Funds). Orders date from 1989 through September 2022.</w:t>
      </w:r>
    </w:p>
    <w:p>
      <w:pPr>
        <w:pBdr>
          <w:bottom w:val="single" w:color="CCCCCC" w:sz="6"/>
        </w:pBdr>
        <w:spacing w:after="240" w:before="240"/>
      </w:pPr>
    </w:p>
    <w:p>
      <w:pPr>
        <w:spacing w:after="60" w:before="60" w:line="360" w:lineRule="auto"/>
      </w:pPr>
      <w:r>
        <w:rPr>
          <w:rFonts w:ascii="Calibri" w:cs="Calibri" w:eastAsia="Calibri" w:hAnsi="Calibri"/>
          <w:b/>
          <w:bCs/>
          <w:i w:val="false"/>
          <w:iCs w:val="false"/>
          <w:strike w:val="false"/>
          <w:color w:val="2B5797"/>
          <w:sz w:val="24"/>
          <w:szCs w:val="24"/>
        </w:rPr>
        <w:t xml:space="preserve">Document 11: Enterprise Technology Solutions (ETS) Industry Day Slides (May 30, 2024)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Field</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Document Type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Industry Day Presentation</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Issuing Authority</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Office of Information Technology Category (ITC), Enterprise Technology Solutions</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Date</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May 30, 2024</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333333"/>
                <w:sz w:val="22"/>
                <w:szCs w:val="22"/>
              </w:rPr>
              <w:t xml:space="preserve">Key Personnel</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Jake Marcellus (Executive Director, ETS); Kevin Gallo (Director, Technical Account Management); Jihyun Huyck (Solutions Broker)</w:t>
            </w:r>
          </w:p>
        </w:tc>
      </w:tr>
    </w:tbl>
    <w:p>
      <w:pPr>
        <w:spacing w:after="200" w:before="0"/>
      </w:pPr>
    </w:p>
    <w:p>
      <w:pPr>
        <w:spacing w:after="120" w:before="60" w:line="360" w:lineRule="auto"/>
      </w:pPr>
      <w:r>
        <w:rPr>
          <w:rFonts w:ascii="Calibri" w:cs="Calibri" w:eastAsia="Calibri" w:hAnsi="Calibri"/>
          <w:b/>
          <w:bCs/>
          <w:i w:val="false"/>
          <w:iCs w:val="false"/>
          <w:strike w:val="false"/>
          <w:color w:val="333333"/>
          <w:sz w:val="22"/>
          <w:szCs w:val="22"/>
        </w:rPr>
        <w:t xml:space="preserve">Summary:</w:t>
      </w:r>
      <w:r>
        <w:rPr>
          <w:rFonts w:ascii="Calibri" w:cs="Calibri" w:eastAsia="Calibri" w:hAnsi="Calibri"/>
          <w:b w:val="false"/>
          <w:bCs w:val="false"/>
          <w:i w:val="false"/>
          <w:iCs w:val="false"/>
          <w:strike w:val="false"/>
          <w:color w:val="000000"/>
          <w:sz w:val="22"/>
          <w:szCs w:val="22"/>
        </w:rPr>
        <w:t xml:space="preserve"> This presentation reviewed current ETS capabilities and introduced Next Generation Network Infrastructure (NGNI) planning. ETS provides government agencies access to enterprise telecommunications, network, satellite, wireless, and earth observation capabilities. The event was informational only and did not constitute a solicitation. Comments and questions were accepted through June 14, 2024 via GSA Interact under the EIS section at www.gsa.gov/itc.</w:t>
      </w:r>
    </w:p>
    <w:p>
      <w:pPr>
        <w:pBdr>
          <w:bottom w:val="single" w:color="CCCCCC" w:sz="6"/>
        </w:pBdr>
        <w:spacing w:after="240" w:before="240"/>
      </w:pP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3: Integrated System Map — How These Documents Connect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11 documents reviewed in this guide are not isolated instruments. They form an interconnected operational system in which eligibility determinations, governance authorities, fleet operations, procurement access, facilities use, and technology infrastructure are mutually dependent. The following analysis maps these connections by functional domain.</w:t>
      </w:r>
    </w:p>
    <w:p>
      <w:pPr>
        <w:pStyle w:val="Heading2"/>
        <w:spacing w:after="120" w:before="360" w:line="312" w:lineRule="auto"/>
      </w:pPr>
      <w:r>
        <w:rPr>
          <w:rFonts w:ascii="Calibri" w:cs="Calibri" w:eastAsia="Calibri" w:hAnsi="Calibri"/>
          <w:color w:val="1A1A1A"/>
          <w:sz w:val="36"/>
          <w:szCs w:val="36"/>
        </w:rPr>
        <w:t xml:space="preserve">3.1 Eligibility and Authorization Framework</w:t>
      </w:r>
    </w:p>
    <w:p>
      <w:pPr>
        <w:spacing w:after="120" w:before="60" w:line="360" w:lineRule="auto"/>
      </w:pPr>
      <w:r>
        <w:rPr>
          <w:rFonts w:ascii="Calibri" w:cs="Calibri" w:eastAsia="Calibri" w:hAnsi="Calibri"/>
          <w:b/>
          <w:bCs/>
          <w:i w:val="false"/>
          <w:iCs w:val="false"/>
          <w:strike w:val="false"/>
          <w:color w:val="333333"/>
          <w:sz w:val="22"/>
          <w:szCs w:val="22"/>
        </w:rPr>
        <w:t xml:space="preserve">OGP 4800.2I (Document 1)</w:t>
      </w:r>
      <w:r>
        <w:rPr>
          <w:rFonts w:ascii="Calibri" w:cs="Calibri" w:eastAsia="Calibri" w:hAnsi="Calibri"/>
          <w:b w:val="false"/>
          <w:bCs w:val="false"/>
          <w:i w:val="false"/>
          <w:iCs w:val="false"/>
          <w:strike w:val="false"/>
          <w:color w:val="000000"/>
          <w:sz w:val="22"/>
          <w:szCs w:val="22"/>
        </w:rPr>
        <w:t xml:space="preserve"> is the foundational eligibility order for the entire GSA portfolio. It determines </w:t>
      </w:r>
      <w:r>
        <w:rPr>
          <w:rFonts w:ascii="Calibri" w:cs="Calibri" w:eastAsia="Calibri" w:hAnsi="Calibri"/>
          <w:b w:val="false"/>
          <w:bCs w:val="false"/>
          <w:i/>
          <w:iCs/>
          <w:strike w:val="false"/>
          <w:color w:val="000000"/>
          <w:sz w:val="22"/>
          <w:szCs w:val="22"/>
        </w:rPr>
        <w:t xml:space="preserve">who</w:t>
      </w:r>
      <w:r>
        <w:rPr>
          <w:rFonts w:ascii="Calibri" w:cs="Calibri" w:eastAsia="Calibri" w:hAnsi="Calibri"/>
          <w:b w:val="false"/>
          <w:bCs w:val="false"/>
          <w:i w:val="false"/>
          <w:iCs w:val="false"/>
          <w:strike w:val="false"/>
          <w:color w:val="000000"/>
          <w:sz w:val="22"/>
          <w:szCs w:val="22"/>
        </w:rPr>
        <w:t xml:space="preserve"> can access GSA sources of supply and services — including GSA Fleet, GSA Advantage, Federal Supply Schedules, and travel/transportation services. Every operational document in this portfolio ultimately traces its authority back to the eligibility framework established in this order.</w:t>
      </w:r>
    </w:p>
    <w:p>
      <w:pPr>
        <w:spacing w:after="120" w:before="60" w:line="360" w:lineRule="auto"/>
      </w:pPr>
      <w:r>
        <w:rPr>
          <w:rFonts w:ascii="Calibri" w:cs="Calibri" w:eastAsia="Calibri" w:hAnsi="Calibri"/>
          <w:b/>
          <w:bCs/>
          <w:i w:val="false"/>
          <w:iCs w:val="false"/>
          <w:strike w:val="false"/>
          <w:color w:val="333333"/>
          <w:sz w:val="22"/>
          <w:szCs w:val="22"/>
        </w:rPr>
        <w:t xml:space="preserve">The Delegations of Authority, Chapter 6 (Document 2)</w:t>
      </w:r>
      <w:r>
        <w:rPr>
          <w:rFonts w:ascii="Calibri" w:cs="Calibri" w:eastAsia="Calibri" w:hAnsi="Calibri"/>
          <w:b w:val="false"/>
          <w:bCs w:val="false"/>
          <w:i w:val="false"/>
          <w:iCs w:val="false"/>
          <w:strike w:val="false"/>
          <w:color w:val="000000"/>
          <w:sz w:val="22"/>
          <w:szCs w:val="22"/>
        </w:rPr>
        <w:t xml:space="preserve"> establishes the governance chain within OGP that administers eligibility determinations and policy oversight. The Associate Administrator of OGP, to whom authorities are delegated under this order, is the same office responsible for adjudicating eligibility questions submitted to spe.request@gsa.gov under Document 1.</w:t>
      </w:r>
    </w:p>
    <w:p>
      <w:pPr>
        <w:spacing w:after="120" w:before="60" w:line="360" w:lineRule="auto"/>
      </w:pPr>
      <w:r>
        <w:rPr>
          <w:rFonts w:ascii="Calibri" w:cs="Calibri" w:eastAsia="Calibri" w:hAnsi="Calibri"/>
          <w:b/>
          <w:bCs/>
          <w:i w:val="false"/>
          <w:iCs w:val="false"/>
          <w:strike w:val="false"/>
          <w:color w:val="333333"/>
          <w:sz w:val="22"/>
          <w:szCs w:val="22"/>
        </w:rPr>
        <w:t xml:space="preserve">The ADM Orders List (Document 10)</w:t>
      </w:r>
      <w:r>
        <w:rPr>
          <w:rFonts w:ascii="Calibri" w:cs="Calibri" w:eastAsia="Calibri" w:hAnsi="Calibri"/>
          <w:b w:val="false"/>
          <w:bCs w:val="false"/>
          <w:i w:val="false"/>
          <w:iCs w:val="false"/>
          <w:strike w:val="false"/>
          <w:color w:val="000000"/>
          <w:sz w:val="22"/>
          <w:szCs w:val="22"/>
        </w:rPr>
        <w:t xml:space="preserve"> provides the complete administrative governance structure within which these authorities operate. The full ADM 5450.39D delegation chain — spanning multiple chapters covering each GSA service and staff office — is inventoried in this FOIA release. Document 10 serves as the master index for locating any delegation authority not directly addressed in this portfolio.</w:t>
      </w:r>
    </w:p>
    <w:p>
      <w:pPr>
        <w:pStyle w:val="Heading2"/>
        <w:spacing w:after="120" w:before="360" w:line="312" w:lineRule="auto"/>
      </w:pPr>
      <w:r>
        <w:rPr>
          <w:rFonts w:ascii="Calibri" w:cs="Calibri" w:eastAsia="Calibri" w:hAnsi="Calibri"/>
          <w:color w:val="1A1A1A"/>
          <w:sz w:val="36"/>
          <w:szCs w:val="36"/>
        </w:rPr>
        <w:t xml:space="preserve">3.2 Fleet Vehicle Operations</w:t>
      </w:r>
    </w:p>
    <w:p>
      <w:pPr>
        <w:spacing w:after="120" w:before="60" w:line="360" w:lineRule="auto"/>
      </w:pPr>
      <w:r>
        <w:rPr>
          <w:rFonts w:ascii="Calibri" w:cs="Calibri" w:eastAsia="Calibri" w:hAnsi="Calibri"/>
          <w:b/>
          <w:bCs/>
          <w:i w:val="false"/>
          <w:iCs w:val="false"/>
          <w:strike w:val="false"/>
          <w:color w:val="333333"/>
          <w:sz w:val="22"/>
          <w:szCs w:val="22"/>
        </w:rPr>
        <w:t xml:space="preserve">The Fleet Vehicle Request Package (Documents 3 and 4)</w:t>
      </w:r>
      <w:r>
        <w:rPr>
          <w:rFonts w:ascii="Calibri" w:cs="Calibri" w:eastAsia="Calibri" w:hAnsi="Calibri"/>
          <w:b w:val="false"/>
          <w:bCs w:val="false"/>
          <w:i w:val="false"/>
          <w:iCs w:val="false"/>
          <w:strike w:val="false"/>
          <w:color w:val="000000"/>
          <w:sz w:val="22"/>
          <w:szCs w:val="22"/>
        </w:rPr>
        <w:t xml:space="preserve"> is a direct application of the fleet eligibility provisions established in OGP 4800.2I, specifically the authority under 40 U.S.C. § 602 (GSA Fleet motor vehicles) and 41 CFR Part 102-34 (Motor Vehicle Management). The request package operationalizes the eligibility framework by documenting mission need, vehicle specifications, and routing the request through the concurrence chain to the GSA Fleet Management Center (Pacific Rim Region).</w:t>
      </w:r>
    </w:p>
    <w:p>
      <w:pPr>
        <w:spacing w:after="120" w:before="60" w:line="360" w:lineRule="auto"/>
      </w:pPr>
      <w:r>
        <w:rPr>
          <w:rFonts w:ascii="Calibri" w:cs="Calibri" w:eastAsia="Calibri" w:hAnsi="Calibri"/>
          <w:b/>
          <w:bCs/>
          <w:i w:val="false"/>
          <w:iCs w:val="false"/>
          <w:strike w:val="false"/>
          <w:color w:val="333333"/>
          <w:sz w:val="22"/>
          <w:szCs w:val="22"/>
        </w:rPr>
        <w:t xml:space="preserve">The GSAFleet.gov Account Creation Guide (Document 9)</w:t>
      </w:r>
      <w:r>
        <w:rPr>
          <w:rFonts w:ascii="Calibri" w:cs="Calibri" w:eastAsia="Calibri" w:hAnsi="Calibri"/>
          <w:b w:val="false"/>
          <w:bCs w:val="false"/>
          <w:i w:val="false"/>
          <w:iCs w:val="false"/>
          <w:strike w:val="false"/>
          <w:color w:val="000000"/>
          <w:sz w:val="22"/>
          <w:szCs w:val="22"/>
        </w:rPr>
        <w:t xml:space="preserve"> is the procedural prerequisite for fleet operations. An approved GSAFleet.gov account is required before vehicle assignment requests can be processed through the system. The account creation workflow — including agency/bureau/office selection, manager approval, and legacy customer number association — must be completed before the assignment package (Documents 3 and 4) can advance through the digital concurrence process.</w:t>
      </w:r>
    </w:p>
    <w:p>
      <w:pPr>
        <w:spacing w:after="120" w:before="60" w:line="360" w:lineRule="auto"/>
      </w:pPr>
      <w:r>
        <w:rPr>
          <w:rFonts w:ascii="Calibri" w:cs="Calibri" w:eastAsia="Calibri" w:hAnsi="Calibri"/>
          <w:b/>
          <w:bCs/>
          <w:i w:val="false"/>
          <w:iCs w:val="false"/>
          <w:strike w:val="false"/>
          <w:color w:val="333333"/>
          <w:sz w:val="22"/>
          <w:szCs w:val="22"/>
        </w:rPr>
        <w:t xml:space="preserve">Cross-reference:</w:t>
      </w:r>
      <w:r>
        <w:rPr>
          <w:rFonts w:ascii="Calibri" w:cs="Calibri" w:eastAsia="Calibri" w:hAnsi="Calibri"/>
          <w:b w:val="false"/>
          <w:bCs w:val="false"/>
          <w:i w:val="false"/>
          <w:iCs w:val="false"/>
          <w:strike w:val="false"/>
          <w:color w:val="000000"/>
          <w:sz w:val="22"/>
          <w:szCs w:val="22"/>
        </w:rPr>
        <w:t xml:space="preserve"> OGP 4800.2I ¶ 7.d(2) governs contractor use of GSA Fleet vehicles, which is relevant if any subcontractor support is involved in the multi-county operational area described in the fleet assignment package.</w:t>
      </w:r>
    </w:p>
    <w:p>
      <w:pPr>
        <w:pStyle w:val="Heading2"/>
        <w:spacing w:after="120" w:before="360" w:line="312" w:lineRule="auto"/>
      </w:pPr>
      <w:r>
        <w:rPr>
          <w:rFonts w:ascii="Calibri" w:cs="Calibri" w:eastAsia="Calibri" w:hAnsi="Calibri"/>
          <w:color w:val="1A1A1A"/>
          <w:sz w:val="36"/>
          <w:szCs w:val="36"/>
        </w:rPr>
        <w:t xml:space="preserve">3.3 Procurement and Supply Chain</w:t>
      </w:r>
    </w:p>
    <w:p>
      <w:pPr>
        <w:spacing w:after="120" w:before="60" w:line="360" w:lineRule="auto"/>
      </w:pPr>
      <w:r>
        <w:rPr>
          <w:rFonts w:ascii="Calibri" w:cs="Calibri" w:eastAsia="Calibri" w:hAnsi="Calibri"/>
          <w:b/>
          <w:bCs/>
          <w:i w:val="false"/>
          <w:iCs w:val="false"/>
          <w:strike w:val="false"/>
          <w:color w:val="333333"/>
          <w:sz w:val="22"/>
          <w:szCs w:val="22"/>
        </w:rPr>
        <w:t xml:space="preserve">GSA Global Supply/Advantage domain access (Document 5)</w:t>
      </w:r>
      <w:r>
        <w:rPr>
          <w:rFonts w:ascii="Calibri" w:cs="Calibri" w:eastAsia="Calibri" w:hAnsi="Calibri"/>
          <w:b w:val="false"/>
          <w:bCs w:val="false"/>
          <w:i w:val="false"/>
          <w:iCs w:val="false"/>
          <w:strike w:val="false"/>
          <w:color w:val="000000"/>
          <w:sz w:val="22"/>
          <w:szCs w:val="22"/>
        </w:rPr>
        <w:t xml:space="preserve"> operationalizes the eligibility established in OGP 4800.2I. Only agencies with approved domains can order through GSA Advantage or submit Requests for Quotation via GSA eBuy. The domain approval process — requiring official letterhead, agency head signature, and legislative evidence of federal entity status — serves as the practical gatekeeping mechanism for the supply eligibility determined at the policy level in Document 1.</w:t>
      </w:r>
    </w:p>
    <w:p>
      <w:pPr>
        <w:spacing w:after="120" w:before="60" w:line="360" w:lineRule="auto"/>
      </w:pPr>
      <w:r>
        <w:rPr>
          <w:rFonts w:ascii="Calibri" w:cs="Calibri" w:eastAsia="Calibri" w:hAnsi="Calibri"/>
          <w:b/>
          <w:bCs/>
          <w:i w:val="false"/>
          <w:iCs w:val="false"/>
          <w:strike w:val="false"/>
          <w:color w:val="333333"/>
          <w:sz w:val="22"/>
          <w:szCs w:val="22"/>
        </w:rPr>
        <w:t xml:space="preserve">The MAS Pricing RFI (Document 6)</w:t>
      </w:r>
      <w:r>
        <w:rPr>
          <w:rFonts w:ascii="Calibri" w:cs="Calibri" w:eastAsia="Calibri" w:hAnsi="Calibri"/>
          <w:b w:val="false"/>
          <w:bCs w:val="false"/>
          <w:i w:val="false"/>
          <w:iCs w:val="false"/>
          <w:strike w:val="false"/>
          <w:color w:val="000000"/>
          <w:sz w:val="22"/>
          <w:szCs w:val="22"/>
        </w:rPr>
        <w:t xml:space="preserve"> represents the policy layer governing </w:t>
      </w:r>
      <w:r>
        <w:rPr>
          <w:rFonts w:ascii="Calibri" w:cs="Calibri" w:eastAsia="Calibri" w:hAnsi="Calibri"/>
          <w:b w:val="false"/>
          <w:bCs w:val="false"/>
          <w:i/>
          <w:iCs/>
          <w:strike w:val="false"/>
          <w:color w:val="000000"/>
          <w:sz w:val="22"/>
          <w:szCs w:val="22"/>
        </w:rPr>
        <w:t xml:space="preserve">how</w:t>
      </w:r>
      <w:r>
        <w:rPr>
          <w:rFonts w:ascii="Calibri" w:cs="Calibri" w:eastAsia="Calibri" w:hAnsi="Calibri"/>
          <w:b w:val="false"/>
          <w:bCs w:val="false"/>
          <w:i w:val="false"/>
          <w:iCs w:val="false"/>
          <w:strike w:val="false"/>
          <w:color w:val="000000"/>
          <w:sz w:val="22"/>
          <w:szCs w:val="22"/>
        </w:rPr>
        <w:t xml:space="preserve"> pricing is determined on the schedules that eligible agencies access. While the RFI response period is closed, any resulting policy changes to fair-and-reasonable pricing determinations, SIN documentation requirements, or Basis of Award practices will directly affect procurement operations conducted through GSA Advantage and GSA eBuy.</w:t>
      </w:r>
    </w:p>
    <w:p>
      <w:pPr>
        <w:spacing w:after="120" w:before="60" w:line="360" w:lineRule="auto"/>
      </w:pPr>
      <w:r>
        <w:rPr>
          <w:rFonts w:ascii="Calibri" w:cs="Calibri" w:eastAsia="Calibri" w:hAnsi="Calibri"/>
          <w:b/>
          <w:bCs/>
          <w:i w:val="false"/>
          <w:iCs w:val="false"/>
          <w:strike w:val="false"/>
          <w:color w:val="333333"/>
          <w:sz w:val="22"/>
          <w:szCs w:val="22"/>
        </w:rPr>
        <w:t xml:space="preserve">GSA.docx (Document 7)</w:t>
      </w:r>
      <w:r>
        <w:rPr>
          <w:rFonts w:ascii="Calibri" w:cs="Calibri" w:eastAsia="Calibri" w:hAnsi="Calibri"/>
          <w:b w:val="false"/>
          <w:bCs w:val="false"/>
          <w:i w:val="false"/>
          <w:iCs w:val="false"/>
          <w:strike w:val="false"/>
          <w:color w:val="000000"/>
          <w:sz w:val="22"/>
          <w:szCs w:val="22"/>
        </w:rPr>
        <w:t xml:space="preserve"> may be a data export from one of these procurement platforms. If populated, it could serve as a transaction record or catalog extract supporting supply chain operations.</w:t>
      </w:r>
    </w:p>
    <w:p>
      <w:pPr>
        <w:pStyle w:val="Heading2"/>
        <w:spacing w:after="120" w:before="360" w:line="312" w:lineRule="auto"/>
      </w:pPr>
      <w:r>
        <w:rPr>
          <w:rFonts w:ascii="Calibri" w:cs="Calibri" w:eastAsia="Calibri" w:hAnsi="Calibri"/>
          <w:color w:val="1A1A1A"/>
          <w:sz w:val="36"/>
          <w:szCs w:val="36"/>
        </w:rPr>
        <w:t xml:space="preserve">3.4 Facilities and Physical Space</w:t>
      </w:r>
    </w:p>
    <w:p>
      <w:pPr>
        <w:spacing w:after="120" w:before="60" w:line="360" w:lineRule="auto"/>
      </w:pPr>
      <w:r>
        <w:rPr>
          <w:rFonts w:ascii="Calibri" w:cs="Calibri" w:eastAsia="Calibri" w:hAnsi="Calibri"/>
          <w:b/>
          <w:bCs/>
          <w:i w:val="false"/>
          <w:iCs w:val="false"/>
          <w:strike w:val="false"/>
          <w:color w:val="333333"/>
          <w:sz w:val="22"/>
          <w:szCs w:val="22"/>
        </w:rPr>
        <w:t xml:space="preserve">GSA Form 3453 (Document 8)</w:t>
      </w:r>
      <w:r>
        <w:rPr>
          <w:rFonts w:ascii="Calibri" w:cs="Calibri" w:eastAsia="Calibri" w:hAnsi="Calibri"/>
          <w:b w:val="false"/>
          <w:bCs w:val="false"/>
          <w:i w:val="false"/>
          <w:iCs w:val="false"/>
          <w:strike w:val="false"/>
          <w:color w:val="000000"/>
          <w:sz w:val="22"/>
          <w:szCs w:val="22"/>
        </w:rPr>
        <w:t xml:space="preserve"> governs use of federally owned buildings and grounds under a separate statutory authority — 40 U.S.C. § 581(h) — from the supply and services eligibility framework. However, it is administered by the same agency and is directly relevant to the Ventura County and Los Angeles County operating area described in the fleet assignment package if federal building space is needed for field operations, community engagement events, or administrative functions. The form's conditions regarding indemnification, records retention, and appeal rights establish the procedural framework for any facility use request.</w:t>
      </w:r>
    </w:p>
    <w:p>
      <w:pPr>
        <w:pStyle w:val="Heading2"/>
        <w:spacing w:after="120" w:before="360" w:line="312" w:lineRule="auto"/>
      </w:pPr>
      <w:r>
        <w:rPr>
          <w:rFonts w:ascii="Calibri" w:cs="Calibri" w:eastAsia="Calibri" w:hAnsi="Calibri"/>
          <w:color w:val="1A1A1A"/>
          <w:sz w:val="36"/>
          <w:szCs w:val="36"/>
        </w:rPr>
        <w:t xml:space="preserve">3.5 Technology Infrastructure</w:t>
      </w:r>
    </w:p>
    <w:p>
      <w:pPr>
        <w:spacing w:after="120" w:before="60" w:line="360" w:lineRule="auto"/>
      </w:pPr>
      <w:r>
        <w:rPr>
          <w:rFonts w:ascii="Calibri" w:cs="Calibri" w:eastAsia="Calibri" w:hAnsi="Calibri"/>
          <w:b/>
          <w:bCs/>
          <w:i w:val="false"/>
          <w:iCs w:val="false"/>
          <w:strike w:val="false"/>
          <w:color w:val="333333"/>
          <w:sz w:val="22"/>
          <w:szCs w:val="22"/>
        </w:rPr>
        <w:t xml:space="preserve">The ETS Industry Day slides (Document 11)</w:t>
      </w:r>
      <w:r>
        <w:rPr>
          <w:rFonts w:ascii="Calibri" w:cs="Calibri" w:eastAsia="Calibri" w:hAnsi="Calibri"/>
          <w:b w:val="false"/>
          <w:bCs w:val="false"/>
          <w:i w:val="false"/>
          <w:iCs w:val="false"/>
          <w:strike w:val="false"/>
          <w:color w:val="000000"/>
          <w:sz w:val="22"/>
          <w:szCs w:val="22"/>
        </w:rPr>
        <w:t xml:space="preserve"> represent the technology services layer available to eligible agencies. Enterprise telecommunications, network infrastructure, satellite capabilities, and earth observation services provided through ETS are accessible to agencies whose eligibility is established under the same framework in OGP 4800.2I. The Next Generation Network Infrastructure (NGNI) planning discussed in the presentation signals forthcoming changes to how agencies procure and consume enterprise technology services, which may affect IT procurement strategies within this portfolio.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INTEGRATION SUMMARY</w:t>
            </w:r>
          </w:p>
          <w:p>
            <w:pPr>
              <w:spacing w:after="0" w:line="360" w:lineRule="auto"/>
            </w:pPr>
            <w:r>
              <w:rPr>
                <w:rFonts w:ascii="Calibri" w:cs="Calibri" w:eastAsia="Calibri" w:hAnsi="Calibri"/>
                <w:b w:val="false"/>
                <w:bCs w:val="false"/>
                <w:i w:val="false"/>
                <w:iCs w:val="false"/>
                <w:strike w:val="false"/>
                <w:color w:val="000000"/>
                <w:sz w:val="22"/>
                <w:szCs w:val="22"/>
              </w:rPr>
              <w:t xml:space="preserve">Document 1 (OGP 4800.2I) serves as the keystone of this portfolio. It establishes the eligibility that Documents 3, 4, 5, 6, 9, and 11 operationalize. Document 2 establishes the governance authority administering that eligibility. Document 10 provides the complete administrative order inventory. Document 8 operates under a parallel statutory authority within the same agency. All documents are interconnected through the GSA organizational and regulatory framework.</w:t>
            </w:r>
          </w:p>
        </w:tc>
      </w:tr>
    </w:tbl>
    <w:p>
      <w:pPr>
        <w:spacing w:after="240" w:before="0"/>
      </w:pP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4: Key Regulatory Cross-Reference Table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maps each statute and regulation cited across the portfolio to its subject matter and the documents in which it is referenced.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Statute / Regulation</w:t>
            </w:r>
          </w:p>
        </w:tc>
        <w:tc>
          <w:tcPr>
            <w:tcW w:type="pct" w:w="6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Subject</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Documents Referencing</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40 U.S.C. §§ 501–502</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supply and services authority — authorizes GSA to procure and provide supplies and services on behalf of federal agencies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Docs 1, 2</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40 U.S.C. § 602</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Fleet motor vehicles — authorizes GSA to operate a motor vehicle fleet for federal agency use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Docs 1, 3, 4</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40 U.S.C. § 581(h)</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of public buildings and grounds — authorizes GSA to permit use of federally owned property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8</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41 CFR Part 102-34</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Motor Vehicle Management — Federal Management Regulation governing acquisition, use, and disposal of federal motor vehicles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Docs 3, 4</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41 CFR § 101-39.204</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Indefinite vehicle assignment — governs criteria for permanent/indefinite assignment of GSA Fleet vehicles including class upgrade justification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Docs 3, 4</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41 CFR Part 102-74, Subpart D</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Facility use permits — Federal Management Regulation governing permits for use of federal property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8</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FAR Part 51</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Contractor use of government sources of supply — authorizes cost-reimbursement contractors to access GSA sources with contracting officer authorization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1</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FAR 15.403-3(c)(1)</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Fair and reasonable pricing — standards for determining price reasonableness in federal acquisitions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6</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GSAR 552.238-81</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Price Reductions clause — requires MAS contractors to extend price reductions to the government when offered to their designated Most Favored Customer</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6</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Evidence Act of 2018</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Evaluation and learning agendas — requires federal agencies to establish evaluation officers, learning agendas, and evidence-building activities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2</w:t>
            </w:r>
          </w:p>
        </w:tc>
      </w:tr>
    </w:tbl>
    <w:p>
      <w:pPr>
        <w:spacing w:after="200" w:before="0"/>
      </w:pP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5: Key Contacts and Submission Points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consolidates all contact information and submission addresses identified across the portfolio documents.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Function</w:t>
            </w:r>
          </w:p>
        </w:tc>
        <w:tc>
          <w:tcPr>
            <w:tcW w:type="pct" w:w="6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Contact / Address</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Reference Document</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Eligibility Determinations</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spe.request@gsa.gov</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OGP Office of Acquisition Policy (MV)</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1800 F Street NW, Suite 2200</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Washington, DC 20405</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1</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Advantage Domain Access</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GSA.Advantage@gsa.gov</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5</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Fleet Systems</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fleetsystemsmodernization@gsa.gov</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GSAFleet.gov</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9</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Fleet Assignment (Pacific Rim)</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Fleet Management Center</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Pacific Rim Region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Docs 3, 4</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Facilities Use Permits</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Federal property manager for the specific property</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GSA Public Buildings Service (PM)</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1800 F Street NW</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Washington, DC 20405</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8</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MAS Pricing / Policy</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www.gsa.gov/mras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6</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ETS / IT Category</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www.gsa.gov/itc</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GSA Interact (EIS section)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11</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FOIA</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gsa.foia@gsa.gov</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David Eby, FOIA Public Liaison</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(202) 213-2745</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david.eby@gsa.gov</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10</w:t>
            </w:r>
          </w:p>
        </w:tc>
      </w:tr>
      <w:tr>
        <w:trPr>
          <w:tblHeader w:val="false"/>
        </w:trPr>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Directives</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directives@gsa.gov</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 2</w:t>
            </w:r>
          </w:p>
        </w:tc>
      </w:tr>
    </w:tbl>
    <w:p>
      <w:pPr>
        <w:spacing w:after="200" w:before="0"/>
      </w:pP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6: Operational Status Tracker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tracks the current status of all actionable items identified across the portfolio documents as of April 28,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Item</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c>
          <w:tcPr>
            <w:tcW w:type="pct" w:w="4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Next Action</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Target Date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Fleet Vehicle Assignment Package (Docs 3, 4)</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Submitted</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Awaiting routing/concurrence chain completion through six-step approval process to GSA Fleet Management Center, Pacific Rim Region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June 1, 2026 (earliest delivery)</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GSAFleet.gov Account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(user "BRIAN" logged in per Doc 5)</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Maintain account; associate legacy customer numbers from GSA Fleet Drive Thru if applicable</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Ongoing</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Global Supply Account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Maintain account; verify domain authorization status and ensure continued compliance with agency domain requirements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Ongoing</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GSA Form 3453 Completion (Doc 8)</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Pending</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Part I with activity details, proposed building/area, dates, and number of persons; submit to property manager for the specific federal property</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 needed</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MAS Pricing RFI Response (Doc 6)</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Closed (May 8, 2024)</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 for resulting policy changes to fair-and-reasonable pricing determinations, SIN documentation, and BoA practices</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Delegations Chapter 6 (Doc 2)</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through Oct 16, 2027</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 for issuance of CHGE 17 or successor order; verify continued applicability of Evidence Act delegations to OGP Associate Administrator</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Before October 2027</w:t>
            </w:r>
          </w:p>
        </w:tc>
      </w:tr>
    </w:tbl>
    <w:p>
      <w:pPr>
        <w:spacing w:after="200" w:before="0"/>
      </w:pPr>
    </w:p>
    <w:p>
      <w:pPr>
        <w:pBdr>
          <w:bottom w:val="single" w:color="2B5797" w:sz="6"/>
        </w:pBdr>
        <w:spacing w:after="240" w:before="240"/>
      </w:pP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GSA Integrated Reference Guide — Document Summaries and Operational System Map</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Prepared for Brian Michael Frost | Camarillo, CA 93010 | April 28, 2026</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This document is a reference compilation. It does not constitute legal advice or official GSA policy.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BKFYcEArgyxmbSeuPPpP4</dc:title>
  <dc:creator>Un-named</dc:creator>
  <dc:description>Generated document</dc:description>
  <cp:lastModifiedBy>Un-named</cp:lastModifiedBy>
  <cp:revision>1</cp:revision>
  <dcterms:created xsi:type="dcterms:W3CDTF">2026-05-01T00:52:43.226Z</dcterms:created>
  <dcterms:modified xsi:type="dcterms:W3CDTF">2026-05-01T00:52:43.226Z</dcterms:modified>
</cp:coreProperties>
</file>

<file path=docProps/custom.xml><?xml version="1.0" encoding="utf-8"?>
<Properties xmlns="http://schemas.openxmlformats.org/officeDocument/2006/custom-properties" xmlns:vt="http://schemas.openxmlformats.org/officeDocument/2006/docPropsVTypes"/>
</file>