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lineRule="auto"/>
        <w:jc w:val="left"/>
      </w:pPr>
      <w:r>
        <w:rPr>
          <w:rFonts w:ascii="Times" w:cs="Times" w:eastAsia="Times" w:hAnsi="Times"/>
          <w:b w:val="false"/>
          <w:bCs w:val="false"/>
          <w:i w:val="false"/>
          <w:iCs w:val="false"/>
          <w:strike w:val="false"/>
          <w:color w:val="1B2A4A"/>
          <w:spacing w:val="10"/>
          <w:sz w:val="18"/>
          <w:szCs w:val="18"/>
        </w:rPr>
        <w:t xml:space="preserve">Executive Office of the President · Office of Administration</w:t>
      </w:r>
    </w:p>
    <w:p>
      <w:pPr>
        <w:pBdr>
          <w:bottom w:val="single" w:color="1B2A4A" w:sz="6"/>
        </w:pBdr>
        <w:spacing w:after="240" w:before="240"/>
      </w:pPr>
    </w:p>
    <w:p>
      <w:pPr>
        <w:spacing w:after="200" w:before="200"/>
        <w:jc w:val="center"/>
      </w:pPr>
      <w:r>
        <w:drawing>
          <wp:inline distT="0" distB="0" distL="0" distR="0">
            <wp:extent cx="451485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4505325"/>
                    </a:xfrm>
                    <a:prstGeom prst="rect">
                      <a:avLst/>
                    </a:prstGeom>
                  </pic:spPr>
                </pic:pic>
              </a:graphicData>
            </a:graphic>
          </wp:inline>
        </w:drawing>
      </w:r>
    </w:p>
    <w:p>
      <w:pPr>
        <w:spacing w:after="240" w:before="60" w:line="276" w:lineRule="auto"/>
        <w:jc w:val="both"/>
      </w:pPr>
      <w:r>
        <w:rPr>
          <w:rFonts w:ascii="Times" w:cs="Times" w:eastAsia="Times" w:hAnsi="Times"/>
          <w:b/>
          <w:bCs/>
          <w:i w:val="false"/>
          <w:iCs w:val="false"/>
          <w:strike w:val="false"/>
          <w:color w:val="1B2A4A"/>
          <w:spacing w:val="20"/>
          <w:sz w:val="28"/>
          <w:szCs w:val="28"/>
        </w:rPr>
        <w:t xml:space="preserve">EXECUTIVE OFFICE OF THE PRESIDENT</w:t>
      </w:r>
    </w:p>
    <w:p>
      <w:pPr>
        <w:spacing w:after="240" w:before="60" w:line="276" w:lineRule="auto"/>
        <w:jc w:val="both"/>
      </w:pPr>
      <w:r>
        <w:rPr>
          <w:rFonts w:ascii="Times" w:cs="Times" w:eastAsia="Times" w:hAnsi="Times"/>
          <w:b w:val="false"/>
          <w:bCs w:val="false"/>
          <w:i w:val="false"/>
          <w:iCs w:val="false"/>
          <w:strike w:val="false"/>
          <w:color w:val="1B2A4A"/>
          <w:spacing w:val="10"/>
          <w:sz w:val="22"/>
          <w:szCs w:val="22"/>
        </w:rPr>
        <w:t xml:space="preserve">OFFICE OF ADMINISTRATION</w:t>
      </w:r>
    </w:p>
    <w:p>
      <w:pPr>
        <w:spacing w:after="240" w:before="60" w:line="276" w:lineRule="auto"/>
        <w:jc w:val="both"/>
      </w:pPr>
      <w:r>
        <w:rPr>
          <w:rFonts w:ascii="Times" w:cs="Times" w:eastAsia="Times" w:hAnsi="Times"/>
          <w:b w:val="false"/>
          <w:bCs w:val="false"/>
          <w:i w:val="false"/>
          <w:iCs w:val="false"/>
          <w:strike w:val="false"/>
          <w:color w:val="1B2A4A"/>
          <w:spacing w:val="10"/>
          <w:sz w:val="22"/>
          <w:szCs w:val="22"/>
        </w:rPr>
        <w:t xml:space="preserve">WASHINGTON, D.C. 20503</w:t>
      </w:r>
    </w:p>
    <w:p>
      <w:pPr>
        <w:pBdr>
          <w:bottom w:val="single" w:color="1B2A4A" w:sz="6"/>
        </w:pBdr>
        <w:spacing w:after="240" w:before="240"/>
      </w:pPr>
    </w:p>
    <w:p>
      <w:pPr>
        <w:pStyle w:val="Heading1"/>
        <w:spacing w:after="100" w:before="160" w:line="276" w:lineRule="auto"/>
        <w:jc w:val="center"/>
      </w:pPr>
      <w:r>
        <w:rPr>
          <w:rFonts w:ascii="Times" w:cs="Times" w:eastAsia="Times" w:hAnsi="Times"/>
          <w:color w:val="1B2A4A"/>
          <w:spacing w:val="20"/>
          <w:sz w:val="28"/>
          <w:szCs w:val="28"/>
        </w:rPr>
        <w:t xml:space="preserve">MEMORANDUM OF AUTHORITIES</w:t>
      </w:r>
    </w:p>
    <w:p>
      <w:pPr>
        <w:pBdr>
          <w:top w:val="single" w:color="C5A44E" w:sz="6"/>
        </w:pBdr>
        <w:spacing w:after="200" w:before="0"/>
      </w:pPr>
    </w:p>
    <w:p>
      <w:pPr>
        <w:spacing w:after="240" w:before="60" w:line="276" w:lineRule="auto"/>
        <w:jc w:val="center"/>
      </w:pPr>
      <w:r>
        <w:rPr>
          <w:rFonts w:ascii="Times" w:cs="Times" w:eastAsia="Times" w:hAnsi="Times"/>
          <w:b w:val="false"/>
          <w:bCs w:val="false"/>
          <w:i/>
          <w:iCs/>
          <w:strike w:val="false"/>
          <w:color w:val="1B2A4A"/>
          <w:sz w:val="22"/>
          <w:szCs w:val="22"/>
        </w:rPr>
        <w:t xml:space="preserve">Delegation, Designation &amp; Empowerment of Officers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tcPr>
          <w:p>
            <w:r>
              <w:rPr>
                <w:rFonts w:ascii="Times" w:cs="Times" w:eastAsia="Times" w:hAnsi="Times"/>
                <w:b/>
                <w:bCs/>
                <w:i w:val="false"/>
                <w:iCs w:val="false"/>
                <w:strike w:val="false"/>
                <w:color w:val="1B2A4A"/>
                <w:sz w:val="22"/>
                <w:szCs w:val="22"/>
              </w:rPr>
              <w:t xml:space="preserve">Memorandum No.</w:t>
            </w:r>
          </w:p>
        </w:tc>
        <w:tc>
          <w:tcPr>
            <w:tcW w:type="pct" w:w="77%"/>
          </w:tcPr>
          <w:p>
            <w:r>
              <w:rPr>
                <w:rFonts w:ascii="Times" w:cs="Times" w:eastAsia="Times" w:hAnsi="Times"/>
                <w:b/>
                <w:bCs/>
                <w:i w:val="false"/>
                <w:iCs w:val="false"/>
                <w:strike w:val="false"/>
                <w:color w:val="1B2A4A"/>
                <w:sz w:val="22"/>
                <w:szCs w:val="22"/>
              </w:rPr>
              <w:t xml:space="preserve">EOP-OA-2026-0042</w:t>
            </w:r>
          </w:p>
        </w:tc>
      </w:tr>
      <w:tr>
        <w:trPr>
          <w:tblHeader w:val="false"/>
        </w:trPr>
        <w:tc>
          <w:tcPr>
            <w:tcW w:type="pct" w:w="23%"/>
          </w:tcPr>
          <w:p>
            <w:r>
              <w:rPr>
                <w:rFonts w:ascii="Times" w:cs="Times" w:eastAsia="Times" w:hAnsi="Times"/>
                <w:b w:val="false"/>
                <w:bCs w:val="false"/>
                <w:i w:val="false"/>
                <w:iCs w:val="false"/>
                <w:strike w:val="false"/>
                <w:color w:val="1B2A4A"/>
                <w:sz w:val="22"/>
                <w:szCs w:val="22"/>
              </w:rPr>
              <w:t xml:space="preserve">Date</w:t>
            </w:r>
          </w:p>
        </w:tc>
        <w:tc>
          <w:tcPr>
            <w:tcW w:type="pct" w:w="77%"/>
          </w:tcPr>
          <w:p>
            <w:r>
              <w:rPr>
                <w:rFonts w:ascii="Times" w:cs="Times" w:eastAsia="Times" w:hAnsi="Times"/>
                <w:b w:val="false"/>
                <w:bCs w:val="false"/>
                <w:i w:val="false"/>
                <w:iCs w:val="false"/>
                <w:strike w:val="false"/>
                <w:color w:val="1B2A4A"/>
                <w:sz w:val="22"/>
                <w:szCs w:val="22"/>
              </w:rPr>
              <w:t xml:space="preserve">April 25, 2026</w:t>
            </w:r>
          </w:p>
        </w:tc>
      </w:tr>
      <w:tr>
        <w:trPr>
          <w:tblHeader w:val="false"/>
        </w:trPr>
        <w:tc>
          <w:tcPr>
            <w:tcW w:type="pct" w:w="23%"/>
          </w:tcPr>
          <w:p>
            <w:r>
              <w:rPr>
                <w:rFonts w:ascii="Times" w:cs="Times" w:eastAsia="Times" w:hAnsi="Times"/>
                <w:b w:val="false"/>
                <w:bCs w:val="false"/>
                <w:i w:val="false"/>
                <w:iCs w:val="false"/>
                <w:strike w:val="false"/>
                <w:color w:val="1B2A4A"/>
                <w:sz w:val="22"/>
                <w:szCs w:val="22"/>
              </w:rPr>
              <w:t xml:space="preserve">From</w:t>
            </w:r>
          </w:p>
        </w:tc>
        <w:tc>
          <w:tcPr>
            <w:tcW w:type="pct" w:w="77%"/>
          </w:tcPr>
          <w:p>
            <w:r>
              <w:rPr>
                <w:rFonts w:ascii="Times" w:cs="Times" w:eastAsia="Times" w:hAnsi="Times"/>
                <w:b w:val="false"/>
                <w:bCs w:val="false"/>
                <w:i w:val="false"/>
                <w:iCs w:val="false"/>
                <w:strike w:val="false"/>
                <w:color w:val="1B2A4A"/>
                <w:sz w:val="22"/>
                <w:szCs w:val="22"/>
              </w:rPr>
              <w:t xml:space="preserve">Office of Administration, Executive Office of the President</w:t>
            </w:r>
          </w:p>
        </w:tc>
      </w:tr>
      <w:tr>
        <w:trPr>
          <w:tblHeader w:val="false"/>
        </w:trPr>
        <w:tc>
          <w:tcPr>
            <w:tcW w:type="pct" w:w="23%"/>
          </w:tcPr>
          <w:p>
            <w:r>
              <w:rPr>
                <w:rFonts w:ascii="Times" w:cs="Times" w:eastAsia="Times" w:hAnsi="Times"/>
                <w:b w:val="false"/>
                <w:bCs w:val="false"/>
                <w:i w:val="false"/>
                <w:iCs w:val="false"/>
                <w:strike w:val="false"/>
                <w:color w:val="1B2A4A"/>
                <w:sz w:val="22"/>
                <w:szCs w:val="22"/>
              </w:rPr>
              <w:t xml:space="preserve">To</w:t>
            </w:r>
          </w:p>
        </w:tc>
        <w:tc>
          <w:tcPr>
            <w:tcW w:type="pct" w:w="77%"/>
          </w:tcPr>
          <w:p>
            <w:r>
              <w:rPr>
                <w:rFonts w:ascii="Times" w:cs="Times" w:eastAsia="Times" w:hAnsi="Times"/>
                <w:b w:val="false"/>
                <w:bCs w:val="false"/>
                <w:i w:val="false"/>
                <w:iCs w:val="false"/>
                <w:strike w:val="false"/>
                <w:color w:val="1B2A4A"/>
                <w:sz w:val="22"/>
                <w:szCs w:val="22"/>
              </w:rPr>
              <w:t xml:space="preserve">All Designated Officers, Delegates &amp; Successors</w:t>
            </w:r>
          </w:p>
        </w:tc>
      </w:tr>
      <w:tr>
        <w:trPr>
          <w:tblHeader w:val="false"/>
        </w:trPr>
        <w:tc>
          <w:tcPr>
            <w:tcW w:type="pct" w:w="23%"/>
          </w:tcPr>
          <w:p>
            <w:r>
              <w:rPr>
                <w:rFonts w:ascii="Times" w:cs="Times" w:eastAsia="Times" w:hAnsi="Times"/>
                <w:b w:val="false"/>
                <w:bCs w:val="false"/>
                <w:i w:val="false"/>
                <w:iCs w:val="false"/>
                <w:strike w:val="false"/>
                <w:color w:val="1B2A4A"/>
                <w:sz w:val="22"/>
                <w:szCs w:val="22"/>
              </w:rPr>
              <w:t xml:space="preserve">Subject</w:t>
            </w:r>
          </w:p>
        </w:tc>
        <w:tc>
          <w:tcPr>
            <w:tcW w:type="pct" w:w="77%"/>
          </w:tcPr>
          <w:p>
            <w:r>
              <w:rPr>
                <w:rFonts w:ascii="Times" w:cs="Times" w:eastAsia="Times" w:hAnsi="Times"/>
                <w:b w:val="false"/>
                <w:bCs w:val="false"/>
                <w:i w:val="false"/>
                <w:iCs w:val="false"/>
                <w:strike w:val="false"/>
                <w:color w:val="1B2A4A"/>
                <w:sz w:val="22"/>
                <w:szCs w:val="22"/>
              </w:rPr>
              <w:t xml:space="preserve">Delegation of Administrative, Regulatory &amp; Compliance Authorities</w:t>
            </w:r>
          </w:p>
        </w:tc>
      </w:tr>
      <w:tr>
        <w:trPr>
          <w:tblHeader w:val="false"/>
        </w:trPr>
        <w:tc>
          <w:tcPr>
            <w:tcW w:type="pct" w:w="23%"/>
          </w:tcPr>
          <w:p>
            <w:r>
              <w:rPr>
                <w:rFonts w:ascii="Times" w:cs="Times" w:eastAsia="Times" w:hAnsi="Times"/>
                <w:b w:val="false"/>
                <w:bCs w:val="false"/>
                <w:i w:val="false"/>
                <w:iCs w:val="false"/>
                <w:strike w:val="false"/>
                <w:color w:val="1B2A4A"/>
                <w:sz w:val="22"/>
                <w:szCs w:val="22"/>
              </w:rPr>
              <w:t xml:space="preserve">Classification</w:t>
            </w:r>
          </w:p>
        </w:tc>
        <w:tc>
          <w:tcPr>
            <w:tcW w:type="pct" w:w="77%"/>
          </w:tcPr>
          <w:p>
            <w:r>
              <w:rPr>
                <w:rFonts w:ascii="Times" w:cs="Times" w:eastAsia="Times" w:hAnsi="Times"/>
                <w:b w:val="false"/>
                <w:bCs w:val="false"/>
                <w:i w:val="false"/>
                <w:iCs w:val="false"/>
                <w:strike w:val="false"/>
                <w:color w:val="1B2A4A"/>
                <w:sz w:val="22"/>
                <w:szCs w:val="22"/>
              </w:rPr>
              <w:t xml:space="preserve">CUI // SP-ADMIN</w:t>
            </w:r>
          </w:p>
        </w:tc>
      </w:tr>
      <w:tr>
        <w:trPr>
          <w:tblHeader w:val="false"/>
        </w:trPr>
        <w:tc>
          <w:tcPr>
            <w:tcW w:type="pct" w:w="23%"/>
          </w:tcPr>
          <w:p>
            <w:r>
              <w:rPr>
                <w:rFonts w:ascii="Times" w:cs="Times" w:eastAsia="Times" w:hAnsi="Times"/>
                <w:b w:val="false"/>
                <w:bCs w:val="false"/>
                <w:i w:val="false"/>
                <w:iCs w:val="false"/>
                <w:strike w:val="false"/>
                <w:color w:val="1B2A4A"/>
                <w:sz w:val="22"/>
                <w:szCs w:val="22"/>
              </w:rPr>
              <w:t xml:space="preserve">Effective</w:t>
            </w:r>
          </w:p>
        </w:tc>
        <w:tc>
          <w:tcPr>
            <w:tcW w:type="pct" w:w="77%"/>
          </w:tcPr>
          <w:p>
            <w:r>
              <w:rPr>
                <w:rFonts w:ascii="Times" w:cs="Times" w:eastAsia="Times" w:hAnsi="Times"/>
                <w:b w:val="false"/>
                <w:bCs w:val="false"/>
                <w:i w:val="false"/>
                <w:iCs w:val="false"/>
                <w:strike w:val="false"/>
                <w:color w:val="1B2A4A"/>
                <w:sz w:val="22"/>
                <w:szCs w:val="22"/>
              </w:rPr>
              <w:t xml:space="preserve">Upon Signature</w:t>
            </w:r>
          </w:p>
        </w:tc>
      </w:tr>
      <w:tr>
        <w:trPr>
          <w:tblHeader w:val="false"/>
        </w:trPr>
        <w:tc>
          <w:tcPr>
            <w:tcW w:type="pct" w:w="23%"/>
          </w:tcPr>
          <w:p>
            <w:r>
              <w:rPr>
                <w:rFonts w:ascii="Times" w:cs="Times" w:eastAsia="Times" w:hAnsi="Times"/>
                <w:b w:val="false"/>
                <w:bCs w:val="false"/>
                <w:i w:val="false"/>
                <w:iCs w:val="false"/>
                <w:strike w:val="false"/>
                <w:color w:val="1B2A4A"/>
                <w:sz w:val="22"/>
                <w:szCs w:val="22"/>
              </w:rPr>
              <w:t xml:space="preserve">Supersedes</w:t>
            </w:r>
          </w:p>
        </w:tc>
        <w:tc>
          <w:tcPr>
            <w:tcW w:type="pct" w:w="77%"/>
          </w:tcPr>
          <w:p>
            <w:r>
              <w:rPr>
                <w:rFonts w:ascii="Times" w:cs="Times" w:eastAsia="Times" w:hAnsi="Times"/>
                <w:b w:val="false"/>
                <w:bCs w:val="false"/>
                <w:i w:val="false"/>
                <w:iCs w:val="false"/>
                <w:strike w:val="false"/>
                <w:color w:val="1B2A4A"/>
                <w:sz w:val="22"/>
                <w:szCs w:val="22"/>
              </w:rPr>
              <w:t xml:space="preserve">EOP-OA-2025-0191</w:t>
            </w:r>
          </w:p>
        </w:tc>
      </w:tr>
    </w:tbl>
    <w:p>
      <w:pPr>
        <w:spacing w:after="200" w:before="0"/>
      </w:pPr>
    </w:p>
    <w:p>
      <w:pPr>
        <w:spacing w:after="240" w:before="360" w:line="276" w:lineRule="auto"/>
        <w:jc w:val="both"/>
      </w:pPr>
      <w:r>
        <w:rPr>
          <w:rFonts w:ascii="Times" w:cs="Times" w:eastAsia="Times" w:hAnsi="Times"/>
          <w:b/>
          <w:bCs/>
          <w:i w:val="false"/>
          <w:iCs w:val="false"/>
          <w:strike w:val="false"/>
          <w:color w:val="1B2A4A"/>
          <w:sz w:val="24"/>
          <w:szCs w:val="24"/>
        </w:rPr>
        <w:t xml:space="preserve">I.   PURPOSE</w:t>
      </w:r>
    </w:p>
    <w:p>
      <w:pPr>
        <w:spacing w:after="240" w:before="60" w:line="276" w:lineRule="auto"/>
        <w:jc w:val="both"/>
      </w:pPr>
      <w:r>
        <w:rPr>
          <w:rFonts w:ascii="Times" w:cs="Times" w:eastAsia="Times" w:hAnsi="Times"/>
          <w:b w:val="false"/>
          <w:bCs w:val="false"/>
          <w:i w:val="false"/>
          <w:iCs w:val="false"/>
          <w:strike w:val="false"/>
          <w:color w:val="1B2A4A"/>
          <w:sz w:val="24"/>
          <w:szCs w:val="24"/>
        </w:rPr>
        <w:t xml:space="preserve">This Memorandum of Authorities (“Memorandum”) formally delegates, designates, and empowers the officers and officials identified herein to exercise specific administrative, regulatory, and compliance authorities on behalf of the Office of Administration (“OA”), Executive Office of the President (“EOP”), in accordance with 3 U.S.C. § 107, Executive Order 12028, and all applicable federal statutes, regulations, and directives.</w:t>
      </w:r>
    </w:p>
    <w:p>
      <w:pPr>
        <w:spacing w:after="240" w:before="360" w:line="276" w:lineRule="auto"/>
        <w:jc w:val="both"/>
      </w:pPr>
      <w:r>
        <w:rPr>
          <w:rFonts w:ascii="Times" w:cs="Times" w:eastAsia="Times" w:hAnsi="Times"/>
          <w:b/>
          <w:bCs/>
          <w:i w:val="false"/>
          <w:iCs w:val="false"/>
          <w:strike w:val="false"/>
          <w:color w:val="1B2A4A"/>
          <w:sz w:val="24"/>
          <w:szCs w:val="24"/>
        </w:rPr>
        <w:t xml:space="preserve">II.   AUTHORITY</w:t>
      </w:r>
    </w:p>
    <w:p>
      <w:pPr>
        <w:spacing w:after="240" w:before="60" w:line="276" w:lineRule="auto"/>
        <w:jc w:val="both"/>
      </w:pPr>
      <w:r>
        <w:rPr>
          <w:rFonts w:ascii="Times" w:cs="Times" w:eastAsia="Times" w:hAnsi="Times"/>
          <w:b w:val="false"/>
          <w:bCs w:val="false"/>
          <w:i w:val="false"/>
          <w:iCs w:val="false"/>
          <w:strike w:val="false"/>
          <w:color w:val="1B2A4A"/>
          <w:sz w:val="24"/>
          <w:szCs w:val="24"/>
        </w:rPr>
        <w:t xml:space="preserve">The authorities delegated herein derive from and are exercised pursuant to:</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3 U.S.C. § 107 — Domestic Policy Staff and Office of Administration authorization;</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Executive Order 12028, as amended — Organization of the Office of Administration;</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5 U.S.C. §§ 301–302 — Departmental regulations and delegations;</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44 U.S.C. Chapter 31 — Federal records management;</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41 U.S.C. § 1702 — Chief Acquisition Officer authorities;</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OMB Circular A-123 — Management’s Responsibility for Enterprise Risk Management and Internal Control;</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All successor statutes, orders, and regulations as may be promulgated.</w:t>
      </w:r>
    </w:p>
    <w:p>
      <w:pPr>
        <w:spacing w:after="240" w:before="360" w:line="276" w:lineRule="auto"/>
        <w:jc w:val="both"/>
      </w:pPr>
      <w:r>
        <w:rPr>
          <w:rFonts w:ascii="Times" w:cs="Times" w:eastAsia="Times" w:hAnsi="Times"/>
          <w:b/>
          <w:bCs/>
          <w:i w:val="false"/>
          <w:iCs w:val="false"/>
          <w:strike w:val="false"/>
          <w:color w:val="1B2A4A"/>
          <w:sz w:val="24"/>
          <w:szCs w:val="24"/>
        </w:rPr>
        <w:t xml:space="preserve">III.   DELEGATION OF AUTHORITIES</w:t>
      </w:r>
    </w:p>
    <w:p>
      <w:pPr>
        <w:spacing w:after="240" w:before="60" w:line="276" w:lineRule="auto"/>
        <w:jc w:val="both"/>
      </w:pPr>
      <w:r>
        <w:rPr>
          <w:rFonts w:ascii="Times" w:cs="Times" w:eastAsia="Times" w:hAnsi="Times"/>
          <w:b w:val="false"/>
          <w:bCs w:val="false"/>
          <w:i w:val="false"/>
          <w:iCs w:val="false"/>
          <w:strike w:val="false"/>
          <w:color w:val="1B2A4A"/>
          <w:sz w:val="24"/>
          <w:szCs w:val="24"/>
        </w:rPr>
        <w:t xml:space="preserve">The Director of the Office of Administration, or the Acting Director in the Director’s absence, hereby delegates the following authorities to the officers designated below:</w:t>
      </w:r>
    </w:p>
    <w:p>
      <w:pPr>
        <w:spacing w:after="120" w:before="280" w:line="276" w:lineRule="auto"/>
        <w:jc w:val="both"/>
      </w:pPr>
      <w:r>
        <w:rPr>
          <w:rFonts w:ascii="Times" w:cs="Times" w:eastAsia="Times" w:hAnsi="Times"/>
          <w:b/>
          <w:bCs/>
          <w:i w:val="false"/>
          <w:iCs w:val="false"/>
          <w:strike w:val="false"/>
          <w:color w:val="1B2A4A"/>
          <w:sz w:val="24"/>
          <w:szCs w:val="24"/>
        </w:rPr>
        <w:t xml:space="preserve">A.   Regulatory Compliance &amp; Document Management</w:t>
      </w:r>
    </w:p>
    <w:p>
      <w:pPr>
        <w:spacing w:after="240" w:before="60" w:line="276" w:lineRule="auto"/>
        <w:jc w:val="both"/>
      </w:pPr>
      <w:r>
        <w:rPr>
          <w:rFonts w:ascii="Times" w:cs="Times" w:eastAsia="Times" w:hAnsi="Times"/>
          <w:b w:val="false"/>
          <w:bCs w:val="false"/>
          <w:i w:val="false"/>
          <w:iCs w:val="false"/>
          <w:strike w:val="false"/>
          <w:color w:val="1B2A4A"/>
          <w:sz w:val="24"/>
          <w:szCs w:val="24"/>
        </w:rPr>
        <w:t xml:space="preserve">Brian Michael Frost, Regulatory Compliance &amp; Document Management Specialist, is hereby delegated authority to:</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Execute, certify, and transmit all regulatory compliance documents, filings, and correspondence on behalf of OA;</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Manage, control, and authenticate all official records and documents of OA in accordance with 44 U.S.C. Chapter 31 and NARA regulations;</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Issue compliance directives, procedural guidance, and internal controls governing document management, records retention, and regulatory reporting;</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Represent OA in all interagency regulatory coordination, compliance audits, and oversight proceedings;</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Approve, deny, or modify records management requests, access controls, and disposition schedules;</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Serve as OA’s designated Records Management Officer and Compliance Liaison to the National Archives and Records Administration (NARA);</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Delegate, in writing, any sub-authorities under this section to qualified personnel, subject to the approval requirements of Section V.</w:t>
      </w:r>
    </w:p>
    <w:p>
      <w:pPr>
        <w:spacing w:after="120" w:before="280" w:line="276" w:lineRule="auto"/>
        <w:jc w:val="both"/>
      </w:pPr>
      <w:r>
        <w:rPr>
          <w:rFonts w:ascii="Times" w:cs="Times" w:eastAsia="Times" w:hAnsi="Times"/>
          <w:b/>
          <w:bCs/>
          <w:i w:val="false"/>
          <w:iCs w:val="false"/>
          <w:strike w:val="false"/>
          <w:color w:val="1B2A4A"/>
          <w:sz w:val="24"/>
          <w:szCs w:val="24"/>
        </w:rPr>
        <w:t xml:space="preserve">B.   Acquisition &amp; Procurement Oversight</w:t>
      </w:r>
    </w:p>
    <w:p>
      <w:pPr>
        <w:spacing w:after="240" w:before="60" w:line="276" w:lineRule="auto"/>
        <w:jc w:val="both"/>
      </w:pPr>
      <w:r>
        <w:rPr>
          <w:rFonts w:ascii="Times" w:cs="Times" w:eastAsia="Times" w:hAnsi="Times"/>
          <w:b w:val="false"/>
          <w:bCs w:val="false"/>
          <w:i w:val="false"/>
          <w:iCs w:val="false"/>
          <w:strike w:val="false"/>
          <w:color w:val="1B2A4A"/>
          <w:sz w:val="24"/>
          <w:szCs w:val="24"/>
        </w:rPr>
        <w:t xml:space="preserve">The designated Contracting Officer’s Representative (COR) is hereby delegated authority to:</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Oversee contract performance, deliverables, and compliance on behalf of OA;</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Approve or reject contractor deliverables and invoices within established thresholds;</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Coordinate with the Chief Acquisition Officer on procurement actions exceeding micro-purchase thresholds.</w:t>
      </w:r>
    </w:p>
    <w:p>
      <w:pPr>
        <w:spacing w:after="120" w:before="280" w:line="276" w:lineRule="auto"/>
        <w:jc w:val="both"/>
      </w:pPr>
      <w:r>
        <w:rPr>
          <w:rFonts w:ascii="Times" w:cs="Times" w:eastAsia="Times" w:hAnsi="Times"/>
          <w:b/>
          <w:bCs/>
          <w:i w:val="false"/>
          <w:iCs w:val="false"/>
          <w:strike w:val="false"/>
          <w:color w:val="1B2A4A"/>
          <w:sz w:val="24"/>
          <w:szCs w:val="24"/>
        </w:rPr>
        <w:t xml:space="preserve">C.   Administrative Operations</w:t>
      </w:r>
    </w:p>
    <w:p>
      <w:pPr>
        <w:spacing w:after="240" w:before="60" w:line="276" w:lineRule="auto"/>
        <w:jc w:val="both"/>
      </w:pPr>
      <w:r>
        <w:rPr>
          <w:rFonts w:ascii="Times" w:cs="Times" w:eastAsia="Times" w:hAnsi="Times"/>
          <w:b w:val="false"/>
          <w:bCs w:val="false"/>
          <w:i w:val="false"/>
          <w:iCs w:val="false"/>
          <w:strike w:val="false"/>
          <w:color w:val="1B2A4A"/>
          <w:sz w:val="24"/>
          <w:szCs w:val="24"/>
        </w:rPr>
        <w:t xml:space="preserve">The designated Administrative Officer is hereby delegated authority to:</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Manage day-to-day administrative operations of OA;</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Approve personnel actions, travel authorizations, and resource allocations within prescribed limits;</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Execute interagency agreements and memoranda of understanding on behalf of OA, subject to legal review.</w:t>
      </w:r>
    </w:p>
    <w:p>
      <w:pPr>
        <w:spacing w:after="240" w:before="360" w:line="276" w:lineRule="auto"/>
        <w:jc w:val="both"/>
      </w:pPr>
      <w:r>
        <w:rPr>
          <w:rFonts w:ascii="Times" w:cs="Times" w:eastAsia="Times" w:hAnsi="Times"/>
          <w:b/>
          <w:bCs/>
          <w:i w:val="false"/>
          <w:iCs w:val="false"/>
          <w:strike w:val="false"/>
          <w:color w:val="1B2A4A"/>
          <w:sz w:val="24"/>
          <w:szCs w:val="24"/>
        </w:rPr>
        <w:t xml:space="preserve">IV.   CONDITIONS &amp; LIMITATIONS</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All delegated authorities shall be exercised in strict compliance with applicable federal law, regulation, Executive Orders, OMB directives, and OA policy;</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No delegated authority may be further sub-delegated except as expressly authorized in this Memorandum or by subsequent written approval of the Director;</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All exercises of delegated authority shall be documented in the OA Authority Exercise Log and reported quarterly to the Director;</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Delegated authorities remain in effect until expressly revoked, superseded, or until the officer’s separation from service;</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Nothing in this Memorandum shall be construed to limit or supplant the inherent authority of the Director of the Office of Administration.</w:t>
      </w:r>
    </w:p>
    <w:p>
      <w:pPr>
        <w:spacing w:after="240" w:before="360" w:line="276" w:lineRule="auto"/>
        <w:jc w:val="both"/>
      </w:pPr>
      <w:r>
        <w:rPr>
          <w:rFonts w:ascii="Times" w:cs="Times" w:eastAsia="Times" w:hAnsi="Times"/>
          <w:b/>
          <w:bCs/>
          <w:i w:val="false"/>
          <w:iCs w:val="false"/>
          <w:strike w:val="false"/>
          <w:color w:val="1B2A4A"/>
          <w:sz w:val="24"/>
          <w:szCs w:val="24"/>
        </w:rPr>
        <w:t xml:space="preserve">V.   ACCOUNTABILITY &amp; REPORTING</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Each delegated officer shall maintain a contemporaneous log of all actions taken under delegated authority;</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Quarterly accountability reports shall be submitted to the Director no later than the 15th calendar day following each fiscal quarter;</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The Office of the Inspector General and the Government Accountability Office retain full audit and inspection authority over all actions taken pursuant to this Memorandum;</w:t>
      </w:r>
    </w:p>
    <w:p>
      <w:pPr>
        <w:pStyle w:val="ListParagraph"/>
        <w:numPr>
          <w:ilvl w:val="0"/>
          <w:numId w:val="2"/>
        </w:numPr>
        <w:spacing w:after="60" w:line="408" w:lineRule="auto"/>
        <w:ind w:left="720" w:hanging="360"/>
      </w:pPr>
      <w:r>
        <w:rPr>
          <w:rFonts w:ascii="Times" w:cs="Times" w:eastAsia="Times" w:hAnsi="Times"/>
          <w:b w:val="false"/>
          <w:bCs w:val="false"/>
          <w:i w:val="false"/>
          <w:iCs w:val="false"/>
          <w:strike w:val="false"/>
          <w:color w:val="1B2A4A"/>
          <w:sz w:val="24"/>
          <w:szCs w:val="24"/>
        </w:rPr>
        <w:t xml:space="preserve">Any material deviation from delegated authority shall be reported immediately to the Director and the OA General Counsel.</w:t>
      </w:r>
    </w:p>
    <w:p>
      <w:pPr>
        <w:spacing w:after="240" w:before="360" w:line="276" w:lineRule="auto"/>
        <w:jc w:val="both"/>
      </w:pPr>
      <w:r>
        <w:rPr>
          <w:rFonts w:ascii="Times" w:cs="Times" w:eastAsia="Times" w:hAnsi="Times"/>
          <w:b/>
          <w:bCs/>
          <w:i w:val="false"/>
          <w:iCs w:val="false"/>
          <w:strike w:val="false"/>
          <w:color w:val="1B2A4A"/>
          <w:sz w:val="24"/>
          <w:szCs w:val="24"/>
        </w:rPr>
        <w:t xml:space="preserve">VI.   EFFECTIVE DATE &amp; DURATION</w:t>
      </w:r>
    </w:p>
    <w:p>
      <w:pPr>
        <w:spacing w:after="240" w:before="60" w:line="276" w:lineRule="auto"/>
        <w:jc w:val="both"/>
      </w:pPr>
      <w:r>
        <w:rPr>
          <w:rFonts w:ascii="Times" w:cs="Times" w:eastAsia="Times" w:hAnsi="Times"/>
          <w:b w:val="false"/>
          <w:bCs w:val="false"/>
          <w:i w:val="false"/>
          <w:iCs w:val="false"/>
          <w:strike w:val="false"/>
          <w:color w:val="1B2A4A"/>
          <w:sz w:val="24"/>
          <w:szCs w:val="24"/>
        </w:rPr>
        <w:t xml:space="preserve">This Memorandum is effective immediately upon execution by the Director and shall remain in force until revoked, superseded, or amended by subsequent written directive.</w:t>
      </w:r>
    </w:p>
    <w:p>
      <w:pPr>
        <w:spacing w:after="240" w:before="60" w:line="276" w:lineRule="auto"/>
        <w:jc w:val="both"/>
      </w:pPr>
      <w:r>
        <w:rPr>
          <w:rFonts w:ascii="Times" w:cs="Times" w:eastAsia="Times" w:hAnsi="Times"/>
          <w:b/>
          <w:bCs/>
          <w:i w:val="false"/>
          <w:iCs w:val="false"/>
          <w:strike w:val="false"/>
          <w:color w:val="1B2A4A"/>
          <w:sz w:val="22"/>
          <w:szCs w:val="22"/>
        </w:rPr>
        <w:t xml:space="preserve">[Name]</w:t>
      </w:r>
    </w:p>
    <w:p>
      <w:pPr>
        <w:spacing w:after="240" w:before="60" w:line="276" w:lineRule="auto"/>
        <w:jc w:val="both"/>
      </w:pPr>
      <w:r>
        <w:rPr>
          <w:rFonts w:ascii="Times" w:cs="Times" w:eastAsia="Times" w:hAnsi="Times"/>
          <w:b w:val="false"/>
          <w:bCs w:val="false"/>
          <w:i w:val="false"/>
          <w:iCs w:val="false"/>
          <w:strike w:val="false"/>
          <w:color w:val="1B2A4A"/>
          <w:sz w:val="20"/>
          <w:szCs w:val="20"/>
        </w:rPr>
        <w:t xml:space="preserve">Director, Office of Administration</w:t>
      </w:r>
    </w:p>
    <w:p>
      <w:pPr>
        <w:spacing w:after="240" w:before="60" w:line="276" w:lineRule="auto"/>
        <w:jc w:val="both"/>
      </w:pPr>
      <w:r>
        <w:rPr>
          <w:rFonts w:ascii="Times" w:cs="Times" w:eastAsia="Times" w:hAnsi="Times"/>
          <w:b w:val="false"/>
          <w:bCs w:val="false"/>
          <w:i w:val="false"/>
          <w:iCs w:val="false"/>
          <w:strike w:val="false"/>
          <w:color w:val="1B2A4A"/>
          <w:sz w:val="20"/>
          <w:szCs w:val="20"/>
        </w:rPr>
        <w:t xml:space="preserve">Executive Office of the President</w:t>
      </w:r>
    </w:p>
    <w:p>
      <w:pPr>
        <w:spacing w:after="240" w:line="276" w:lineRule="auto"/>
        <w:jc w:val="both"/>
      </w:pPr>
      <w:r>
        <w:rPr>
          <w:rFonts w:ascii="Times" w:cs="Times" w:eastAsia="Times" w:hAnsi="Times"/>
          <w:b w:val="false"/>
          <w:bCs w:val="false"/>
          <w:i w:val="false"/>
          <w:iCs w:val="false"/>
          <w:strike w:val="false"/>
          <w:color w:val="1B2A4A"/>
          <w:sz w:val="22"/>
          <w:szCs w:val="22"/>
        </w:rPr>
        <w:t xml:space="preserve">Date: _______________</w:t>
      </w:r>
    </w:p>
    <w:p>
      <w:pPr>
        <w:spacing w:after="320" w:before="60" w:line="276" w:lineRule="auto"/>
        <w:jc w:val="both"/>
      </w:pPr>
      <w:r>
        <w:rPr>
          <w:rFonts w:ascii="Times" w:cs="Times" w:eastAsia="Times" w:hAnsi="Times"/>
          <w:b/>
          <w:bCs/>
          <w:i w:val="false"/>
          <w:iCs w:val="false"/>
          <w:strike w:val="false"/>
          <w:color w:val="1B2A4A"/>
          <w:sz w:val="22"/>
          <w:szCs w:val="22"/>
        </w:rPr>
        <w:t xml:space="preserve">ACKNOWLEDGED AND ACCEPTED:</w:t>
      </w:r>
    </w:p>
    <w:p>
      <w:pPr>
        <w:spacing w:after="240" w:before="60" w:line="276" w:lineRule="auto"/>
        <w:jc w:val="both"/>
      </w:pPr>
      <w:r>
        <w:rPr>
          <w:rFonts w:ascii="Times" w:cs="Times" w:eastAsia="Times" w:hAnsi="Times"/>
          <w:b/>
          <w:bCs/>
          <w:i w:val="false"/>
          <w:iCs w:val="false"/>
          <w:strike w:val="false"/>
          <w:color w:val="1B2A4A"/>
          <w:sz w:val="22"/>
          <w:szCs w:val="22"/>
        </w:rPr>
        <w:t xml:space="preserve">Brian Michael Frost</w:t>
      </w:r>
    </w:p>
    <w:p>
      <w:pPr>
        <w:spacing w:after="240" w:before="60" w:line="276" w:lineRule="auto"/>
        <w:jc w:val="both"/>
      </w:pPr>
      <w:r>
        <w:rPr>
          <w:rFonts w:ascii="Times" w:cs="Times" w:eastAsia="Times" w:hAnsi="Times"/>
          <w:b w:val="false"/>
          <w:bCs w:val="false"/>
          <w:i w:val="false"/>
          <w:iCs w:val="false"/>
          <w:strike w:val="false"/>
          <w:color w:val="1B2A4A"/>
          <w:sz w:val="20"/>
          <w:szCs w:val="20"/>
        </w:rPr>
        <w:t xml:space="preserve">Regulatory Compliance &amp; Document Management Specialist</w:t>
      </w:r>
    </w:p>
    <w:p>
      <w:pPr>
        <w:spacing w:after="240" w:before="60" w:line="276" w:lineRule="auto"/>
        <w:jc w:val="both"/>
      </w:pPr>
      <w:r>
        <w:rPr>
          <w:rFonts w:ascii="Times" w:cs="Times" w:eastAsia="Times" w:hAnsi="Times"/>
          <w:b w:val="false"/>
          <w:bCs w:val="false"/>
          <w:i w:val="false"/>
          <w:iCs w:val="false"/>
          <w:strike w:val="false"/>
          <w:color w:val="1B2A4A"/>
          <w:sz w:val="20"/>
          <w:szCs w:val="20"/>
        </w:rPr>
        <w:t xml:space="preserve">Office of Administration</w:t>
      </w:r>
    </w:p>
    <w:p>
      <w:pPr>
        <w:spacing w:after="240" w:before="60" w:line="276" w:lineRule="auto"/>
        <w:jc w:val="both"/>
      </w:pPr>
      <w:r>
        <w:rPr>
          <w:rFonts w:ascii="Times" w:cs="Times" w:eastAsia="Times" w:hAnsi="Times"/>
          <w:b w:val="false"/>
          <w:bCs w:val="false"/>
          <w:i w:val="false"/>
          <w:iCs w:val="false"/>
          <w:strike w:val="false"/>
          <w:color w:val="1B2A4A"/>
          <w:sz w:val="20"/>
          <w:szCs w:val="20"/>
        </w:rPr>
        <w:t xml:space="preserve">Executive Office of the President</w:t>
      </w:r>
    </w:p>
    <w:p>
      <w:pPr>
        <w:spacing w:after="240" w:line="276" w:lineRule="auto"/>
        <w:jc w:val="both"/>
      </w:pPr>
      <w:r>
        <w:rPr>
          <w:rFonts w:ascii="Times" w:cs="Times" w:eastAsia="Times" w:hAnsi="Times"/>
          <w:b w:val="false"/>
          <w:bCs w:val="false"/>
          <w:i w:val="false"/>
          <w:iCs w:val="false"/>
          <w:strike w:val="false"/>
          <w:color w:val="1B2A4A"/>
          <w:sz w:val="22"/>
          <w:szCs w:val="22"/>
        </w:rPr>
        <w:t xml:space="preserve">Date: _______________</w:t>
      </w:r>
    </w:p>
    <w:p>
      <w:pPr>
        <w:spacing w:after="320" w:before="60" w:line="276" w:lineRule="auto"/>
        <w:jc w:val="both"/>
      </w:pPr>
      <w:r>
        <w:rPr>
          <w:rFonts w:ascii="Times" w:cs="Times" w:eastAsia="Times" w:hAnsi="Times"/>
          <w:b/>
          <w:bCs/>
          <w:i w:val="false"/>
          <w:iCs w:val="false"/>
          <w:strike w:val="false"/>
          <w:color w:val="1B2A4A"/>
          <w:sz w:val="22"/>
          <w:szCs w:val="22"/>
        </w:rPr>
        <w:t xml:space="preserve">REVIEWED FOR LEGAL SUFFICIENCY:</w:t>
      </w:r>
    </w:p>
    <w:p>
      <w:pPr>
        <w:spacing w:after="240" w:before="60" w:line="276" w:lineRule="auto"/>
        <w:jc w:val="both"/>
      </w:pPr>
      <w:r>
        <w:rPr>
          <w:rFonts w:ascii="Times" w:cs="Times" w:eastAsia="Times" w:hAnsi="Times"/>
          <w:b/>
          <w:bCs/>
          <w:i w:val="false"/>
          <w:iCs w:val="false"/>
          <w:strike w:val="false"/>
          <w:color w:val="1B2A4A"/>
          <w:sz w:val="22"/>
          <w:szCs w:val="22"/>
        </w:rPr>
        <w:t xml:space="preserve">[Name]</w:t>
      </w:r>
    </w:p>
    <w:p>
      <w:pPr>
        <w:spacing w:after="240" w:before="60" w:line="276" w:lineRule="auto"/>
        <w:jc w:val="both"/>
      </w:pPr>
      <w:r>
        <w:rPr>
          <w:rFonts w:ascii="Times" w:cs="Times" w:eastAsia="Times" w:hAnsi="Times"/>
          <w:b w:val="false"/>
          <w:bCs w:val="false"/>
          <w:i w:val="false"/>
          <w:iCs w:val="false"/>
          <w:strike w:val="false"/>
          <w:color w:val="1B2A4A"/>
          <w:sz w:val="20"/>
          <w:szCs w:val="20"/>
        </w:rPr>
        <w:t xml:space="preserve">General Counsel</w:t>
      </w:r>
    </w:p>
    <w:p>
      <w:pPr>
        <w:spacing w:after="240" w:before="60" w:line="276" w:lineRule="auto"/>
        <w:jc w:val="both"/>
      </w:pPr>
      <w:r>
        <w:rPr>
          <w:rFonts w:ascii="Times" w:cs="Times" w:eastAsia="Times" w:hAnsi="Times"/>
          <w:b w:val="false"/>
          <w:bCs w:val="false"/>
          <w:i w:val="false"/>
          <w:iCs w:val="false"/>
          <w:strike w:val="false"/>
          <w:color w:val="1B2A4A"/>
          <w:sz w:val="20"/>
          <w:szCs w:val="20"/>
        </w:rPr>
        <w:t xml:space="preserve">Office of Administration</w:t>
      </w:r>
    </w:p>
    <w:p>
      <w:pPr>
        <w:spacing w:after="240" w:before="60" w:line="276" w:lineRule="auto"/>
        <w:jc w:val="both"/>
      </w:pPr>
      <w:r>
        <w:rPr>
          <w:rFonts w:ascii="Times" w:cs="Times" w:eastAsia="Times" w:hAnsi="Times"/>
          <w:b w:val="false"/>
          <w:bCs w:val="false"/>
          <w:i w:val="false"/>
          <w:iCs w:val="false"/>
          <w:strike w:val="false"/>
          <w:color w:val="1B2A4A"/>
          <w:sz w:val="20"/>
          <w:szCs w:val="20"/>
        </w:rPr>
        <w:t xml:space="preserve">Executive Office of the President</w:t>
      </w:r>
    </w:p>
    <w:p>
      <w:pPr>
        <w:spacing w:after="240" w:line="276" w:lineRule="auto"/>
        <w:jc w:val="both"/>
      </w:pPr>
      <w:r>
        <w:rPr>
          <w:rFonts w:ascii="Times" w:cs="Times" w:eastAsia="Times" w:hAnsi="Times"/>
          <w:b w:val="false"/>
          <w:bCs w:val="false"/>
          <w:i w:val="false"/>
          <w:iCs w:val="false"/>
          <w:strike w:val="false"/>
          <w:color w:val="1B2A4A"/>
          <w:sz w:val="22"/>
          <w:szCs w:val="22"/>
        </w:rPr>
        <w:t xml:space="preserve">Date: _______________</w:t>
      </w:r>
    </w:p>
    <w:p>
      <w:pPr>
        <w:pBdr>
          <w:bottom w:val="single" w:color="1B2A4A" w:sz="6"/>
        </w:pBdr>
        <w:spacing w:after="240" w:before="240"/>
      </w:pPr>
    </w:p>
    <w:p>
      <w:pPr>
        <w:spacing w:after="240" w:line="276" w:lineRule="auto"/>
        <w:jc w:val="center"/>
      </w:pPr>
      <w:r>
        <w:rPr>
          <w:rFonts w:ascii="Times" w:cs="Times" w:eastAsia="Times" w:hAnsi="Times"/>
          <w:b w:val="false"/>
          <w:bCs w:val="false"/>
          <w:i w:val="false"/>
          <w:iCs w:val="false"/>
          <w:strike w:val="false"/>
          <w:color w:val="1B2A4A"/>
          <w:spacing w:val="6"/>
          <w:sz w:val="20"/>
          <w:szCs w:val="20"/>
        </w:rPr>
        <w:t xml:space="preserve">Distribution: Director, OA · All Designated Officers · OIG · NARA · General Counsel · Records Management Division</w:t>
      </w:r>
    </w:p>
    <w:p>
      <w:pPr>
        <w:pBdr>
          <w:bottom w:val="single" w:color="1B2A4A" w:sz="6"/>
        </w:pBdr>
        <w:spacing w:after="240" w:before="240"/>
      </w:pPr>
    </w:p>
    <w:p>
      <w:pPr>
        <w:spacing w:after="240" w:before="60" w:line="276" w:lineRule="auto"/>
        <w:jc w:val="center"/>
      </w:pPr>
      <w:r>
        <w:rPr>
          <w:rFonts w:ascii="Times" w:cs="Times" w:eastAsia="Times" w:hAnsi="Times"/>
          <w:b w:val="false"/>
          <w:bCs w:val="false"/>
          <w:i w:val="false"/>
          <w:iCs w:val="false"/>
          <w:strike w:val="false"/>
          <w:color w:val="1B2A4A"/>
          <w:sz w:val="18"/>
          <w:szCs w:val="18"/>
        </w:rPr>
        <w:t xml:space="preserve">Page 1 of 1</w:t>
      </w:r>
    </w:p>
    <w:p>
      <w:pPr>
        <w:spacing w:after="240" w:before="60" w:line="276" w:lineRule="auto"/>
        <w:jc w:val="right"/>
      </w:pPr>
      <w:r>
        <w:rPr>
          <w:rFonts w:ascii="Times" w:cs="Times" w:eastAsia="Times" w:hAnsi="Times"/>
          <w:b w:val="false"/>
          <w:bCs w:val="false"/>
          <w:i/>
          <w:iCs/>
          <w:strike w:val="false"/>
          <w:color w:val="1B2A4A"/>
          <w:sz w:val="16"/>
          <w:szCs w:val="16"/>
        </w:rPr>
        <w:t xml:space="preserve">CONTROLLED UNCLASSIFIED INFORMATION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1e367adf0e7fe0a79ef8e05205e8e32d6b6d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fL4xPs6NYwCnuZhaypACH</dc:title>
  <dc:creator>Un-named</dc:creator>
  <dc:description>Generated document</dc:description>
  <cp:lastModifiedBy>Un-named</cp:lastModifiedBy>
  <cp:revision>1</cp:revision>
  <dcterms:created xsi:type="dcterms:W3CDTF">2026-04-25T13:54:23.971Z</dcterms:created>
  <dcterms:modified xsi:type="dcterms:W3CDTF">2026-04-25T13:54:23.971Z</dcterms:modified>
</cp:coreProperties>
</file>

<file path=docProps/custom.xml><?xml version="1.0" encoding="utf-8"?>
<Properties xmlns="http://schemas.openxmlformats.org/officeDocument/2006/custom-properties" xmlns:vt="http://schemas.openxmlformats.org/officeDocument/2006/docPropsVTypes"/>
</file>