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B0D45" w14:textId="77777777" w:rsidR="00F457D3" w:rsidRPr="00466A33" w:rsidRDefault="00F457D3"/>
    <w:tbl>
      <w:tblPr>
        <w:tblStyle w:val="afd"/>
        <w:tblW w:w="12240"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466A33" w14:paraId="65F75AFE" w14:textId="77777777" w:rsidTr="00FC4812">
        <w:trPr>
          <w:trHeight w:val="2730"/>
        </w:trPr>
        <w:tc>
          <w:tcPr>
            <w:tcW w:w="1440" w:type="dxa"/>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327906AE" w14:textId="77777777" w:rsidR="00F457D3" w:rsidRPr="00466A33" w:rsidRDefault="00F457D3">
            <w:pPr>
              <w:pStyle w:val="Title"/>
            </w:pPr>
            <w:bookmarkStart w:id="0" w:name="_heading=h.gjdgxs" w:colFirst="0" w:colLast="0"/>
            <w:bookmarkEnd w:id="0"/>
          </w:p>
        </w:tc>
        <w:tc>
          <w:tcPr>
            <w:tcW w:w="9300" w:type="dxa"/>
            <w:gridSpan w:val="2"/>
            <w:tcBorders>
              <w:top w:val="nil"/>
              <w:left w:val="nil"/>
              <w:bottom w:val="nil"/>
              <w:right w:val="nil"/>
            </w:tcBorders>
            <w:shd w:val="clear" w:color="auto" w:fill="1A4480"/>
            <w:tcMar>
              <w:top w:w="0" w:type="dxa"/>
              <w:left w:w="0" w:type="dxa"/>
              <w:bottom w:w="0" w:type="dxa"/>
              <w:right w:w="0" w:type="dxa"/>
            </w:tcMar>
            <w:vAlign w:val="center"/>
          </w:tcPr>
          <w:p w14:paraId="6802094A" w14:textId="77777777" w:rsidR="00F457D3" w:rsidRPr="00466A33" w:rsidRDefault="00061A76" w:rsidP="00545FCF">
            <w:pPr>
              <w:jc w:val="center"/>
            </w:pPr>
            <w:r w:rsidRPr="00466A33">
              <w:rPr>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nil"/>
              <w:left w:val="nil"/>
              <w:bottom w:val="nil"/>
              <w:right w:val="nil"/>
            </w:tcBorders>
            <w:shd w:val="clear" w:color="auto" w:fill="1A4480"/>
            <w:tcMar>
              <w:top w:w="0" w:type="dxa"/>
              <w:left w:w="0" w:type="dxa"/>
              <w:bottom w:w="0" w:type="dxa"/>
              <w:right w:w="0" w:type="dxa"/>
            </w:tcMar>
            <w:vAlign w:val="center"/>
          </w:tcPr>
          <w:p w14:paraId="312B520C" w14:textId="77777777" w:rsidR="00F457D3" w:rsidRPr="00466A33" w:rsidRDefault="00F457D3">
            <w:pPr>
              <w:pStyle w:val="Title"/>
            </w:pPr>
            <w:bookmarkStart w:id="1" w:name="_heading=h.30j0zll" w:colFirst="0" w:colLast="0"/>
            <w:bookmarkEnd w:id="1"/>
          </w:p>
        </w:tc>
      </w:tr>
      <w:tr w:rsidR="00F457D3" w:rsidRPr="00466A33" w14:paraId="018D57EA" w14:textId="77777777" w:rsidTr="004C12AC">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466A33" w:rsidRDefault="00F457D3"/>
        </w:tc>
      </w:tr>
      <w:tr w:rsidR="00F457D3" w:rsidRPr="00466A33" w14:paraId="1162ED22" w14:textId="77777777" w:rsidTr="004C12AC">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466A33" w:rsidRDefault="00F457D3">
            <w:pPr>
              <w:pStyle w:val="Title"/>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AB50185" w14:textId="5985D9E8" w:rsidR="00F457D3" w:rsidRPr="00466A33" w:rsidRDefault="003F23EF" w:rsidP="000917AF">
            <w:pPr>
              <w:pStyle w:val="Title"/>
              <w:spacing w:after="600"/>
            </w:pPr>
            <w:bookmarkStart w:id="3" w:name="Title"/>
            <w:r w:rsidRPr="00466A33">
              <w:t>FedRAMP</w:t>
            </w:r>
            <w:r w:rsidR="00450601" w:rsidRPr="00466A33">
              <w:rPr>
                <w:vertAlign w:val="superscript"/>
              </w:rPr>
              <w:t>®</w:t>
            </w:r>
            <w:r w:rsidRPr="00466A33">
              <w:t xml:space="preserve"> </w:t>
            </w:r>
            <w:r w:rsidR="004226F2" w:rsidRPr="00466A33">
              <w:t xml:space="preserve">Security Assessment Report </w:t>
            </w:r>
            <w:r w:rsidRPr="00466A33">
              <w:t>(SAR)</w:t>
            </w:r>
          </w:p>
          <w:bookmarkEnd w:id="3"/>
          <w:p w14:paraId="7D2E85D7" w14:textId="77777777" w:rsidR="00450601" w:rsidRPr="00466A33" w:rsidRDefault="00450601" w:rsidP="00450601">
            <w:pPr>
              <w:pStyle w:val="Subtitle"/>
              <w:spacing w:before="360" w:after="360"/>
            </w:pPr>
            <w:r w:rsidRPr="00466A33">
              <w:t xml:space="preserve">for </w:t>
            </w:r>
            <w:sdt>
              <w:sdtPr>
                <w:tag w:val="goog_rdk_0"/>
                <w:id w:val="591819048"/>
              </w:sdtPr>
              <w:sdtContent/>
            </w:sdt>
            <w:r w:rsidRPr="00466A33">
              <w:t xml:space="preserve">&lt;Insert CSP Name&gt; </w:t>
            </w:r>
          </w:p>
          <w:p w14:paraId="7CD1724D" w14:textId="77777777" w:rsidR="00450601" w:rsidRPr="00466A33" w:rsidRDefault="00450601" w:rsidP="00450601">
            <w:pPr>
              <w:pStyle w:val="Subtitle"/>
            </w:pPr>
            <w:bookmarkStart w:id="4" w:name="_heading=h.bsn8vq68jibw" w:colFirst="0" w:colLast="0"/>
            <w:bookmarkEnd w:id="4"/>
            <w:r w:rsidRPr="00466A33">
              <w:t>&lt;Insert CSO Name&gt;</w:t>
            </w:r>
          </w:p>
          <w:p w14:paraId="17158FDD" w14:textId="4D462C86" w:rsidR="00F457D3" w:rsidRPr="00466A33" w:rsidRDefault="004877E5">
            <w:pPr>
              <w:keepNext/>
              <w:keepLines/>
              <w:pBdr>
                <w:top w:val="nil"/>
                <w:left w:val="nil"/>
                <w:bottom w:val="nil"/>
                <w:right w:val="nil"/>
                <w:between w:val="nil"/>
              </w:pBdr>
              <w:spacing w:after="240"/>
              <w:jc w:val="center"/>
              <w:rPr>
                <w:color w:val="19447F"/>
                <w:sz w:val="32"/>
                <w:szCs w:val="32"/>
              </w:rPr>
            </w:pPr>
            <w:bookmarkStart w:id="5" w:name="_heading=h.2et92p0" w:colFirst="0" w:colLast="0"/>
            <w:bookmarkStart w:id="6" w:name="Version"/>
            <w:bookmarkEnd w:id="5"/>
            <w:r w:rsidRPr="00466A33">
              <w:rPr>
                <w:color w:val="19447F"/>
                <w:sz w:val="32"/>
                <w:szCs w:val="32"/>
              </w:rPr>
              <w:t>&lt;Version X.X</w:t>
            </w:r>
            <w:bookmarkEnd w:id="6"/>
            <w:r w:rsidRPr="00466A33">
              <w:rPr>
                <w:color w:val="19447F"/>
                <w:sz w:val="32"/>
                <w:szCs w:val="32"/>
              </w:rPr>
              <w:t>&gt;</w:t>
            </w:r>
          </w:p>
          <w:p w14:paraId="313CD938" w14:textId="26359386" w:rsidR="008A49DB" w:rsidRPr="00466A33" w:rsidRDefault="004877E5" w:rsidP="001B193D">
            <w:pPr>
              <w:keepNext/>
              <w:keepLines/>
              <w:pBdr>
                <w:top w:val="nil"/>
                <w:left w:val="nil"/>
                <w:bottom w:val="nil"/>
                <w:right w:val="nil"/>
                <w:between w:val="nil"/>
              </w:pBdr>
              <w:spacing w:after="240"/>
              <w:jc w:val="center"/>
              <w:rPr>
                <w:color w:val="19447F"/>
                <w:sz w:val="32"/>
                <w:szCs w:val="32"/>
              </w:rPr>
            </w:pPr>
            <w:bookmarkStart w:id="7" w:name="Date"/>
            <w:r w:rsidRPr="00466A33">
              <w:rPr>
                <w:color w:val="19447F"/>
                <w:sz w:val="32"/>
                <w:szCs w:val="32"/>
              </w:rPr>
              <w:t>&lt;MM/DD/YYYY&gt;</w:t>
            </w:r>
            <w:bookmarkEnd w:id="7"/>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466A33" w:rsidRDefault="00F457D3">
            <w:pPr>
              <w:pStyle w:val="Title"/>
            </w:pPr>
            <w:bookmarkStart w:id="8" w:name="_heading=h.tyjcwt" w:colFirst="0" w:colLast="0"/>
            <w:bookmarkEnd w:id="8"/>
          </w:p>
        </w:tc>
      </w:tr>
      <w:tr w:rsidR="00F457D3" w:rsidRPr="00466A33" w14:paraId="39109975" w14:textId="77777777" w:rsidTr="004C12AC">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466A33" w:rsidRDefault="00F457D3">
            <w:pPr>
              <w:widowControl w:val="0"/>
              <w:pBdr>
                <w:top w:val="nil"/>
                <w:left w:val="nil"/>
                <w:bottom w:val="nil"/>
                <w:right w:val="nil"/>
                <w:between w:val="nil"/>
              </w:pBdr>
              <w:spacing w:line="276" w:lineRule="auto"/>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466A33" w:rsidRDefault="00F457D3">
            <w:pPr>
              <w:widowControl w:val="0"/>
              <w:pBdr>
                <w:top w:val="nil"/>
                <w:left w:val="nil"/>
                <w:bottom w:val="nil"/>
                <w:right w:val="nil"/>
                <w:between w:val="nil"/>
              </w:pBdr>
              <w:spacing w:line="276" w:lineRule="auto"/>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466A33" w:rsidRDefault="00F457D3">
            <w:pPr>
              <w:widowControl w:val="0"/>
              <w:pBdr>
                <w:top w:val="nil"/>
                <w:left w:val="nil"/>
                <w:bottom w:val="nil"/>
                <w:right w:val="nil"/>
                <w:between w:val="nil"/>
              </w:pBdr>
              <w:spacing w:line="276" w:lineRule="auto"/>
            </w:pPr>
          </w:p>
        </w:tc>
      </w:tr>
      <w:tr w:rsidR="00F457D3" w:rsidRPr="00466A33" w14:paraId="43DF027E" w14:textId="77777777" w:rsidTr="004C12AC">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466A33" w:rsidRDefault="00F457D3"/>
        </w:tc>
      </w:tr>
      <w:tr w:rsidR="00F457D3" w:rsidRPr="00466A33" w14:paraId="73EC5D03" w14:textId="77777777" w:rsidTr="004C12AC">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466A33" w:rsidRDefault="00F457D3">
            <w:pPr>
              <w:pStyle w:val="Title"/>
            </w:pPr>
            <w:bookmarkStart w:id="9" w:name="_heading=h.3dy6vkm" w:colFirst="0" w:colLast="0"/>
            <w:bookmarkEnd w:id="9"/>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466A33" w:rsidRDefault="00061A76">
            <w:bookmarkStart w:id="10" w:name="_heading=h.1t3h5sf" w:colFirst="0" w:colLast="0"/>
            <w:bookmarkEnd w:id="10"/>
            <w:r w:rsidRPr="00466A33">
              <w:rPr>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312" r="313"/>
                          <a:stretch>
                            <a:fillRect/>
                          </a:stretch>
                        </pic:blipFill>
                        <pic:spPr>
                          <a:xfrm>
                            <a:off x="0" y="0"/>
                            <a:ext cx="576072" cy="511032"/>
                          </a:xfrm>
                          <a:prstGeom prst="rect">
                            <a:avLst/>
                          </a:prstGeom>
                          <a:ln/>
                        </pic:spPr>
                      </pic:pic>
                    </a:graphicData>
                  </a:graphic>
                </wp:inline>
              </w:drawing>
            </w:r>
            <w:r w:rsidR="00BB2BC4" w:rsidRPr="00466A33">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466A33" w:rsidRDefault="00BB2BC4">
            <w:pPr>
              <w:jc w:val="right"/>
            </w:pPr>
            <w:bookmarkStart w:id="11" w:name="_heading=h.4d34og8" w:colFirst="0" w:colLast="0"/>
            <w:bookmarkEnd w:id="11"/>
            <w:r w:rsidRPr="00466A33">
              <w:t xml:space="preserve">  Controlled Unclassified Information                                                info@fedramp.gov</w:t>
            </w:r>
          </w:p>
          <w:p w14:paraId="10119769" w14:textId="77777777" w:rsidR="00F457D3" w:rsidRPr="00466A33" w:rsidRDefault="00061A76">
            <w:pPr>
              <w:jc w:val="right"/>
              <w:rPr>
                <w:szCs w:val="22"/>
              </w:rPr>
            </w:pPr>
            <w:r w:rsidRPr="00466A33">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466A33" w:rsidRDefault="00F457D3">
            <w:pPr>
              <w:pStyle w:val="Title"/>
            </w:pPr>
            <w:bookmarkStart w:id="12" w:name="_heading=h.2s8eyo1" w:colFirst="0" w:colLast="0"/>
            <w:bookmarkEnd w:id="12"/>
          </w:p>
        </w:tc>
      </w:tr>
    </w:tbl>
    <w:p w14:paraId="4DB932DA" w14:textId="77777777" w:rsidR="00F457D3" w:rsidRPr="00466A33" w:rsidRDefault="00061A76">
      <w:pPr>
        <w:tabs>
          <w:tab w:val="left" w:pos="3299"/>
        </w:tabs>
      </w:pPr>
      <w:r w:rsidRPr="00466A33">
        <w:tab/>
      </w:r>
    </w:p>
    <w:p w14:paraId="54E0AB49" w14:textId="77777777" w:rsidR="00F457D3" w:rsidRPr="00466A33" w:rsidRDefault="00F457D3">
      <w:pPr>
        <w:keepNext/>
        <w:keepLines/>
        <w:pBdr>
          <w:top w:val="nil"/>
          <w:left w:val="nil"/>
          <w:bottom w:val="nil"/>
          <w:right w:val="nil"/>
          <w:between w:val="nil"/>
        </w:pBdr>
        <w:spacing w:before="360" w:after="360" w:line="240" w:lineRule="auto"/>
        <w:rPr>
          <w:color w:val="1A98C5"/>
          <w:sz w:val="36"/>
          <w:szCs w:val="36"/>
        </w:rPr>
      </w:pPr>
      <w:bookmarkStart w:id="13" w:name="_heading=h.17dp8vu" w:colFirst="0" w:colLast="0"/>
      <w:bookmarkEnd w:id="13"/>
    </w:p>
    <w:p w14:paraId="61CA98BE" w14:textId="77777777" w:rsidR="00450601" w:rsidRPr="00466A33" w:rsidRDefault="00450601" w:rsidP="00450601">
      <w:pPr>
        <w:keepNext/>
        <w:keepLines/>
        <w:pBdr>
          <w:top w:val="nil"/>
          <w:left w:val="nil"/>
          <w:bottom w:val="nil"/>
          <w:right w:val="nil"/>
          <w:between w:val="nil"/>
        </w:pBdr>
        <w:spacing w:before="360" w:after="360" w:line="240" w:lineRule="auto"/>
        <w:rPr>
          <w:rFonts w:eastAsia="Times New Roman"/>
          <w:color w:val="1A98C5"/>
          <w:sz w:val="24"/>
          <w:szCs w:val="24"/>
        </w:rPr>
      </w:pPr>
      <w:r w:rsidRPr="00466A33">
        <w:rPr>
          <w:color w:val="1A98C5"/>
          <w:sz w:val="36"/>
          <w:szCs w:val="36"/>
        </w:rPr>
        <w:t>TEMPLATE REVISION HISTORY</w:t>
      </w:r>
    </w:p>
    <w:tbl>
      <w:tblPr>
        <w:tblStyle w:val="FedRAMP"/>
        <w:tblW w:w="9445" w:type="dxa"/>
        <w:tblLayout w:type="fixed"/>
        <w:tblLook w:val="0420" w:firstRow="1" w:lastRow="0" w:firstColumn="0" w:lastColumn="0" w:noHBand="0" w:noVBand="1"/>
      </w:tblPr>
      <w:tblGrid>
        <w:gridCol w:w="1345"/>
        <w:gridCol w:w="1080"/>
        <w:gridCol w:w="1260"/>
        <w:gridCol w:w="3960"/>
        <w:gridCol w:w="1800"/>
      </w:tblGrid>
      <w:tr w:rsidR="00466A33" w:rsidRPr="00466A33" w14:paraId="5F321781" w14:textId="77777777" w:rsidTr="5A96A1C2">
        <w:trPr>
          <w:cnfStyle w:val="100000000000" w:firstRow="1" w:lastRow="0" w:firstColumn="0" w:lastColumn="0" w:oddVBand="0" w:evenVBand="0" w:oddHBand="0" w:evenHBand="0" w:firstRowFirstColumn="0" w:firstRowLastColumn="0" w:lastRowFirstColumn="0" w:lastRowLastColumn="0"/>
          <w:trHeight w:val="514"/>
        </w:trPr>
        <w:tc>
          <w:tcPr>
            <w:tcW w:w="1345" w:type="dxa"/>
          </w:tcPr>
          <w:p w14:paraId="3452A22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Date</w:t>
            </w:r>
          </w:p>
        </w:tc>
        <w:tc>
          <w:tcPr>
            <w:tcW w:w="1080" w:type="dxa"/>
          </w:tcPr>
          <w:p w14:paraId="612409BC"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Version</w:t>
            </w:r>
          </w:p>
        </w:tc>
        <w:tc>
          <w:tcPr>
            <w:tcW w:w="1260" w:type="dxa"/>
          </w:tcPr>
          <w:p w14:paraId="3E966164" w14:textId="77777777" w:rsidR="00450601" w:rsidRPr="00466A33" w:rsidRDefault="00450601" w:rsidP="00466A33">
            <w:pPr>
              <w:spacing w:beforeLines="80" w:before="192" w:afterLines="80" w:after="192" w:line="288" w:lineRule="auto"/>
              <w:rPr>
                <w:rFonts w:ascii="Arial" w:hAnsi="Arial"/>
              </w:rPr>
            </w:pPr>
            <w:r w:rsidRPr="00466A33">
              <w:rPr>
                <w:rFonts w:ascii="Arial" w:hAnsi="Arial"/>
              </w:rPr>
              <w:t>Pages</w:t>
            </w:r>
          </w:p>
        </w:tc>
        <w:tc>
          <w:tcPr>
            <w:tcW w:w="3960" w:type="dxa"/>
          </w:tcPr>
          <w:p w14:paraId="2A2308F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Description</w:t>
            </w:r>
          </w:p>
        </w:tc>
        <w:tc>
          <w:tcPr>
            <w:tcW w:w="1800" w:type="dxa"/>
          </w:tcPr>
          <w:p w14:paraId="1D1C3BE2"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Author</w:t>
            </w:r>
          </w:p>
        </w:tc>
      </w:tr>
      <w:tr w:rsidR="00466A33" w:rsidRPr="00466A33" w14:paraId="73DF05F6" w14:textId="77777777" w:rsidTr="5A96A1C2">
        <w:trPr>
          <w:cnfStyle w:val="000000100000" w:firstRow="0" w:lastRow="0" w:firstColumn="0" w:lastColumn="0" w:oddVBand="0" w:evenVBand="0" w:oddHBand="1" w:evenHBand="0" w:firstRowFirstColumn="0" w:firstRowLastColumn="0" w:lastRowFirstColumn="0" w:lastRowLastColumn="0"/>
        </w:trPr>
        <w:tc>
          <w:tcPr>
            <w:tcW w:w="1345" w:type="dxa"/>
          </w:tcPr>
          <w:p w14:paraId="1FBC97DE" w14:textId="6209482C" w:rsidR="00466A33" w:rsidRPr="00466A33" w:rsidRDefault="00466A33" w:rsidP="00077649">
            <w:pPr>
              <w:spacing w:beforeLines="80" w:before="192" w:afterLines="80" w:after="192"/>
              <w:rPr>
                <w:rFonts w:eastAsia="Times New Roman"/>
              </w:rPr>
            </w:pPr>
            <w:r w:rsidRPr="00466A33">
              <w:t>01/20/2017</w:t>
            </w:r>
          </w:p>
        </w:tc>
        <w:tc>
          <w:tcPr>
            <w:tcW w:w="1080" w:type="dxa"/>
          </w:tcPr>
          <w:p w14:paraId="211AD79F" w14:textId="7C69F337" w:rsidR="00466A33" w:rsidRPr="00466A33" w:rsidRDefault="00466A33" w:rsidP="00077649">
            <w:pPr>
              <w:spacing w:beforeLines="80" w:before="192" w:afterLines="80" w:after="192"/>
              <w:rPr>
                <w:rFonts w:eastAsia="Times New Roman"/>
              </w:rPr>
            </w:pPr>
            <w:r w:rsidRPr="00466A33">
              <w:t>3.1</w:t>
            </w:r>
          </w:p>
        </w:tc>
        <w:tc>
          <w:tcPr>
            <w:tcW w:w="1260" w:type="dxa"/>
          </w:tcPr>
          <w:p w14:paraId="1DCEBC8A" w14:textId="7637CDA9" w:rsidR="00466A33" w:rsidRPr="00466A33" w:rsidRDefault="00466A33" w:rsidP="00077649">
            <w:pPr>
              <w:spacing w:beforeLines="80" w:before="192" w:afterLines="80" w:after="192"/>
            </w:pPr>
            <w:r w:rsidRPr="00466A33">
              <w:t>All</w:t>
            </w:r>
          </w:p>
        </w:tc>
        <w:tc>
          <w:tcPr>
            <w:tcW w:w="3960" w:type="dxa"/>
          </w:tcPr>
          <w:p w14:paraId="3D392EC6" w14:textId="68E961D5" w:rsidR="00466A33" w:rsidRPr="00466A33" w:rsidRDefault="000E5988">
            <w:pPr>
              <w:pStyle w:val="ListParagraph"/>
              <w:numPr>
                <w:ilvl w:val="0"/>
                <w:numId w:val="9"/>
              </w:numPr>
              <w:spacing w:beforeLines="80" w:before="192" w:afterLines="80" w:after="192"/>
              <w:ind w:left="426"/>
            </w:pPr>
            <w:r>
              <w:t>C</w:t>
            </w:r>
            <w:r w:rsidR="00466A33" w:rsidRPr="00466A33">
              <w:t>hanged “Zip” to “ZIP” and corrected input field label</w:t>
            </w:r>
            <w:r>
              <w:t xml:space="preserve"> in the </w:t>
            </w:r>
            <w:r w:rsidRPr="00466A33">
              <w:t>“Prepared By”</w:t>
            </w:r>
            <w:r>
              <w:t xml:space="preserve"> </w:t>
            </w:r>
            <w:r w:rsidRPr="00466A33">
              <w:t>section</w:t>
            </w:r>
          </w:p>
          <w:p w14:paraId="55C42C7B" w14:textId="4412B048" w:rsidR="00466A33" w:rsidRPr="00466A33" w:rsidRDefault="00466A33">
            <w:pPr>
              <w:pStyle w:val="ListParagraph"/>
              <w:numPr>
                <w:ilvl w:val="0"/>
                <w:numId w:val="9"/>
              </w:numPr>
              <w:spacing w:beforeLines="80" w:before="192" w:afterLines="80" w:after="192"/>
              <w:ind w:left="426"/>
            </w:pPr>
            <w:r w:rsidRPr="00466A33">
              <w:t>Corrected horizontal axis of table 3-6 from “Likelihood” to “Impact”</w:t>
            </w:r>
          </w:p>
          <w:p w14:paraId="61EB609E" w14:textId="4BC872DB" w:rsidR="00466A33" w:rsidRPr="00466A33" w:rsidRDefault="00466A33">
            <w:pPr>
              <w:pStyle w:val="ListParagraph"/>
              <w:numPr>
                <w:ilvl w:val="0"/>
                <w:numId w:val="9"/>
              </w:numPr>
              <w:spacing w:beforeLines="80" w:before="192" w:afterLines="80" w:after="192"/>
              <w:ind w:left="426"/>
            </w:pPr>
            <w:r w:rsidRPr="5A96A1C2">
              <w:rPr>
                <w:lang w:val="en-US"/>
              </w:rPr>
              <w:t>Corrected references to the Security Assessment Summary Worksheet, and added it to the FedRAMP website</w:t>
            </w:r>
          </w:p>
          <w:p w14:paraId="1DE689DB" w14:textId="5C01143B" w:rsidR="00466A33" w:rsidRPr="00466A33" w:rsidRDefault="00466A33">
            <w:pPr>
              <w:pStyle w:val="ListParagraph"/>
              <w:numPr>
                <w:ilvl w:val="0"/>
                <w:numId w:val="9"/>
              </w:numPr>
              <w:spacing w:beforeLines="80" w:before="192" w:afterLines="80" w:after="192"/>
              <w:ind w:left="426"/>
            </w:pPr>
            <w:r w:rsidRPr="5A96A1C2">
              <w:rPr>
                <w:lang w:val="en-US"/>
              </w:rPr>
              <w:t>Corrected erroneous footers reading “Confidential Unclassified Information” to “Controlled Unclassified Information”</w:t>
            </w:r>
            <w:r w:rsidR="000E5988">
              <w:rPr>
                <w:lang w:val="en-US"/>
              </w:rPr>
              <w:t>,</w:t>
            </w:r>
            <w:r w:rsidRPr="5A96A1C2">
              <w:rPr>
                <w:lang w:val="en-US"/>
              </w:rPr>
              <w:t xml:space="preserve"> and removed duplicate page numbers appearing in some footers in the middle of the footer text</w:t>
            </w:r>
          </w:p>
          <w:p w14:paraId="30436516" w14:textId="49F01471" w:rsidR="00466A33" w:rsidRPr="00466A33" w:rsidRDefault="00466A33">
            <w:pPr>
              <w:pStyle w:val="ListParagraph"/>
              <w:numPr>
                <w:ilvl w:val="0"/>
                <w:numId w:val="9"/>
              </w:numPr>
              <w:spacing w:beforeLines="80" w:before="192" w:afterLines="80" w:after="192"/>
              <w:ind w:left="426"/>
            </w:pPr>
            <w:r w:rsidRPr="00466A33">
              <w:t>Corrected typographical errors, capitalization, format</w:t>
            </w:r>
          </w:p>
          <w:p w14:paraId="2489BE42" w14:textId="6A1CD58A" w:rsidR="00466A33" w:rsidRPr="00466A33" w:rsidRDefault="00466A33">
            <w:pPr>
              <w:pStyle w:val="ListParagraph"/>
              <w:numPr>
                <w:ilvl w:val="0"/>
                <w:numId w:val="9"/>
              </w:numPr>
              <w:spacing w:beforeLines="80" w:before="192" w:afterLines="80" w:after="192"/>
              <w:ind w:left="426"/>
            </w:pPr>
            <w:r w:rsidRPr="00466A33">
              <w:t>Added and clarified instruction boxes</w:t>
            </w:r>
          </w:p>
          <w:p w14:paraId="5354A578" w14:textId="593D3A45" w:rsidR="00466A33" w:rsidRPr="00466A33" w:rsidRDefault="00466A33">
            <w:pPr>
              <w:pStyle w:val="ListParagraph"/>
              <w:numPr>
                <w:ilvl w:val="0"/>
                <w:numId w:val="9"/>
              </w:numPr>
              <w:spacing w:beforeLines="80" w:before="192" w:afterLines="80" w:after="192"/>
              <w:ind w:left="426"/>
            </w:pPr>
            <w:r w:rsidRPr="00466A33">
              <w:t>Made all external links appear in the text for clarity</w:t>
            </w:r>
          </w:p>
          <w:p w14:paraId="715CCEF9" w14:textId="3536D986" w:rsidR="00466A33" w:rsidRPr="00466A33" w:rsidRDefault="00466A33">
            <w:pPr>
              <w:pStyle w:val="ListParagraph"/>
              <w:numPr>
                <w:ilvl w:val="0"/>
                <w:numId w:val="9"/>
              </w:numPr>
              <w:spacing w:beforeLines="80" w:before="192" w:afterLines="80" w:after="192"/>
              <w:ind w:left="426"/>
            </w:pPr>
            <w:r w:rsidRPr="00466A33">
              <w:t>Corrected missing common input fields by including them as linked form fields</w:t>
            </w:r>
          </w:p>
          <w:p w14:paraId="1F23C271" w14:textId="1919928F" w:rsidR="00466A33" w:rsidRPr="00466A33" w:rsidRDefault="00466A33">
            <w:pPr>
              <w:pStyle w:val="ListParagraph"/>
              <w:numPr>
                <w:ilvl w:val="0"/>
                <w:numId w:val="9"/>
              </w:numPr>
              <w:spacing w:beforeLines="80" w:before="192" w:afterLines="80" w:after="192"/>
              <w:ind w:left="426"/>
              <w:rPr>
                <w:rFonts w:eastAsia="Times New Roman"/>
              </w:rPr>
            </w:pPr>
            <w:r w:rsidRPr="00466A33">
              <w:t>Removed Appendix K, which referred to an immature Table Creation Tool.</w:t>
            </w:r>
          </w:p>
        </w:tc>
        <w:tc>
          <w:tcPr>
            <w:tcW w:w="1800" w:type="dxa"/>
          </w:tcPr>
          <w:p w14:paraId="39E72764" w14:textId="66D6CC2E" w:rsidR="00466A33" w:rsidRPr="00466A33" w:rsidRDefault="00466A33" w:rsidP="00077649">
            <w:pPr>
              <w:spacing w:beforeLines="80" w:before="192" w:afterLines="80" w:after="192"/>
              <w:rPr>
                <w:rFonts w:eastAsia="Times New Roman"/>
              </w:rPr>
            </w:pPr>
            <w:r w:rsidRPr="00466A33">
              <w:t xml:space="preserve">FedRAMP </w:t>
            </w:r>
          </w:p>
        </w:tc>
      </w:tr>
      <w:tr w:rsidR="00466A33" w:rsidRPr="00466A33" w14:paraId="5F55CE11" w14:textId="77777777" w:rsidTr="5A96A1C2">
        <w:trPr>
          <w:cnfStyle w:val="000000010000" w:firstRow="0" w:lastRow="0" w:firstColumn="0" w:lastColumn="0" w:oddVBand="0" w:evenVBand="0" w:oddHBand="0" w:evenHBand="1" w:firstRowFirstColumn="0" w:firstRowLastColumn="0" w:lastRowFirstColumn="0" w:lastRowLastColumn="0"/>
        </w:trPr>
        <w:tc>
          <w:tcPr>
            <w:tcW w:w="1345" w:type="dxa"/>
          </w:tcPr>
          <w:p w14:paraId="4DF49804" w14:textId="63D02138" w:rsidR="00466A33" w:rsidRPr="00466A33" w:rsidRDefault="00744A8A" w:rsidP="00077649">
            <w:pPr>
              <w:spacing w:beforeLines="80" w:before="192" w:afterLines="80" w:after="192"/>
            </w:pPr>
            <w:r>
              <w:t>0</w:t>
            </w:r>
            <w:r w:rsidR="00466A33" w:rsidRPr="00466A33">
              <w:t>2/22/2017</w:t>
            </w:r>
          </w:p>
        </w:tc>
        <w:tc>
          <w:tcPr>
            <w:tcW w:w="1080" w:type="dxa"/>
          </w:tcPr>
          <w:p w14:paraId="3B78AFCA" w14:textId="6F980167" w:rsidR="00466A33" w:rsidRPr="00466A33" w:rsidRDefault="00466A33" w:rsidP="00077649">
            <w:pPr>
              <w:spacing w:beforeLines="80" w:before="192" w:afterLines="80" w:after="192"/>
            </w:pPr>
            <w:r w:rsidRPr="00466A33">
              <w:t>3.2</w:t>
            </w:r>
          </w:p>
        </w:tc>
        <w:tc>
          <w:tcPr>
            <w:tcW w:w="1260" w:type="dxa"/>
          </w:tcPr>
          <w:p w14:paraId="1FFCA629" w14:textId="2A9C94B8" w:rsidR="00466A33" w:rsidRPr="00466A33" w:rsidRDefault="00466A33" w:rsidP="00077649">
            <w:pPr>
              <w:spacing w:beforeLines="80" w:before="192" w:afterLines="80" w:after="192"/>
            </w:pPr>
            <w:r w:rsidRPr="00466A33">
              <w:t>Appendix A, Section 4</w:t>
            </w:r>
          </w:p>
        </w:tc>
        <w:tc>
          <w:tcPr>
            <w:tcW w:w="3960" w:type="dxa"/>
          </w:tcPr>
          <w:p w14:paraId="3A7F3B33" w14:textId="64AF4451" w:rsidR="00466A33" w:rsidRPr="00466A33" w:rsidRDefault="00466A33" w:rsidP="00077649">
            <w:pPr>
              <w:spacing w:beforeLines="80" w:before="192" w:afterLines="80" w:after="192"/>
            </w:pPr>
            <w:r w:rsidRPr="00466A33">
              <w:t>Updated TOC to capture Appendix A RISK EXPOSURE TABLE</w:t>
            </w:r>
          </w:p>
        </w:tc>
        <w:tc>
          <w:tcPr>
            <w:tcW w:w="1800" w:type="dxa"/>
          </w:tcPr>
          <w:p w14:paraId="3E0EF83B" w14:textId="2B99A7CE" w:rsidR="00466A33" w:rsidRPr="00466A33" w:rsidRDefault="00466A33" w:rsidP="00077649">
            <w:pPr>
              <w:spacing w:beforeLines="80" w:before="192" w:afterLines="80" w:after="192"/>
            </w:pPr>
            <w:r w:rsidRPr="00466A33">
              <w:t xml:space="preserve">FedRAMP </w:t>
            </w:r>
          </w:p>
        </w:tc>
      </w:tr>
      <w:tr w:rsidR="00466A33" w:rsidRPr="00466A33" w14:paraId="4C72E45F" w14:textId="77777777" w:rsidTr="5A96A1C2">
        <w:trPr>
          <w:cnfStyle w:val="000000100000" w:firstRow="0" w:lastRow="0" w:firstColumn="0" w:lastColumn="0" w:oddVBand="0" w:evenVBand="0" w:oddHBand="1" w:evenHBand="0" w:firstRowFirstColumn="0" w:firstRowLastColumn="0" w:lastRowFirstColumn="0" w:lastRowLastColumn="0"/>
        </w:trPr>
        <w:tc>
          <w:tcPr>
            <w:tcW w:w="1345" w:type="dxa"/>
          </w:tcPr>
          <w:p w14:paraId="2CBA2DAD" w14:textId="016D93EA" w:rsidR="00466A33" w:rsidRPr="00466A33" w:rsidRDefault="00744A8A" w:rsidP="00077649">
            <w:pPr>
              <w:spacing w:beforeLines="80" w:before="192" w:afterLines="80" w:after="192"/>
            </w:pPr>
            <w:r>
              <w:lastRenderedPageBreak/>
              <w:t>0</w:t>
            </w:r>
            <w:r w:rsidR="00466A33" w:rsidRPr="00466A33">
              <w:t>3/</w:t>
            </w:r>
            <w:r>
              <w:t>0</w:t>
            </w:r>
            <w:r w:rsidR="00466A33" w:rsidRPr="00466A33">
              <w:t>9/2017</w:t>
            </w:r>
          </w:p>
        </w:tc>
        <w:tc>
          <w:tcPr>
            <w:tcW w:w="1080" w:type="dxa"/>
          </w:tcPr>
          <w:p w14:paraId="7D770A67" w14:textId="5B8A1AA6" w:rsidR="00466A33" w:rsidRPr="00466A33" w:rsidRDefault="00466A33" w:rsidP="00077649">
            <w:pPr>
              <w:spacing w:beforeLines="80" w:before="192" w:afterLines="80" w:after="192"/>
            </w:pPr>
            <w:r w:rsidRPr="00466A33">
              <w:t>3.3</w:t>
            </w:r>
          </w:p>
        </w:tc>
        <w:tc>
          <w:tcPr>
            <w:tcW w:w="1260" w:type="dxa"/>
          </w:tcPr>
          <w:p w14:paraId="5AD71956" w14:textId="5C2D459E" w:rsidR="00466A33" w:rsidRPr="00466A33" w:rsidRDefault="00466A33" w:rsidP="00077649">
            <w:pPr>
              <w:spacing w:beforeLines="80" w:before="192" w:afterLines="80" w:after="192"/>
            </w:pPr>
            <w:r w:rsidRPr="00466A33">
              <w:t>Appendix H</w:t>
            </w:r>
          </w:p>
        </w:tc>
        <w:tc>
          <w:tcPr>
            <w:tcW w:w="3960" w:type="dxa"/>
          </w:tcPr>
          <w:p w14:paraId="4FD4AD24" w14:textId="727292B1" w:rsidR="00466A33" w:rsidRPr="00466A33" w:rsidRDefault="00466A33">
            <w:pPr>
              <w:pStyle w:val="ListParagraph"/>
              <w:numPr>
                <w:ilvl w:val="0"/>
                <w:numId w:val="9"/>
              </w:numPr>
              <w:spacing w:beforeLines="80" w:before="192" w:afterLines="80" w:after="192"/>
              <w:ind w:left="426"/>
            </w:pPr>
            <w:r w:rsidRPr="5A96A1C2">
              <w:rPr>
                <w:lang w:val="en-US"/>
              </w:rPr>
              <w:t>Implementation Statement Differential changed back to “Yes” or “No” from “Low”, “Moderate” or “High”</w:t>
            </w:r>
            <w:r w:rsidR="000E5988">
              <w:rPr>
                <w:lang w:val="en-US"/>
              </w:rPr>
              <w:t xml:space="preserve"> (t</w:t>
            </w:r>
            <w:r w:rsidRPr="5A96A1C2">
              <w:rPr>
                <w:lang w:val="en-US"/>
              </w:rPr>
              <w:t>his changed the verbiage throughout Appendix H</w:t>
            </w:r>
            <w:r w:rsidR="000E5988">
              <w:rPr>
                <w:lang w:val="en-US"/>
              </w:rPr>
              <w:t>)</w:t>
            </w:r>
          </w:p>
          <w:p w14:paraId="08F3E544" w14:textId="3168FE38" w:rsidR="00466A33" w:rsidRPr="00466A33" w:rsidRDefault="00466A33">
            <w:pPr>
              <w:pStyle w:val="ListParagraph"/>
              <w:numPr>
                <w:ilvl w:val="0"/>
                <w:numId w:val="9"/>
              </w:numPr>
              <w:spacing w:beforeLines="80" w:before="192" w:afterLines="80" w:after="192"/>
              <w:ind w:left="426"/>
            </w:pPr>
            <w:r w:rsidRPr="00466A33">
              <w:t xml:space="preserve">Updated </w:t>
            </w:r>
            <w:r w:rsidR="000E5988">
              <w:t>t</w:t>
            </w:r>
            <w:r w:rsidRPr="00466A33">
              <w:t xml:space="preserve">able of </w:t>
            </w:r>
            <w:r w:rsidR="000E5988">
              <w:t>c</w:t>
            </w:r>
            <w:r w:rsidRPr="00466A33">
              <w:t>ontents to ensure pages numbers are current</w:t>
            </w:r>
          </w:p>
        </w:tc>
        <w:tc>
          <w:tcPr>
            <w:tcW w:w="1800" w:type="dxa"/>
          </w:tcPr>
          <w:p w14:paraId="0FAF2032" w14:textId="216F75E3" w:rsidR="00466A33" w:rsidRPr="00466A33" w:rsidRDefault="00466A33" w:rsidP="00077649">
            <w:pPr>
              <w:spacing w:beforeLines="80" w:before="192" w:afterLines="80" w:after="192"/>
            </w:pPr>
            <w:r w:rsidRPr="00466A33">
              <w:t xml:space="preserve">FedRAMP </w:t>
            </w:r>
          </w:p>
        </w:tc>
      </w:tr>
      <w:tr w:rsidR="00466A33" w:rsidRPr="00466A33" w14:paraId="47697E33" w14:textId="77777777" w:rsidTr="5A96A1C2">
        <w:trPr>
          <w:cnfStyle w:val="000000010000" w:firstRow="0" w:lastRow="0" w:firstColumn="0" w:lastColumn="0" w:oddVBand="0" w:evenVBand="0" w:oddHBand="0" w:evenHBand="1" w:firstRowFirstColumn="0" w:firstRowLastColumn="0" w:lastRowFirstColumn="0" w:lastRowLastColumn="0"/>
        </w:trPr>
        <w:tc>
          <w:tcPr>
            <w:tcW w:w="1345" w:type="dxa"/>
            <w:shd w:val="clear" w:color="auto" w:fill="FFFFFF" w:themeFill="background1"/>
          </w:tcPr>
          <w:p w14:paraId="55D77384" w14:textId="7790A0A1" w:rsidR="00466A33" w:rsidRPr="00466A33" w:rsidRDefault="00744A8A" w:rsidP="00077649">
            <w:pPr>
              <w:spacing w:beforeLines="80" w:before="192" w:afterLines="80" w:after="192"/>
            </w:pPr>
            <w:r>
              <w:t>0</w:t>
            </w:r>
            <w:r w:rsidR="00466A33" w:rsidRPr="00466A33">
              <w:t>6/</w:t>
            </w:r>
            <w:r>
              <w:t>0</w:t>
            </w:r>
            <w:r w:rsidR="00466A33" w:rsidRPr="00466A33">
              <w:t>6/2017</w:t>
            </w:r>
          </w:p>
        </w:tc>
        <w:tc>
          <w:tcPr>
            <w:tcW w:w="1080" w:type="dxa"/>
            <w:shd w:val="clear" w:color="auto" w:fill="FFFFFF" w:themeFill="background1"/>
          </w:tcPr>
          <w:p w14:paraId="45777B39" w14:textId="42E57C3F" w:rsidR="00466A33" w:rsidRPr="00466A33" w:rsidRDefault="00466A33" w:rsidP="00077649">
            <w:pPr>
              <w:spacing w:beforeLines="80" w:before="192" w:afterLines="80" w:after="192"/>
            </w:pPr>
            <w:r w:rsidRPr="00466A33">
              <w:t>3.3</w:t>
            </w:r>
          </w:p>
        </w:tc>
        <w:tc>
          <w:tcPr>
            <w:tcW w:w="1260" w:type="dxa"/>
            <w:shd w:val="clear" w:color="auto" w:fill="FFFFFF" w:themeFill="background1"/>
          </w:tcPr>
          <w:p w14:paraId="13BF259B" w14:textId="78DC4B55" w:rsidR="00466A33" w:rsidRPr="00466A33" w:rsidRDefault="00466A33" w:rsidP="00077649">
            <w:pPr>
              <w:spacing w:beforeLines="80" w:before="192" w:afterLines="80" w:after="192"/>
            </w:pPr>
            <w:r w:rsidRPr="00466A33">
              <w:t>Cover</w:t>
            </w:r>
          </w:p>
        </w:tc>
        <w:tc>
          <w:tcPr>
            <w:tcW w:w="3960" w:type="dxa"/>
            <w:shd w:val="clear" w:color="auto" w:fill="FFFFFF" w:themeFill="background1"/>
          </w:tcPr>
          <w:p w14:paraId="2712745E" w14:textId="364302E7" w:rsidR="00466A33" w:rsidRPr="00466A33" w:rsidRDefault="00466A33" w:rsidP="00077649">
            <w:pPr>
              <w:spacing w:beforeLines="80" w:before="192" w:afterLines="80" w:after="192"/>
            </w:pPr>
            <w:r w:rsidRPr="00466A33">
              <w:t>Updated logo</w:t>
            </w:r>
          </w:p>
        </w:tc>
        <w:tc>
          <w:tcPr>
            <w:tcW w:w="1800" w:type="dxa"/>
            <w:shd w:val="clear" w:color="auto" w:fill="FFFFFF" w:themeFill="background1"/>
          </w:tcPr>
          <w:p w14:paraId="0A06F173" w14:textId="300056EA" w:rsidR="00466A33" w:rsidRPr="00466A33" w:rsidRDefault="00466A33" w:rsidP="00077649">
            <w:pPr>
              <w:spacing w:beforeLines="80" w:before="192" w:afterLines="80" w:after="192"/>
            </w:pPr>
            <w:r w:rsidRPr="00466A33">
              <w:t xml:space="preserve">FedRAMP </w:t>
            </w:r>
          </w:p>
        </w:tc>
      </w:tr>
      <w:tr w:rsidR="00466A33" w:rsidRPr="00466A33" w14:paraId="0163A20B" w14:textId="77777777" w:rsidTr="006E0143">
        <w:trPr>
          <w:cnfStyle w:val="000000100000" w:firstRow="0" w:lastRow="0" w:firstColumn="0" w:lastColumn="0" w:oddVBand="0" w:evenVBand="0" w:oddHBand="1" w:evenHBand="0" w:firstRowFirstColumn="0" w:firstRowLastColumn="0" w:lastRowFirstColumn="0" w:lastRowLastColumn="0"/>
        </w:trPr>
        <w:tc>
          <w:tcPr>
            <w:tcW w:w="1345" w:type="dxa"/>
          </w:tcPr>
          <w:p w14:paraId="2889EAA6" w14:textId="43C16924" w:rsidR="00466A33" w:rsidRPr="00466A33" w:rsidRDefault="00744A8A" w:rsidP="00077649">
            <w:pPr>
              <w:spacing w:beforeLines="80" w:before="192" w:afterLines="80" w:after="192"/>
            </w:pPr>
            <w:r>
              <w:t>0</w:t>
            </w:r>
            <w:r w:rsidR="00466A33" w:rsidRPr="00466A33">
              <w:t>1/21/2022</w:t>
            </w:r>
          </w:p>
        </w:tc>
        <w:tc>
          <w:tcPr>
            <w:tcW w:w="1080" w:type="dxa"/>
          </w:tcPr>
          <w:p w14:paraId="4DFBA49E" w14:textId="0468E63F" w:rsidR="00466A33" w:rsidRPr="00466A33" w:rsidRDefault="00466A33" w:rsidP="00077649">
            <w:pPr>
              <w:spacing w:beforeLines="80" w:before="192" w:afterLines="80" w:after="192"/>
            </w:pPr>
            <w:r w:rsidRPr="00466A33">
              <w:t>3.3</w:t>
            </w:r>
          </w:p>
        </w:tc>
        <w:tc>
          <w:tcPr>
            <w:tcW w:w="1260" w:type="dxa"/>
          </w:tcPr>
          <w:p w14:paraId="49E711B9" w14:textId="4755BDD4" w:rsidR="00466A33" w:rsidRPr="00466A33" w:rsidRDefault="00466A33" w:rsidP="00077649">
            <w:pPr>
              <w:spacing w:beforeLines="80" w:before="192" w:afterLines="80" w:after="192"/>
            </w:pPr>
            <w:r w:rsidRPr="00466A33">
              <w:t>1,3,36</w:t>
            </w:r>
          </w:p>
        </w:tc>
        <w:tc>
          <w:tcPr>
            <w:tcW w:w="3960" w:type="dxa"/>
            <w:shd w:val="clear" w:color="auto" w:fill="F0F0F0"/>
          </w:tcPr>
          <w:p w14:paraId="409FB542" w14:textId="3CE0561C" w:rsidR="00466A33" w:rsidRPr="00466A33" w:rsidRDefault="00466A33" w:rsidP="00077649">
            <w:pPr>
              <w:spacing w:beforeLines="80" w:before="192" w:afterLines="80" w:after="192"/>
            </w:pPr>
            <w:r w:rsidRPr="00466A33">
              <w:t>Updated outdated links</w:t>
            </w:r>
          </w:p>
        </w:tc>
        <w:tc>
          <w:tcPr>
            <w:tcW w:w="1800" w:type="dxa"/>
          </w:tcPr>
          <w:p w14:paraId="49F970A7" w14:textId="04C12853" w:rsidR="00466A33" w:rsidRPr="00466A33" w:rsidRDefault="00466A33" w:rsidP="00077649">
            <w:pPr>
              <w:spacing w:beforeLines="80" w:before="192" w:afterLines="80" w:after="192"/>
            </w:pPr>
            <w:r w:rsidRPr="00466A33">
              <w:t xml:space="preserve">FedRAMP </w:t>
            </w:r>
          </w:p>
        </w:tc>
      </w:tr>
      <w:tr w:rsidR="00466A33" w:rsidRPr="00466A33" w14:paraId="7FFEF7CC" w14:textId="77777777" w:rsidTr="5A96A1C2">
        <w:trPr>
          <w:cnfStyle w:val="000000010000" w:firstRow="0" w:lastRow="0" w:firstColumn="0" w:lastColumn="0" w:oddVBand="0" w:evenVBand="0" w:oddHBand="0" w:evenHBand="1" w:firstRowFirstColumn="0" w:firstRowLastColumn="0" w:lastRowFirstColumn="0" w:lastRowLastColumn="0"/>
        </w:trPr>
        <w:tc>
          <w:tcPr>
            <w:tcW w:w="1345" w:type="dxa"/>
            <w:shd w:val="clear" w:color="auto" w:fill="auto"/>
          </w:tcPr>
          <w:p w14:paraId="275DDD3B" w14:textId="76981743" w:rsidR="00466A33" w:rsidRPr="00466A33" w:rsidRDefault="00744A8A" w:rsidP="00077649">
            <w:pPr>
              <w:spacing w:beforeLines="80" w:before="192" w:afterLines="80" w:after="192"/>
            </w:pPr>
            <w:r>
              <w:t>06/30/2023</w:t>
            </w:r>
          </w:p>
        </w:tc>
        <w:tc>
          <w:tcPr>
            <w:tcW w:w="1080" w:type="dxa"/>
            <w:shd w:val="clear" w:color="auto" w:fill="auto"/>
          </w:tcPr>
          <w:p w14:paraId="56FCEA9D" w14:textId="37148467" w:rsidR="00466A33" w:rsidRPr="00466A33" w:rsidRDefault="00466A33" w:rsidP="00077649">
            <w:pPr>
              <w:spacing w:beforeLines="80" w:before="192" w:afterLines="80" w:after="192"/>
            </w:pPr>
            <w:r w:rsidRPr="00466A33">
              <w:t>4.0</w:t>
            </w:r>
          </w:p>
        </w:tc>
        <w:tc>
          <w:tcPr>
            <w:tcW w:w="1260" w:type="dxa"/>
            <w:shd w:val="clear" w:color="auto" w:fill="auto"/>
          </w:tcPr>
          <w:p w14:paraId="3FC15C22" w14:textId="4E4C7D3B" w:rsidR="00466A33" w:rsidRPr="00466A33" w:rsidRDefault="00466A33" w:rsidP="00077649">
            <w:pPr>
              <w:spacing w:beforeLines="80" w:before="192" w:afterLines="80" w:after="192"/>
            </w:pPr>
            <w:r w:rsidRPr="00466A33">
              <w:t>All</w:t>
            </w:r>
          </w:p>
        </w:tc>
        <w:tc>
          <w:tcPr>
            <w:tcW w:w="3960" w:type="dxa"/>
            <w:shd w:val="clear" w:color="auto" w:fill="auto"/>
          </w:tcPr>
          <w:p w14:paraId="3F827094" w14:textId="77777777" w:rsidR="000E5988" w:rsidRPr="000E5988" w:rsidRDefault="00744A8A" w:rsidP="000E5988">
            <w:pPr>
              <w:pStyle w:val="ListParagraph"/>
              <w:numPr>
                <w:ilvl w:val="0"/>
                <w:numId w:val="9"/>
              </w:numPr>
              <w:spacing w:beforeLines="80" w:before="192" w:afterLines="80" w:after="192"/>
              <w:ind w:left="426"/>
              <w:rPr>
                <w:lang w:val="en-US"/>
              </w:rPr>
            </w:pPr>
            <w:r w:rsidRPr="000E5988">
              <w:rPr>
                <w:lang w:val="en-US"/>
              </w:rPr>
              <w:t xml:space="preserve">Initial publication after combining the </w:t>
            </w:r>
            <w:r w:rsidR="000E5988" w:rsidRPr="000E5988">
              <w:rPr>
                <w:lang w:val="en-US"/>
              </w:rPr>
              <w:t>i</w:t>
            </w:r>
            <w:r w:rsidRPr="000E5988">
              <w:rPr>
                <w:lang w:val="en-US"/>
              </w:rPr>
              <w:t xml:space="preserve">nitial and </w:t>
            </w:r>
            <w:r w:rsidR="000E5988" w:rsidRPr="000E5988">
              <w:rPr>
                <w:lang w:val="en-US"/>
              </w:rPr>
              <w:t>a</w:t>
            </w:r>
            <w:r w:rsidRPr="000E5988">
              <w:rPr>
                <w:lang w:val="en-US"/>
              </w:rPr>
              <w:t>nnual SAR templates</w:t>
            </w:r>
          </w:p>
          <w:p w14:paraId="77F848AF" w14:textId="7D7B9A8A" w:rsidR="00466A33" w:rsidRPr="00466A33" w:rsidRDefault="00744A8A" w:rsidP="000E5988">
            <w:pPr>
              <w:pStyle w:val="ListParagraph"/>
              <w:numPr>
                <w:ilvl w:val="0"/>
                <w:numId w:val="9"/>
              </w:numPr>
              <w:spacing w:beforeLines="80" w:before="192" w:afterLines="80" w:after="192"/>
              <w:ind w:left="426"/>
            </w:pPr>
            <w:r w:rsidRPr="000E5988">
              <w:rPr>
                <w:lang w:val="en-US"/>
              </w:rPr>
              <w:t xml:space="preserve">New template can also be used for </w:t>
            </w:r>
            <w:r w:rsidR="000E5988">
              <w:rPr>
                <w:lang w:val="en-US"/>
              </w:rPr>
              <w:t>s</w:t>
            </w:r>
            <w:r w:rsidRPr="000E5988">
              <w:rPr>
                <w:lang w:val="en-US"/>
              </w:rPr>
              <w:t xml:space="preserve">ignificant </w:t>
            </w:r>
            <w:r w:rsidR="000E5988">
              <w:rPr>
                <w:lang w:val="en-US"/>
              </w:rPr>
              <w:t>c</w:t>
            </w:r>
            <w:r w:rsidRPr="000E5988">
              <w:rPr>
                <w:lang w:val="en-US"/>
              </w:rPr>
              <w:t xml:space="preserve">hange </w:t>
            </w:r>
            <w:r w:rsidR="000E5988">
              <w:rPr>
                <w:lang w:val="en-US"/>
              </w:rPr>
              <w:t>r</w:t>
            </w:r>
            <w:r w:rsidRPr="000E5988">
              <w:rPr>
                <w:lang w:val="en-US"/>
              </w:rPr>
              <w:t>equests</w:t>
            </w:r>
          </w:p>
        </w:tc>
        <w:tc>
          <w:tcPr>
            <w:tcW w:w="1800" w:type="dxa"/>
            <w:shd w:val="clear" w:color="auto" w:fill="auto"/>
          </w:tcPr>
          <w:p w14:paraId="0B095498" w14:textId="5C9292F7" w:rsidR="00466A33" w:rsidRPr="00466A33" w:rsidRDefault="00744A8A" w:rsidP="00077649">
            <w:pPr>
              <w:spacing w:beforeLines="80" w:before="192" w:afterLines="80" w:after="192"/>
            </w:pPr>
            <w:r>
              <w:t xml:space="preserve">FedRAMP </w:t>
            </w:r>
          </w:p>
        </w:tc>
      </w:tr>
      <w:tr w:rsidR="00A71953" w:rsidRPr="00466A33" w14:paraId="3D6D1FD3" w14:textId="77777777" w:rsidTr="006E0143">
        <w:trPr>
          <w:cnfStyle w:val="000000100000" w:firstRow="0" w:lastRow="0" w:firstColumn="0" w:lastColumn="0" w:oddVBand="0" w:evenVBand="0" w:oddHBand="1" w:evenHBand="0" w:firstRowFirstColumn="0" w:firstRowLastColumn="0" w:lastRowFirstColumn="0" w:lastRowLastColumn="0"/>
        </w:trPr>
        <w:tc>
          <w:tcPr>
            <w:tcW w:w="1345" w:type="dxa"/>
            <w:shd w:val="clear" w:color="auto" w:fill="F0F0F0"/>
          </w:tcPr>
          <w:p w14:paraId="319FEDF7" w14:textId="0CE2AD23" w:rsidR="00A71953" w:rsidRDefault="00CF621E" w:rsidP="00077649">
            <w:pPr>
              <w:spacing w:beforeLines="80" w:before="192" w:afterLines="80" w:after="192"/>
            </w:pPr>
            <w:r>
              <w:t>12</w:t>
            </w:r>
            <w:r w:rsidR="00A71953">
              <w:t>/</w:t>
            </w:r>
            <w:r>
              <w:t>06</w:t>
            </w:r>
            <w:r w:rsidR="00A71953">
              <w:t>/2024</w:t>
            </w:r>
          </w:p>
        </w:tc>
        <w:tc>
          <w:tcPr>
            <w:tcW w:w="1080" w:type="dxa"/>
            <w:shd w:val="clear" w:color="auto" w:fill="F0F0F0"/>
          </w:tcPr>
          <w:p w14:paraId="5F78E004" w14:textId="7F1AF9DA" w:rsidR="00A71953" w:rsidRDefault="00E5219C" w:rsidP="00077649">
            <w:pPr>
              <w:spacing w:beforeLines="80" w:before="192" w:afterLines="80" w:after="192"/>
            </w:pPr>
            <w:r>
              <w:t>5.0</w:t>
            </w:r>
          </w:p>
        </w:tc>
        <w:tc>
          <w:tcPr>
            <w:tcW w:w="1260" w:type="dxa"/>
            <w:shd w:val="clear" w:color="auto" w:fill="F0F0F0"/>
          </w:tcPr>
          <w:p w14:paraId="3B36D7A3" w14:textId="08F7C4C0" w:rsidR="00A71953" w:rsidRDefault="00E5219C" w:rsidP="00077649">
            <w:pPr>
              <w:spacing w:beforeLines="80" w:before="192" w:afterLines="80" w:after="192"/>
            </w:pPr>
            <w:r>
              <w:t xml:space="preserve">All </w:t>
            </w:r>
          </w:p>
        </w:tc>
        <w:tc>
          <w:tcPr>
            <w:tcW w:w="3960" w:type="dxa"/>
            <w:shd w:val="clear" w:color="auto" w:fill="F0F0F0"/>
          </w:tcPr>
          <w:p w14:paraId="58940ECA" w14:textId="77777777" w:rsidR="000E5988" w:rsidRPr="000E5988" w:rsidRDefault="00E5219C" w:rsidP="000E5988">
            <w:pPr>
              <w:pStyle w:val="ListParagraph"/>
              <w:numPr>
                <w:ilvl w:val="0"/>
                <w:numId w:val="9"/>
              </w:numPr>
              <w:spacing w:beforeLines="80" w:before="192" w:afterLines="80" w:after="192"/>
              <w:ind w:left="426"/>
              <w:rPr>
                <w:lang w:val="en-US"/>
              </w:rPr>
            </w:pPr>
            <w:r w:rsidRPr="000E5988">
              <w:rPr>
                <w:lang w:val="en-US"/>
              </w:rPr>
              <w:t xml:space="preserve">Updated to </w:t>
            </w:r>
            <w:r w:rsidR="00340C96" w:rsidRPr="000E5988">
              <w:rPr>
                <w:lang w:val="en-US"/>
              </w:rPr>
              <w:t>remove JAB and PMO references</w:t>
            </w:r>
          </w:p>
          <w:p w14:paraId="41FB6E6B" w14:textId="5C31DC3A" w:rsidR="00A71953" w:rsidRDefault="00A71953" w:rsidP="000E5988">
            <w:pPr>
              <w:pStyle w:val="ListParagraph"/>
              <w:numPr>
                <w:ilvl w:val="0"/>
                <w:numId w:val="9"/>
              </w:numPr>
              <w:spacing w:beforeLines="80" w:before="192" w:afterLines="80" w:after="192"/>
              <w:ind w:left="426"/>
            </w:pPr>
            <w:r w:rsidRPr="000E5988">
              <w:rPr>
                <w:lang w:val="en-US"/>
              </w:rPr>
              <w:t xml:space="preserve">Added columns to Table 2-2 Summary of Risks That Remained Open at the Conclusion of </w:t>
            </w:r>
            <w:r w:rsidR="005D6F02" w:rsidRPr="000E5988">
              <w:rPr>
                <w:lang w:val="en-US"/>
              </w:rPr>
              <w:t>th</w:t>
            </w:r>
            <w:r w:rsidR="005D6F02">
              <w:rPr>
                <w:lang w:val="en-US"/>
              </w:rPr>
              <w:t>e</w:t>
            </w:r>
            <w:r w:rsidR="005D6F02" w:rsidRPr="000E5988">
              <w:rPr>
                <w:lang w:val="en-US"/>
              </w:rPr>
              <w:t xml:space="preserve"> </w:t>
            </w:r>
            <w:r w:rsidRPr="000E5988">
              <w:rPr>
                <w:lang w:val="en-US"/>
              </w:rPr>
              <w:t>Assessment</w:t>
            </w:r>
          </w:p>
        </w:tc>
        <w:tc>
          <w:tcPr>
            <w:tcW w:w="1800" w:type="dxa"/>
            <w:shd w:val="clear" w:color="auto" w:fill="F0F0F0"/>
          </w:tcPr>
          <w:p w14:paraId="65C7CF6B" w14:textId="2789C7F1" w:rsidR="00A71953" w:rsidRDefault="00A71953" w:rsidP="00077649">
            <w:pPr>
              <w:spacing w:beforeLines="80" w:before="192" w:afterLines="80" w:after="192"/>
            </w:pPr>
            <w:r>
              <w:t>FedRAMP</w:t>
            </w:r>
          </w:p>
        </w:tc>
      </w:tr>
    </w:tbl>
    <w:p w14:paraId="79CF4BD2" w14:textId="77777777" w:rsidR="00450601" w:rsidRPr="00466A33" w:rsidRDefault="00450601" w:rsidP="00450601"/>
    <w:p w14:paraId="209CBBD7" w14:textId="77777777" w:rsidR="00450601" w:rsidRPr="00466A33" w:rsidRDefault="00450601" w:rsidP="00450601">
      <w:pPr>
        <w:rPr>
          <w:b/>
          <w:bCs/>
          <w:sz w:val="24"/>
          <w:szCs w:val="21"/>
          <w:lang w:val="en-US"/>
        </w:rPr>
      </w:pPr>
      <w:r w:rsidRPr="00466A33">
        <w:rPr>
          <w:b/>
          <w:bCs/>
          <w:sz w:val="24"/>
          <w:szCs w:val="21"/>
          <w:lang w:val="en-US"/>
        </w:rPr>
        <w:t>How to contact us</w:t>
      </w:r>
    </w:p>
    <w:p w14:paraId="37DEE705" w14:textId="77777777" w:rsidR="00450601" w:rsidRPr="00466A33" w:rsidRDefault="00450601" w:rsidP="00450601">
      <w:pPr>
        <w:rPr>
          <w:lang w:val="en-US"/>
        </w:rPr>
      </w:pPr>
      <w:r w:rsidRPr="00466A33">
        <w:rPr>
          <w:lang w:val="en-US"/>
        </w:rPr>
        <w:t xml:space="preserve">For questions about FedRAMP, or for questions about this document including how to use it, contact </w:t>
      </w:r>
      <w:hyperlink r:id="rId14">
        <w:r w:rsidRPr="00466A33">
          <w:rPr>
            <w:rStyle w:val="Hyperlink"/>
          </w:rPr>
          <w:t>info@FedRAMP.gov.</w:t>
        </w:r>
      </w:hyperlink>
      <w:r w:rsidRPr="00466A33">
        <w:rPr>
          <w:rStyle w:val="Hyperlink"/>
        </w:rPr>
        <w:t xml:space="preserve">  </w:t>
      </w:r>
    </w:p>
    <w:p w14:paraId="7D518254" w14:textId="77777777" w:rsidR="00450601" w:rsidRPr="00466A33" w:rsidRDefault="00450601" w:rsidP="00450601">
      <w:pPr>
        <w:rPr>
          <w:lang w:val="en-US"/>
        </w:rPr>
      </w:pPr>
      <w:r w:rsidRPr="00466A33">
        <w:rPr>
          <w:lang w:val="en-US"/>
        </w:rPr>
        <w:t xml:space="preserve">For more information about FedRAMP, see </w:t>
      </w:r>
      <w:hyperlink r:id="rId15">
        <w:r w:rsidRPr="00466A33">
          <w:rPr>
            <w:rStyle w:val="Hyperlink"/>
          </w:rPr>
          <w:t>www.FedRAMP.gov</w:t>
        </w:r>
      </w:hyperlink>
      <w:r w:rsidRPr="00466A33">
        <w:rPr>
          <w:rStyle w:val="Hyperlink"/>
        </w:rPr>
        <w:t>.</w:t>
      </w:r>
      <w:r w:rsidRPr="00466A33">
        <w:rPr>
          <w:lang w:val="en-US"/>
        </w:rPr>
        <w:t xml:space="preserve"> </w:t>
      </w:r>
    </w:p>
    <w:p w14:paraId="3B01D6B6" w14:textId="77777777" w:rsidR="00450601" w:rsidRPr="00466A33" w:rsidRDefault="00450601" w:rsidP="00450601">
      <w:pPr>
        <w:pStyle w:val="deletioninstruction"/>
      </w:pPr>
      <w:r w:rsidRPr="00466A33">
        <w:t>Delete this Template Revision History page and all other instructional text from your final version of this document.</w:t>
      </w:r>
    </w:p>
    <w:p w14:paraId="1512F6BC" w14:textId="73CA1DC3" w:rsidR="004877E5" w:rsidRPr="00466A33" w:rsidRDefault="00450601">
      <w:r w:rsidRPr="00466A33">
        <w:rPr>
          <w:i/>
          <w:color w:val="CC1D1D" w:themeColor="accent3"/>
          <w:lang w:val="en-US"/>
        </w:rPr>
        <w:br w:type="page"/>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5FA613A5" w14:textId="77777777" w:rsidTr="5A96A1C2">
        <w:trPr>
          <w:trHeight w:val="198"/>
        </w:trPr>
        <w:tc>
          <w:tcPr>
            <w:tcW w:w="9350" w:type="dxa"/>
            <w:shd w:val="clear" w:color="auto" w:fill="19447F" w:themeFill="accent2"/>
          </w:tcPr>
          <w:p w14:paraId="7FE7188F" w14:textId="77777777" w:rsidR="00450601" w:rsidRPr="00466A33" w:rsidRDefault="00450601" w:rsidP="00703332">
            <w:pPr>
              <w:spacing w:after="80" w:line="276" w:lineRule="auto"/>
              <w:rPr>
                <w:b/>
                <w:i/>
                <w:color w:val="FFFFFF"/>
              </w:rPr>
            </w:pPr>
            <w:r w:rsidRPr="00466A33">
              <w:rPr>
                <w:b/>
                <w:i/>
                <w:color w:val="FFFFFF"/>
              </w:rPr>
              <w:lastRenderedPageBreak/>
              <w:t>Instructions:</w:t>
            </w:r>
          </w:p>
        </w:tc>
      </w:tr>
      <w:tr w:rsidR="00450601" w:rsidRPr="00466A33" w14:paraId="38B27147" w14:textId="77777777" w:rsidTr="5A96A1C2">
        <w:trPr>
          <w:trHeight w:val="2395"/>
        </w:trPr>
        <w:tc>
          <w:tcPr>
            <w:tcW w:w="9350" w:type="dxa"/>
            <w:shd w:val="clear" w:color="auto" w:fill="F2F2F2" w:themeFill="background1" w:themeFillShade="F2"/>
          </w:tcPr>
          <w:p w14:paraId="014C77CA" w14:textId="4C93D9D4" w:rsidR="00450601" w:rsidRPr="00466A33" w:rsidRDefault="00450601" w:rsidP="5A96A1C2">
            <w:pPr>
              <w:rPr>
                <w:i/>
                <w:iCs/>
                <w:color w:val="444444"/>
                <w:lang w:val="en-US"/>
              </w:rPr>
            </w:pPr>
            <w:r w:rsidRPr="5A96A1C2">
              <w:rPr>
                <w:i/>
                <w:iCs/>
                <w:color w:val="444444"/>
                <w:lang w:val="en-US"/>
              </w:rPr>
              <w:t xml:space="preserve">Once you begin populating this template, it becomes a draft document. The word “template” can be removed wherever it appears. As you populate the template, you will see prompts to enter different types of data. There are no repeatable fields in this template. </w:t>
            </w:r>
            <w:r w:rsidR="00847F11" w:rsidRPr="5A96A1C2">
              <w:rPr>
                <w:i/>
                <w:iCs/>
                <w:color w:val="444444"/>
                <w:lang w:val="en-US"/>
              </w:rPr>
              <w:t>E</w:t>
            </w:r>
            <w:r w:rsidRPr="5A96A1C2">
              <w:rPr>
                <w:i/>
                <w:iCs/>
                <w:color w:val="444444"/>
                <w:lang w:val="en-US"/>
              </w:rPr>
              <w:t>nsure that the inserted wording makes grammatical sense, as applied. You may, if desired, use Word’s “Find” and “Replace with” function to replace repeated terms, such as &lt;Insert CSO Name&gt;.</w:t>
            </w:r>
          </w:p>
          <w:p w14:paraId="6D9C2180" w14:textId="77777777" w:rsidR="00450601" w:rsidRPr="00466A33" w:rsidRDefault="00450601" w:rsidP="00703332">
            <w:pPr>
              <w:rPr>
                <w:b/>
                <w:i/>
                <w:color w:val="444444"/>
              </w:rPr>
            </w:pPr>
            <w:r w:rsidRPr="00466A33">
              <w:rPr>
                <w:b/>
                <w:i/>
                <w:color w:val="444444"/>
              </w:rPr>
              <w:t>CSP Name, CSO Name</w:t>
            </w:r>
          </w:p>
          <w:p w14:paraId="19BE1048" w14:textId="77777777" w:rsidR="00450601" w:rsidRPr="00466A33" w:rsidRDefault="00450601" w:rsidP="00703332">
            <w:pPr>
              <w:rPr>
                <w:i/>
                <w:color w:val="444444"/>
              </w:rPr>
            </w:pPr>
            <w:r w:rsidRPr="00466A33">
              <w:rPr>
                <w:i/>
                <w:color w:val="444444"/>
              </w:rPr>
              <w:t>Ensure the CSP Name and CSO Name match the SSP entries.</w:t>
            </w:r>
          </w:p>
          <w:p w14:paraId="2B836503" w14:textId="77777777" w:rsidR="00450601" w:rsidRPr="00466A33" w:rsidRDefault="00450601" w:rsidP="00703332">
            <w:pPr>
              <w:rPr>
                <w:b/>
                <w:i/>
                <w:color w:val="444444"/>
              </w:rPr>
            </w:pPr>
            <w:r w:rsidRPr="00466A33">
              <w:rPr>
                <w:b/>
                <w:i/>
                <w:color w:val="444444"/>
              </w:rPr>
              <w:t>Date Selection</w:t>
            </w:r>
          </w:p>
          <w:p w14:paraId="6AC6E92C" w14:textId="407BA641" w:rsidR="00450601" w:rsidRPr="00466A33" w:rsidRDefault="00450601" w:rsidP="5A96A1C2">
            <w:pPr>
              <w:rPr>
                <w:i/>
                <w:iCs/>
                <w:color w:val="444444"/>
                <w:lang w:val="en-US"/>
              </w:rPr>
            </w:pPr>
            <w:r w:rsidRPr="5A96A1C2">
              <w:rPr>
                <w:i/>
                <w:iCs/>
                <w:color w:val="444444"/>
                <w:lang w:val="en-US"/>
              </w:rPr>
              <w:t>Data items that must contain a date should be in this format</w:t>
            </w:r>
            <w:r w:rsidR="00E73F9B">
              <w:rPr>
                <w:i/>
                <w:iCs/>
                <w:color w:val="444444"/>
                <w:lang w:val="en-US"/>
              </w:rPr>
              <w:t>:</w:t>
            </w:r>
            <w:r w:rsidRPr="5A96A1C2">
              <w:rPr>
                <w:i/>
                <w:iCs/>
                <w:color w:val="444444"/>
                <w:lang w:val="en-US"/>
              </w:rPr>
              <w:t xml:space="preserve"> mm/dd/</w:t>
            </w:r>
            <w:proofErr w:type="spellStart"/>
            <w:r w:rsidRPr="5A96A1C2">
              <w:rPr>
                <w:i/>
                <w:iCs/>
                <w:color w:val="444444"/>
                <w:lang w:val="en-US"/>
              </w:rPr>
              <w:t>yyyy</w:t>
            </w:r>
            <w:proofErr w:type="spellEnd"/>
            <w:r w:rsidRPr="5A96A1C2">
              <w:rPr>
                <w:i/>
                <w:iCs/>
                <w:color w:val="444444"/>
                <w:lang w:val="en-US"/>
              </w:rPr>
              <w:t>.</w:t>
            </w:r>
          </w:p>
          <w:p w14:paraId="6BEC28F4" w14:textId="77777777" w:rsidR="00450601" w:rsidRPr="00466A33" w:rsidRDefault="00450601" w:rsidP="00703332">
            <w:pPr>
              <w:rPr>
                <w:b/>
                <w:i/>
                <w:color w:val="444444"/>
              </w:rPr>
            </w:pPr>
            <w:r w:rsidRPr="00466A33">
              <w:rPr>
                <w:b/>
                <w:i/>
                <w:color w:val="444444"/>
              </w:rPr>
              <w:t>Item Choice</w:t>
            </w:r>
          </w:p>
          <w:p w14:paraId="5DEC0F1A" w14:textId="77777777" w:rsidR="00450601" w:rsidRPr="00466A33" w:rsidRDefault="00450601" w:rsidP="5A96A1C2">
            <w:pPr>
              <w:rPr>
                <w:i/>
                <w:iCs/>
                <w:color w:val="444444"/>
                <w:lang w:val="en-US"/>
              </w:rPr>
            </w:pPr>
            <w:r w:rsidRPr="5A96A1C2">
              <w:rPr>
                <w:i/>
                <w:iCs/>
                <w:color w:val="444444"/>
                <w:lang w:val="en-US"/>
              </w:rPr>
              <w:t>Data items may have a limited number of value choices, noted in parentheses as choices. Insert the appropriate choice.</w:t>
            </w:r>
          </w:p>
          <w:p w14:paraId="440C3907" w14:textId="77777777" w:rsidR="00450601" w:rsidRPr="00466A33" w:rsidRDefault="00450601" w:rsidP="00703332">
            <w:pPr>
              <w:rPr>
                <w:b/>
                <w:i/>
                <w:color w:val="444444"/>
              </w:rPr>
            </w:pPr>
            <w:r w:rsidRPr="00466A33">
              <w:rPr>
                <w:b/>
                <w:i/>
                <w:color w:val="444444"/>
              </w:rPr>
              <w:t>Instructional Text</w:t>
            </w:r>
          </w:p>
          <w:p w14:paraId="23F4A08E" w14:textId="77777777" w:rsidR="00450601" w:rsidRPr="00466A33" w:rsidRDefault="00450601" w:rsidP="00703332">
            <w:pPr>
              <w:rPr>
                <w:i/>
                <w:color w:val="444444"/>
              </w:rPr>
            </w:pPr>
            <w:r w:rsidRPr="00466A33">
              <w:rPr>
                <w:i/>
                <w:color w:val="444444"/>
              </w:rPr>
              <w:t>Instructions are provided to help you understand how to complete this SAR template. Before delivering the final version of the SAR, be sure to delete all instructional text.</w:t>
            </w:r>
          </w:p>
          <w:p w14:paraId="7AC02759" w14:textId="77777777" w:rsidR="00450601" w:rsidRPr="00466A33" w:rsidRDefault="00450601" w:rsidP="00450601">
            <w:pPr>
              <w:pStyle w:val="deletioninstruction"/>
              <w:rPr>
                <w:b/>
              </w:rPr>
            </w:pPr>
            <w:r w:rsidRPr="00466A33">
              <w:t>Delete this instructional text from your final version of this document.</w:t>
            </w:r>
          </w:p>
        </w:tc>
      </w:tr>
    </w:tbl>
    <w:p w14:paraId="49285B74" w14:textId="77777777" w:rsidR="00F457D3" w:rsidRPr="00466A33" w:rsidRDefault="00F457D3"/>
    <w:p w14:paraId="6142003B" w14:textId="77777777" w:rsidR="00450601" w:rsidRPr="00466A33" w:rsidRDefault="00450601">
      <w:pPr>
        <w:rPr>
          <w:sz w:val="32"/>
          <w:szCs w:val="32"/>
        </w:rPr>
      </w:pPr>
      <w:r w:rsidRPr="00466A33">
        <w:br w:type="page"/>
      </w:r>
    </w:p>
    <w:p w14:paraId="097AA373" w14:textId="77777777" w:rsidR="00450601" w:rsidRPr="00466A33" w:rsidRDefault="00450601" w:rsidP="00450601">
      <w:pPr>
        <w:pStyle w:val="IntroHeading2"/>
        <w:numPr>
          <w:ilvl w:val="0"/>
          <w:numId w:val="0"/>
        </w:numPr>
        <w:ind w:left="576" w:hanging="576"/>
      </w:pPr>
      <w:r w:rsidRPr="00466A33">
        <w:lastRenderedPageBreak/>
        <w:t>Prepared by</w:t>
      </w:r>
    </w:p>
    <w:tbl>
      <w:tblPr>
        <w:tblStyle w:val="FedRAMP"/>
        <w:tblW w:w="9445" w:type="dxa"/>
        <w:tblLayout w:type="fixed"/>
        <w:tblLook w:val="0420" w:firstRow="1" w:lastRow="0" w:firstColumn="0" w:lastColumn="0" w:noHBand="0" w:noVBand="1"/>
      </w:tblPr>
      <w:tblGrid>
        <w:gridCol w:w="2425"/>
        <w:gridCol w:w="7020"/>
      </w:tblGrid>
      <w:tr w:rsidR="00450601" w:rsidRPr="00466A33" w14:paraId="7F7E985E"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0DD291A" w14:textId="77777777" w:rsidR="00450601" w:rsidRPr="00466A33" w:rsidRDefault="00450601" w:rsidP="00703332">
            <w:pPr>
              <w:spacing w:before="80" w:after="80" w:line="288" w:lineRule="auto"/>
              <w:rPr>
                <w:rFonts w:ascii="Arial" w:hAnsi="Arial"/>
              </w:rPr>
            </w:pPr>
            <w:r w:rsidRPr="00466A33">
              <w:rPr>
                <w:rFonts w:ascii="Arial" w:hAnsi="Arial"/>
                <w:bCs/>
              </w:rPr>
              <w:t>Identification of Organization that Prepared this Document</w:t>
            </w:r>
          </w:p>
        </w:tc>
      </w:tr>
      <w:tr w:rsidR="00450601" w:rsidRPr="00466A33" w14:paraId="0BC788A9"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36A84AC1" w14:textId="77777777" w:rsidR="00450601" w:rsidRPr="00466A33" w:rsidRDefault="00450601" w:rsidP="00703332">
            <w:pPr>
              <w:spacing w:before="80" w:after="80" w:line="288" w:lineRule="auto"/>
            </w:pPr>
            <w:r w:rsidRPr="00466A33">
              <w:rPr>
                <w:b/>
                <w:bCs/>
                <w:sz w:val="20"/>
              </w:rPr>
              <w:t>Organization Name</w:t>
            </w:r>
          </w:p>
        </w:tc>
        <w:tc>
          <w:tcPr>
            <w:tcW w:w="7020" w:type="dxa"/>
          </w:tcPr>
          <w:p w14:paraId="7148AAA6" w14:textId="1DDC87E3" w:rsidR="00450601" w:rsidRPr="00466A33" w:rsidRDefault="00450601" w:rsidP="00703332">
            <w:pPr>
              <w:spacing w:before="80" w:after="80" w:line="288" w:lineRule="auto"/>
            </w:pPr>
            <w:r w:rsidRPr="00466A33">
              <w:rPr>
                <w:sz w:val="20"/>
              </w:rPr>
              <w:t>&lt;Enter Company/Organization&gt;</w:t>
            </w:r>
          </w:p>
        </w:tc>
      </w:tr>
      <w:tr w:rsidR="00450601" w:rsidRPr="00466A33" w14:paraId="7BE3B5F7"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00D273AB" w14:textId="77777777" w:rsidR="00450601" w:rsidRPr="00466A33" w:rsidRDefault="00450601" w:rsidP="00703332">
            <w:pPr>
              <w:spacing w:before="80" w:after="80" w:line="288" w:lineRule="auto"/>
              <w:rPr>
                <w:rFonts w:eastAsia="Times New Roman"/>
                <w:sz w:val="24"/>
                <w:szCs w:val="24"/>
              </w:rPr>
            </w:pPr>
            <w:r w:rsidRPr="00466A33">
              <w:rPr>
                <w:b/>
                <w:bCs/>
                <w:sz w:val="20"/>
              </w:rPr>
              <w:t>Street Address</w:t>
            </w:r>
          </w:p>
        </w:tc>
        <w:tc>
          <w:tcPr>
            <w:tcW w:w="7020" w:type="dxa"/>
          </w:tcPr>
          <w:p w14:paraId="24AC2A69" w14:textId="77777777" w:rsidR="00450601" w:rsidRPr="00466A33" w:rsidRDefault="00450601" w:rsidP="00703332">
            <w:pPr>
              <w:spacing w:before="80" w:after="80" w:line="288" w:lineRule="auto"/>
            </w:pPr>
            <w:r w:rsidRPr="00466A33">
              <w:rPr>
                <w:sz w:val="20"/>
              </w:rPr>
              <w:t>&lt;Enter Street Address&gt;</w:t>
            </w:r>
          </w:p>
        </w:tc>
      </w:tr>
      <w:tr w:rsidR="00450601" w:rsidRPr="00466A33" w14:paraId="5CF5059E"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9C8B66F" w14:textId="77777777" w:rsidR="00450601" w:rsidRPr="00466A33" w:rsidRDefault="00450601" w:rsidP="00703332">
            <w:pPr>
              <w:spacing w:before="80" w:after="80" w:line="288" w:lineRule="auto"/>
              <w:rPr>
                <w:rFonts w:eastAsia="Times New Roman"/>
                <w:sz w:val="24"/>
                <w:szCs w:val="24"/>
              </w:rPr>
            </w:pPr>
            <w:r w:rsidRPr="00466A33">
              <w:rPr>
                <w:b/>
                <w:bCs/>
                <w:sz w:val="20"/>
              </w:rPr>
              <w:t>Suite/Room/Building</w:t>
            </w:r>
          </w:p>
        </w:tc>
        <w:tc>
          <w:tcPr>
            <w:tcW w:w="7020" w:type="dxa"/>
          </w:tcPr>
          <w:p w14:paraId="540B9F8F" w14:textId="77777777" w:rsidR="00450601" w:rsidRPr="00466A33" w:rsidRDefault="00450601" w:rsidP="00703332">
            <w:pPr>
              <w:spacing w:before="80" w:after="80" w:line="288" w:lineRule="auto"/>
            </w:pPr>
            <w:r w:rsidRPr="00466A33">
              <w:rPr>
                <w:sz w:val="20"/>
              </w:rPr>
              <w:t>&lt;Enter Suite/Room/Building&gt;</w:t>
            </w:r>
          </w:p>
        </w:tc>
      </w:tr>
      <w:tr w:rsidR="00450601" w:rsidRPr="00466A33" w14:paraId="1050A38F"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3EE561FB" w14:textId="77777777" w:rsidR="00450601" w:rsidRPr="00466A33" w:rsidRDefault="00450601" w:rsidP="00703332">
            <w:pPr>
              <w:spacing w:before="80" w:after="80" w:line="288" w:lineRule="auto"/>
            </w:pPr>
            <w:r w:rsidRPr="00466A33">
              <w:rPr>
                <w:b/>
                <w:bCs/>
                <w:sz w:val="20"/>
              </w:rPr>
              <w:t>City, State Zip</w:t>
            </w:r>
          </w:p>
        </w:tc>
        <w:tc>
          <w:tcPr>
            <w:tcW w:w="7020" w:type="dxa"/>
          </w:tcPr>
          <w:p w14:paraId="00EC9D06" w14:textId="5381BCFA" w:rsidR="00450601" w:rsidRPr="00466A33" w:rsidRDefault="00450601" w:rsidP="00703332">
            <w:pPr>
              <w:spacing w:before="80" w:after="80" w:line="288" w:lineRule="auto"/>
            </w:pPr>
            <w:r w:rsidRPr="00466A33">
              <w:rPr>
                <w:sz w:val="20"/>
              </w:rPr>
              <w:t xml:space="preserve">&lt;Enter </w:t>
            </w:r>
            <w:r w:rsidR="00B12A80" w:rsidRPr="00466A33">
              <w:rPr>
                <w:sz w:val="20"/>
              </w:rPr>
              <w:t>City, State</w:t>
            </w:r>
            <w:r w:rsidR="004067A0">
              <w:rPr>
                <w:sz w:val="20"/>
              </w:rPr>
              <w:t>,</w:t>
            </w:r>
            <w:r w:rsidR="00B12A80" w:rsidRPr="00466A33">
              <w:rPr>
                <w:sz w:val="20"/>
              </w:rPr>
              <w:t xml:space="preserve"> and </w:t>
            </w:r>
            <w:r w:rsidRPr="00466A33">
              <w:rPr>
                <w:sz w:val="20"/>
              </w:rPr>
              <w:t>Zip Code&gt;</w:t>
            </w:r>
          </w:p>
        </w:tc>
      </w:tr>
    </w:tbl>
    <w:p w14:paraId="009F5728" w14:textId="77777777" w:rsidR="00450601" w:rsidRPr="00466A33" w:rsidRDefault="00450601" w:rsidP="00450601">
      <w:pPr>
        <w:pStyle w:val="IntroHeading2"/>
        <w:numPr>
          <w:ilvl w:val="0"/>
          <w:numId w:val="0"/>
        </w:numPr>
        <w:ind w:left="576" w:hanging="576"/>
      </w:pPr>
      <w:r w:rsidRPr="00466A33">
        <w:t xml:space="preserve">Prepared for </w:t>
      </w:r>
    </w:p>
    <w:tbl>
      <w:tblPr>
        <w:tblStyle w:val="FedRAMP"/>
        <w:tblW w:w="9445" w:type="dxa"/>
        <w:tblLayout w:type="fixed"/>
        <w:tblLook w:val="0420" w:firstRow="1" w:lastRow="0" w:firstColumn="0" w:lastColumn="0" w:noHBand="0" w:noVBand="1"/>
      </w:tblPr>
      <w:tblGrid>
        <w:gridCol w:w="2425"/>
        <w:gridCol w:w="7020"/>
      </w:tblGrid>
      <w:tr w:rsidR="00450601" w:rsidRPr="00466A33" w14:paraId="4098A777"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7BDF4CF7" w14:textId="77777777" w:rsidR="00450601" w:rsidRPr="00466A33" w:rsidRDefault="00450601" w:rsidP="00703332">
            <w:pPr>
              <w:spacing w:before="80" w:after="80" w:line="288" w:lineRule="auto"/>
              <w:rPr>
                <w:rFonts w:ascii="Arial" w:hAnsi="Arial"/>
              </w:rPr>
            </w:pPr>
            <w:r w:rsidRPr="00466A33">
              <w:rPr>
                <w:rFonts w:ascii="Arial" w:hAnsi="Arial"/>
                <w:bCs/>
              </w:rPr>
              <w:t>Identification of Cloud Service Provider</w:t>
            </w:r>
          </w:p>
        </w:tc>
      </w:tr>
      <w:tr w:rsidR="00450601" w:rsidRPr="00466A33" w14:paraId="750C77C0"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3B5D5413" w14:textId="77777777" w:rsidR="00450601" w:rsidRPr="00466A33" w:rsidRDefault="00450601" w:rsidP="00703332">
            <w:pPr>
              <w:spacing w:before="80" w:after="80" w:line="288" w:lineRule="auto"/>
            </w:pPr>
            <w:r w:rsidRPr="00466A33">
              <w:rPr>
                <w:b/>
                <w:bCs/>
                <w:sz w:val="20"/>
              </w:rPr>
              <w:t>Organization Name</w:t>
            </w:r>
          </w:p>
        </w:tc>
        <w:tc>
          <w:tcPr>
            <w:tcW w:w="7020" w:type="dxa"/>
          </w:tcPr>
          <w:p w14:paraId="066F4090" w14:textId="6E2649A5" w:rsidR="00450601" w:rsidRPr="00466A33" w:rsidRDefault="00450601" w:rsidP="00703332">
            <w:pPr>
              <w:spacing w:before="80" w:after="80" w:line="288" w:lineRule="auto"/>
            </w:pPr>
            <w:r w:rsidRPr="00466A33">
              <w:rPr>
                <w:sz w:val="20"/>
              </w:rPr>
              <w:t>&lt;Enter Company/Organization&gt;</w:t>
            </w:r>
          </w:p>
        </w:tc>
      </w:tr>
      <w:tr w:rsidR="00450601" w:rsidRPr="00466A33" w14:paraId="0B34A73B"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7A5AFDBA" w14:textId="77777777" w:rsidR="00450601" w:rsidRPr="00466A33" w:rsidRDefault="00450601" w:rsidP="00703332">
            <w:pPr>
              <w:spacing w:before="80" w:after="80" w:line="288" w:lineRule="auto"/>
              <w:rPr>
                <w:rFonts w:eastAsia="Times New Roman"/>
                <w:sz w:val="24"/>
                <w:szCs w:val="24"/>
              </w:rPr>
            </w:pPr>
            <w:r w:rsidRPr="00466A33">
              <w:rPr>
                <w:b/>
                <w:bCs/>
                <w:sz w:val="20"/>
              </w:rPr>
              <w:t>Street Address</w:t>
            </w:r>
          </w:p>
        </w:tc>
        <w:tc>
          <w:tcPr>
            <w:tcW w:w="7020" w:type="dxa"/>
          </w:tcPr>
          <w:p w14:paraId="0FC4C7E0" w14:textId="77777777" w:rsidR="00450601" w:rsidRPr="00466A33" w:rsidRDefault="00450601" w:rsidP="00703332">
            <w:pPr>
              <w:spacing w:before="80" w:after="80" w:line="288" w:lineRule="auto"/>
            </w:pPr>
            <w:r w:rsidRPr="00466A33">
              <w:rPr>
                <w:sz w:val="20"/>
              </w:rPr>
              <w:t>&lt;Enter Street Address&gt;</w:t>
            </w:r>
          </w:p>
        </w:tc>
      </w:tr>
      <w:tr w:rsidR="00450601" w:rsidRPr="00466A33" w14:paraId="6C461A32"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7E004784" w14:textId="77777777" w:rsidR="00450601" w:rsidRPr="00466A33" w:rsidRDefault="00450601" w:rsidP="00703332">
            <w:pPr>
              <w:spacing w:before="80" w:after="80" w:line="288" w:lineRule="auto"/>
              <w:rPr>
                <w:rFonts w:eastAsia="Times New Roman"/>
                <w:sz w:val="24"/>
                <w:szCs w:val="24"/>
              </w:rPr>
            </w:pPr>
            <w:r w:rsidRPr="00466A33">
              <w:rPr>
                <w:b/>
                <w:bCs/>
                <w:sz w:val="20"/>
              </w:rPr>
              <w:t>Suite/Room/Building</w:t>
            </w:r>
          </w:p>
        </w:tc>
        <w:tc>
          <w:tcPr>
            <w:tcW w:w="7020" w:type="dxa"/>
          </w:tcPr>
          <w:p w14:paraId="6BC47EEC" w14:textId="77777777" w:rsidR="00450601" w:rsidRPr="00466A33" w:rsidRDefault="00450601" w:rsidP="00703332">
            <w:pPr>
              <w:spacing w:before="80" w:after="80" w:line="288" w:lineRule="auto"/>
            </w:pPr>
            <w:r w:rsidRPr="00466A33">
              <w:rPr>
                <w:sz w:val="20"/>
              </w:rPr>
              <w:t>&lt;Enter Suite/Room/Building&gt;</w:t>
            </w:r>
          </w:p>
        </w:tc>
      </w:tr>
      <w:tr w:rsidR="00450601" w:rsidRPr="00466A33" w14:paraId="5FF7FEB0"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867D0BF" w14:textId="77777777" w:rsidR="00450601" w:rsidRPr="00466A33" w:rsidRDefault="00450601" w:rsidP="00703332">
            <w:pPr>
              <w:spacing w:before="80" w:after="80" w:line="288" w:lineRule="auto"/>
            </w:pPr>
            <w:r w:rsidRPr="00466A33">
              <w:rPr>
                <w:b/>
                <w:bCs/>
                <w:sz w:val="20"/>
              </w:rPr>
              <w:t>City, State Zip</w:t>
            </w:r>
          </w:p>
        </w:tc>
        <w:tc>
          <w:tcPr>
            <w:tcW w:w="7020" w:type="dxa"/>
          </w:tcPr>
          <w:p w14:paraId="21C00E79" w14:textId="295D0E70" w:rsidR="00450601" w:rsidRPr="00466A33" w:rsidRDefault="00450601" w:rsidP="00703332">
            <w:pPr>
              <w:spacing w:before="80" w:after="80" w:line="288" w:lineRule="auto"/>
            </w:pPr>
            <w:r w:rsidRPr="00466A33">
              <w:rPr>
                <w:sz w:val="20"/>
              </w:rPr>
              <w:t xml:space="preserve">&lt;Enter </w:t>
            </w:r>
            <w:r w:rsidR="00B12A80" w:rsidRPr="00466A33">
              <w:rPr>
                <w:sz w:val="20"/>
              </w:rPr>
              <w:t>City, State</w:t>
            </w:r>
            <w:r w:rsidR="004067A0">
              <w:rPr>
                <w:sz w:val="20"/>
              </w:rPr>
              <w:t>,</w:t>
            </w:r>
            <w:r w:rsidR="00B12A80" w:rsidRPr="00466A33">
              <w:rPr>
                <w:sz w:val="20"/>
              </w:rPr>
              <w:t xml:space="preserve"> and </w:t>
            </w:r>
            <w:r w:rsidRPr="00466A33">
              <w:rPr>
                <w:sz w:val="20"/>
              </w:rPr>
              <w:t>Zip Code&gt;</w:t>
            </w:r>
          </w:p>
        </w:tc>
      </w:tr>
    </w:tbl>
    <w:p w14:paraId="47F291C2" w14:textId="77777777" w:rsidR="00450601" w:rsidRPr="00466A33" w:rsidRDefault="00450601" w:rsidP="00450601">
      <w:pPr>
        <w:pStyle w:val="IntroHeading2"/>
        <w:numPr>
          <w:ilvl w:val="0"/>
          <w:numId w:val="0"/>
        </w:numPr>
        <w:ind w:left="576" w:hanging="576"/>
      </w:pPr>
      <w:r w:rsidRPr="00466A33">
        <w:t xml:space="preserve">Document Revision History </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50601" w:rsidRPr="00466A33" w14:paraId="4ED31DDB" w14:textId="77777777" w:rsidTr="006167FB">
        <w:trPr>
          <w:trHeight w:val="83"/>
          <w:tblHeader/>
        </w:trPr>
        <w:tc>
          <w:tcPr>
            <w:tcW w:w="1255" w:type="dxa"/>
            <w:shd w:val="clear" w:color="auto" w:fill="CCECFC" w:themeFill="background2"/>
            <w:vAlign w:val="center"/>
          </w:tcPr>
          <w:p w14:paraId="3FCEA7ED"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Date</w:t>
            </w:r>
          </w:p>
        </w:tc>
        <w:tc>
          <w:tcPr>
            <w:tcW w:w="5130" w:type="dxa"/>
            <w:shd w:val="clear" w:color="auto" w:fill="CCECFC" w:themeFill="background2"/>
            <w:vAlign w:val="center"/>
          </w:tcPr>
          <w:p w14:paraId="760D10E0"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Description</w:t>
            </w:r>
          </w:p>
        </w:tc>
        <w:tc>
          <w:tcPr>
            <w:tcW w:w="1342" w:type="dxa"/>
            <w:shd w:val="clear" w:color="auto" w:fill="CCECFC" w:themeFill="background2"/>
            <w:vAlign w:val="center"/>
          </w:tcPr>
          <w:p w14:paraId="6E4D6326"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Version</w:t>
            </w:r>
          </w:p>
        </w:tc>
        <w:tc>
          <w:tcPr>
            <w:tcW w:w="1623" w:type="dxa"/>
            <w:shd w:val="clear" w:color="auto" w:fill="CCECFC" w:themeFill="background2"/>
            <w:vAlign w:val="center"/>
          </w:tcPr>
          <w:p w14:paraId="29E199B9"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Author</w:t>
            </w:r>
          </w:p>
        </w:tc>
      </w:tr>
      <w:tr w:rsidR="00450601" w:rsidRPr="00466A33" w14:paraId="36154CD7" w14:textId="77777777" w:rsidTr="00703332">
        <w:tc>
          <w:tcPr>
            <w:tcW w:w="1255" w:type="dxa"/>
            <w:shd w:val="clear" w:color="auto" w:fill="F2F2F2" w:themeFill="background1" w:themeFillShade="F2"/>
          </w:tcPr>
          <w:p w14:paraId="142D379F" w14:textId="77777777" w:rsidR="00450601" w:rsidRPr="00466A33" w:rsidRDefault="00450601" w:rsidP="00703332">
            <w:pPr>
              <w:pBdr>
                <w:top w:val="nil"/>
                <w:left w:val="nil"/>
                <w:bottom w:val="nil"/>
                <w:right w:val="nil"/>
                <w:between w:val="nil"/>
              </w:pBdr>
              <w:spacing w:after="80"/>
              <w:rPr>
                <w:sz w:val="20"/>
              </w:rPr>
            </w:pPr>
            <w:r w:rsidRPr="00466A33">
              <w:rPr>
                <w:sz w:val="20"/>
              </w:rPr>
              <w:t>&lt;Date&gt;</w:t>
            </w:r>
          </w:p>
        </w:tc>
        <w:tc>
          <w:tcPr>
            <w:tcW w:w="5130" w:type="dxa"/>
            <w:shd w:val="clear" w:color="auto" w:fill="F2F2F2" w:themeFill="background1" w:themeFillShade="F2"/>
          </w:tcPr>
          <w:p w14:paraId="25BB992B" w14:textId="77777777" w:rsidR="00450601" w:rsidRPr="00466A33" w:rsidRDefault="00450601" w:rsidP="00703332">
            <w:pPr>
              <w:pBdr>
                <w:top w:val="nil"/>
                <w:left w:val="nil"/>
                <w:bottom w:val="nil"/>
                <w:right w:val="nil"/>
                <w:between w:val="nil"/>
              </w:pBdr>
              <w:spacing w:after="80"/>
              <w:rPr>
                <w:sz w:val="20"/>
              </w:rPr>
            </w:pPr>
            <w:r w:rsidRPr="00466A33">
              <w:rPr>
                <w:sz w:val="20"/>
              </w:rPr>
              <w:t>&lt;Revision Description&gt;</w:t>
            </w:r>
          </w:p>
        </w:tc>
        <w:tc>
          <w:tcPr>
            <w:tcW w:w="1342" w:type="dxa"/>
            <w:shd w:val="clear" w:color="auto" w:fill="F2F2F2" w:themeFill="background1" w:themeFillShade="F2"/>
          </w:tcPr>
          <w:p w14:paraId="28EFC843" w14:textId="77777777" w:rsidR="00450601" w:rsidRPr="00466A33" w:rsidRDefault="00450601" w:rsidP="00703332">
            <w:pPr>
              <w:pBdr>
                <w:top w:val="nil"/>
                <w:left w:val="nil"/>
                <w:bottom w:val="nil"/>
                <w:right w:val="nil"/>
                <w:between w:val="nil"/>
              </w:pBdr>
              <w:spacing w:after="80"/>
              <w:rPr>
                <w:sz w:val="20"/>
              </w:rPr>
            </w:pPr>
            <w:r w:rsidRPr="00466A33">
              <w:rPr>
                <w:sz w:val="20"/>
              </w:rPr>
              <w:t>&lt;Version&gt;</w:t>
            </w:r>
          </w:p>
        </w:tc>
        <w:tc>
          <w:tcPr>
            <w:tcW w:w="1623" w:type="dxa"/>
            <w:shd w:val="clear" w:color="auto" w:fill="F2F2F2" w:themeFill="background1" w:themeFillShade="F2"/>
          </w:tcPr>
          <w:p w14:paraId="11E26A50" w14:textId="77777777" w:rsidR="00450601" w:rsidRPr="00466A33" w:rsidRDefault="00450601" w:rsidP="00703332">
            <w:pPr>
              <w:pBdr>
                <w:top w:val="nil"/>
                <w:left w:val="nil"/>
                <w:bottom w:val="nil"/>
                <w:right w:val="nil"/>
                <w:between w:val="nil"/>
              </w:pBdr>
              <w:spacing w:after="80"/>
              <w:rPr>
                <w:sz w:val="20"/>
              </w:rPr>
            </w:pPr>
            <w:r w:rsidRPr="00466A33">
              <w:rPr>
                <w:sz w:val="20"/>
              </w:rPr>
              <w:t>&lt;Author&gt;</w:t>
            </w:r>
          </w:p>
        </w:tc>
      </w:tr>
      <w:tr w:rsidR="00450601" w:rsidRPr="00466A33" w14:paraId="281AD2ED" w14:textId="77777777" w:rsidTr="00703332">
        <w:tc>
          <w:tcPr>
            <w:tcW w:w="1255" w:type="dxa"/>
          </w:tcPr>
          <w:p w14:paraId="6A319C69" w14:textId="77777777" w:rsidR="00450601" w:rsidRPr="00466A33" w:rsidRDefault="00450601" w:rsidP="00703332">
            <w:pPr>
              <w:pBdr>
                <w:top w:val="nil"/>
                <w:left w:val="nil"/>
                <w:bottom w:val="nil"/>
                <w:right w:val="nil"/>
                <w:between w:val="nil"/>
              </w:pBdr>
              <w:spacing w:after="80"/>
              <w:rPr>
                <w:sz w:val="20"/>
              </w:rPr>
            </w:pPr>
            <w:r w:rsidRPr="00466A33">
              <w:rPr>
                <w:sz w:val="20"/>
              </w:rPr>
              <w:t>&lt;Date&gt;</w:t>
            </w:r>
          </w:p>
        </w:tc>
        <w:tc>
          <w:tcPr>
            <w:tcW w:w="5130" w:type="dxa"/>
          </w:tcPr>
          <w:p w14:paraId="0C4A4CDA" w14:textId="77777777" w:rsidR="00450601" w:rsidRPr="00466A33" w:rsidRDefault="00450601" w:rsidP="00703332">
            <w:pPr>
              <w:pBdr>
                <w:top w:val="nil"/>
                <w:left w:val="nil"/>
                <w:bottom w:val="nil"/>
                <w:right w:val="nil"/>
                <w:between w:val="nil"/>
              </w:pBdr>
              <w:spacing w:after="80"/>
              <w:rPr>
                <w:sz w:val="20"/>
              </w:rPr>
            </w:pPr>
            <w:r w:rsidRPr="00466A33">
              <w:rPr>
                <w:sz w:val="20"/>
              </w:rPr>
              <w:t>&lt;Revision Description&gt;</w:t>
            </w:r>
          </w:p>
        </w:tc>
        <w:tc>
          <w:tcPr>
            <w:tcW w:w="1342" w:type="dxa"/>
          </w:tcPr>
          <w:p w14:paraId="1972FF78" w14:textId="77777777" w:rsidR="00450601" w:rsidRPr="00466A33" w:rsidRDefault="00450601" w:rsidP="00703332">
            <w:pPr>
              <w:pBdr>
                <w:top w:val="nil"/>
                <w:left w:val="nil"/>
                <w:bottom w:val="nil"/>
                <w:right w:val="nil"/>
                <w:between w:val="nil"/>
              </w:pBdr>
              <w:spacing w:after="80"/>
              <w:rPr>
                <w:sz w:val="20"/>
              </w:rPr>
            </w:pPr>
            <w:r w:rsidRPr="00466A33">
              <w:rPr>
                <w:sz w:val="20"/>
              </w:rPr>
              <w:t>&lt;Version&gt;</w:t>
            </w:r>
          </w:p>
        </w:tc>
        <w:tc>
          <w:tcPr>
            <w:tcW w:w="1623" w:type="dxa"/>
          </w:tcPr>
          <w:p w14:paraId="6BBF61E1" w14:textId="77777777" w:rsidR="00450601" w:rsidRPr="00466A33" w:rsidRDefault="00450601" w:rsidP="00703332">
            <w:pPr>
              <w:pBdr>
                <w:top w:val="nil"/>
                <w:left w:val="nil"/>
                <w:bottom w:val="nil"/>
                <w:right w:val="nil"/>
                <w:between w:val="nil"/>
              </w:pBdr>
              <w:spacing w:after="80"/>
              <w:rPr>
                <w:sz w:val="20"/>
              </w:rPr>
            </w:pPr>
            <w:r w:rsidRPr="00466A33">
              <w:rPr>
                <w:sz w:val="20"/>
              </w:rPr>
              <w:t>&lt;Author&gt;</w:t>
            </w:r>
          </w:p>
        </w:tc>
      </w:tr>
      <w:tr w:rsidR="00450601" w:rsidRPr="00466A33" w14:paraId="1845E41E" w14:textId="77777777" w:rsidTr="00703332">
        <w:tc>
          <w:tcPr>
            <w:tcW w:w="1255" w:type="dxa"/>
            <w:shd w:val="clear" w:color="auto" w:fill="F2F2F2" w:themeFill="background1" w:themeFillShade="F2"/>
          </w:tcPr>
          <w:p w14:paraId="281A8E03" w14:textId="77777777" w:rsidR="00450601" w:rsidRPr="00466A33" w:rsidRDefault="00450601" w:rsidP="00703332">
            <w:pPr>
              <w:pBdr>
                <w:top w:val="nil"/>
                <w:left w:val="nil"/>
                <w:bottom w:val="nil"/>
                <w:right w:val="nil"/>
                <w:between w:val="nil"/>
              </w:pBdr>
              <w:spacing w:after="80"/>
              <w:rPr>
                <w:sz w:val="20"/>
              </w:rPr>
            </w:pPr>
            <w:r w:rsidRPr="00466A33">
              <w:rPr>
                <w:sz w:val="20"/>
              </w:rPr>
              <w:t>&lt;Date&gt;</w:t>
            </w:r>
          </w:p>
        </w:tc>
        <w:tc>
          <w:tcPr>
            <w:tcW w:w="5130" w:type="dxa"/>
            <w:shd w:val="clear" w:color="auto" w:fill="F2F2F2" w:themeFill="background1" w:themeFillShade="F2"/>
          </w:tcPr>
          <w:p w14:paraId="1DC6E09C" w14:textId="77777777" w:rsidR="00450601" w:rsidRPr="00466A33" w:rsidRDefault="00450601" w:rsidP="00703332">
            <w:pPr>
              <w:pBdr>
                <w:top w:val="nil"/>
                <w:left w:val="nil"/>
                <w:bottom w:val="nil"/>
                <w:right w:val="nil"/>
                <w:between w:val="nil"/>
              </w:pBdr>
              <w:spacing w:after="80"/>
              <w:rPr>
                <w:sz w:val="20"/>
              </w:rPr>
            </w:pPr>
            <w:r w:rsidRPr="00466A33">
              <w:rPr>
                <w:sz w:val="20"/>
              </w:rPr>
              <w:t>&lt;Revision Description&gt;</w:t>
            </w:r>
          </w:p>
        </w:tc>
        <w:tc>
          <w:tcPr>
            <w:tcW w:w="1342" w:type="dxa"/>
            <w:shd w:val="clear" w:color="auto" w:fill="F2F2F2" w:themeFill="background1" w:themeFillShade="F2"/>
          </w:tcPr>
          <w:p w14:paraId="71A37A24" w14:textId="77777777" w:rsidR="00450601" w:rsidRPr="00466A33" w:rsidRDefault="00450601" w:rsidP="00703332">
            <w:pPr>
              <w:pBdr>
                <w:top w:val="nil"/>
                <w:left w:val="nil"/>
                <w:bottom w:val="nil"/>
                <w:right w:val="nil"/>
                <w:between w:val="nil"/>
              </w:pBdr>
              <w:spacing w:after="80"/>
              <w:rPr>
                <w:sz w:val="20"/>
              </w:rPr>
            </w:pPr>
            <w:r w:rsidRPr="00466A33">
              <w:rPr>
                <w:sz w:val="20"/>
              </w:rPr>
              <w:t>&lt;Version&gt;</w:t>
            </w:r>
          </w:p>
        </w:tc>
        <w:tc>
          <w:tcPr>
            <w:tcW w:w="1623" w:type="dxa"/>
            <w:shd w:val="clear" w:color="auto" w:fill="F2F2F2" w:themeFill="background1" w:themeFillShade="F2"/>
          </w:tcPr>
          <w:p w14:paraId="27919D22" w14:textId="77777777" w:rsidR="00450601" w:rsidRPr="00466A33" w:rsidRDefault="00450601" w:rsidP="00703332">
            <w:pPr>
              <w:pBdr>
                <w:top w:val="nil"/>
                <w:left w:val="nil"/>
                <w:bottom w:val="nil"/>
                <w:right w:val="nil"/>
                <w:between w:val="nil"/>
              </w:pBdr>
              <w:spacing w:after="80"/>
              <w:rPr>
                <w:sz w:val="20"/>
              </w:rPr>
            </w:pPr>
            <w:r w:rsidRPr="00466A33">
              <w:rPr>
                <w:sz w:val="20"/>
              </w:rPr>
              <w:t>&lt;Author&gt;</w:t>
            </w:r>
          </w:p>
        </w:tc>
      </w:tr>
    </w:tbl>
    <w:p w14:paraId="4C4D004E" w14:textId="77777777" w:rsidR="00450601" w:rsidRPr="00466A33" w:rsidRDefault="00450601" w:rsidP="00450601">
      <w:pPr>
        <w:rPr>
          <w:color w:val="1A98C5"/>
          <w:sz w:val="36"/>
          <w:szCs w:val="36"/>
        </w:rPr>
      </w:pPr>
      <w:r w:rsidRPr="00466A33">
        <w:fldChar w:fldCharType="begin"/>
      </w:r>
      <w:r w:rsidRPr="00466A33">
        <w:instrText xml:space="preserve"> SUBJECT  \* MERGEFORMAT </w:instrText>
      </w:r>
      <w:r w:rsidRPr="00466A33">
        <w:fldChar w:fldCharType="end"/>
      </w:r>
      <w:r w:rsidRPr="00466A33">
        <w:br w:type="page"/>
      </w:r>
    </w:p>
    <w:p w14:paraId="1F984469" w14:textId="1425297C" w:rsidR="00505EB8" w:rsidRPr="00466A33" w:rsidRDefault="005333B7" w:rsidP="00BF7E10">
      <w:pPr>
        <w:pStyle w:val="IntroHeading"/>
      </w:pPr>
      <w:r w:rsidRPr="00466A33">
        <w:lastRenderedPageBreak/>
        <w:fldChar w:fldCharType="begin"/>
      </w:r>
      <w:r w:rsidRPr="00466A33">
        <w:instrText xml:space="preserve"> SUBJECT  \* MERGEFORMAT </w:instrText>
      </w:r>
      <w:r w:rsidRPr="00466A33">
        <w:fldChar w:fldCharType="end"/>
      </w:r>
      <w:r w:rsidRPr="00466A33">
        <w:t>TABLE OF CONTENTS</w:t>
      </w:r>
      <w:r w:rsidR="00505EB8" w:rsidRPr="00466A33">
        <w:rPr>
          <w:sz w:val="26"/>
          <w:szCs w:val="26"/>
        </w:rPr>
        <w:fldChar w:fldCharType="begin"/>
      </w:r>
      <w:r w:rsidR="00505EB8" w:rsidRPr="00466A33">
        <w:rPr>
          <w:sz w:val="26"/>
          <w:szCs w:val="26"/>
        </w:rPr>
        <w:instrText xml:space="preserve">  </w:instrText>
      </w:r>
      <w:r w:rsidR="00505EB8" w:rsidRPr="00466A33">
        <w:rPr>
          <w:sz w:val="26"/>
          <w:szCs w:val="26"/>
        </w:rPr>
        <w:fldChar w:fldCharType="end"/>
      </w:r>
    </w:p>
    <w:p w14:paraId="72E627B8" w14:textId="4193D67F" w:rsidR="00FC4812" w:rsidRDefault="00CB22F6">
      <w:pPr>
        <w:pStyle w:val="TOC1"/>
        <w:rPr>
          <w:rFonts w:asciiTheme="minorHAnsi" w:eastAsiaTheme="minorEastAsia" w:hAnsiTheme="minorHAnsi" w:cstheme="minorBidi"/>
          <w:b w:val="0"/>
          <w:color w:val="auto"/>
          <w:kern w:val="2"/>
          <w:sz w:val="24"/>
          <w:szCs w:val="24"/>
          <w:lang w:val="en-US"/>
          <w14:ligatures w14:val="standardContextual"/>
        </w:rPr>
      </w:pPr>
      <w:r w:rsidRPr="00466A33">
        <w:rPr>
          <w:color w:val="162E51" w:themeColor="text2"/>
          <w:sz w:val="24"/>
        </w:rPr>
        <w:fldChar w:fldCharType="begin"/>
      </w:r>
      <w:r w:rsidRPr="00466A33">
        <w:rPr>
          <w:color w:val="162E51" w:themeColor="text2"/>
          <w:sz w:val="24"/>
        </w:rPr>
        <w:instrText xml:space="preserve"> TOC \o "1-1" \h \z \t "Heading 2,2,Heading 3,3" </w:instrText>
      </w:r>
      <w:r w:rsidRPr="00466A33">
        <w:rPr>
          <w:color w:val="162E51" w:themeColor="text2"/>
          <w:sz w:val="24"/>
        </w:rPr>
        <w:fldChar w:fldCharType="separate"/>
      </w:r>
      <w:hyperlink w:anchor="_Toc184297586" w:history="1">
        <w:r w:rsidR="00FC4812" w:rsidRPr="0006076C">
          <w:rPr>
            <w:rStyle w:val="Hyperlink"/>
          </w:rPr>
          <w:t>1</w:t>
        </w:r>
        <w:r w:rsidR="00FC4812">
          <w:rPr>
            <w:rFonts w:asciiTheme="minorHAnsi" w:eastAsiaTheme="minorEastAsia" w:hAnsiTheme="minorHAnsi" w:cstheme="minorBidi"/>
            <w:b w:val="0"/>
            <w:color w:val="auto"/>
            <w:kern w:val="2"/>
            <w:sz w:val="24"/>
            <w:szCs w:val="24"/>
            <w:lang w:val="en-US"/>
            <w14:ligatures w14:val="standardContextual"/>
          </w:rPr>
          <w:tab/>
        </w:r>
        <w:r w:rsidR="00FC4812" w:rsidRPr="0006076C">
          <w:rPr>
            <w:rStyle w:val="Hyperlink"/>
          </w:rPr>
          <w:t>Introduction</w:t>
        </w:r>
        <w:r w:rsidR="00FC4812">
          <w:rPr>
            <w:webHidden/>
          </w:rPr>
          <w:tab/>
        </w:r>
        <w:r w:rsidR="00FC4812">
          <w:rPr>
            <w:webHidden/>
          </w:rPr>
          <w:fldChar w:fldCharType="begin"/>
        </w:r>
        <w:r w:rsidR="00FC4812">
          <w:rPr>
            <w:webHidden/>
          </w:rPr>
          <w:instrText xml:space="preserve"> PAGEREF _Toc184297586 \h </w:instrText>
        </w:r>
        <w:r w:rsidR="00FC4812">
          <w:rPr>
            <w:webHidden/>
          </w:rPr>
        </w:r>
        <w:r w:rsidR="00FC4812">
          <w:rPr>
            <w:webHidden/>
          </w:rPr>
          <w:fldChar w:fldCharType="separate"/>
        </w:r>
        <w:r w:rsidR="00FC4812">
          <w:rPr>
            <w:webHidden/>
          </w:rPr>
          <w:t>6</w:t>
        </w:r>
        <w:r w:rsidR="00FC4812">
          <w:rPr>
            <w:webHidden/>
          </w:rPr>
          <w:fldChar w:fldCharType="end"/>
        </w:r>
      </w:hyperlink>
    </w:p>
    <w:p w14:paraId="028EADDE" w14:textId="7F4C13D2"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87" w:history="1">
        <w:r w:rsidRPr="0006076C">
          <w:rPr>
            <w:rStyle w:val="Hyperlink"/>
          </w:rPr>
          <w:t>1.1</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About This Document</w:t>
        </w:r>
        <w:r>
          <w:rPr>
            <w:webHidden/>
          </w:rPr>
          <w:tab/>
        </w:r>
        <w:r>
          <w:rPr>
            <w:webHidden/>
          </w:rPr>
          <w:fldChar w:fldCharType="begin"/>
        </w:r>
        <w:r>
          <w:rPr>
            <w:webHidden/>
          </w:rPr>
          <w:instrText xml:space="preserve"> PAGEREF _Toc184297587 \h </w:instrText>
        </w:r>
        <w:r>
          <w:rPr>
            <w:webHidden/>
          </w:rPr>
        </w:r>
        <w:r>
          <w:rPr>
            <w:webHidden/>
          </w:rPr>
          <w:fldChar w:fldCharType="separate"/>
        </w:r>
        <w:r>
          <w:rPr>
            <w:webHidden/>
          </w:rPr>
          <w:t>6</w:t>
        </w:r>
        <w:r>
          <w:rPr>
            <w:webHidden/>
          </w:rPr>
          <w:fldChar w:fldCharType="end"/>
        </w:r>
      </w:hyperlink>
    </w:p>
    <w:p w14:paraId="36B0C00B" w14:textId="5FBF0096"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88" w:history="1">
        <w:r w:rsidRPr="0006076C">
          <w:rPr>
            <w:rStyle w:val="Hyperlink"/>
          </w:rPr>
          <w:t>1.2</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Who Should Use This Document?</w:t>
        </w:r>
        <w:r>
          <w:rPr>
            <w:webHidden/>
          </w:rPr>
          <w:tab/>
        </w:r>
        <w:r>
          <w:rPr>
            <w:webHidden/>
          </w:rPr>
          <w:fldChar w:fldCharType="begin"/>
        </w:r>
        <w:r>
          <w:rPr>
            <w:webHidden/>
          </w:rPr>
          <w:instrText xml:space="preserve"> PAGEREF _Toc184297588 \h </w:instrText>
        </w:r>
        <w:r>
          <w:rPr>
            <w:webHidden/>
          </w:rPr>
        </w:r>
        <w:r>
          <w:rPr>
            <w:webHidden/>
          </w:rPr>
          <w:fldChar w:fldCharType="separate"/>
        </w:r>
        <w:r>
          <w:rPr>
            <w:webHidden/>
          </w:rPr>
          <w:t>6</w:t>
        </w:r>
        <w:r>
          <w:rPr>
            <w:webHidden/>
          </w:rPr>
          <w:fldChar w:fldCharType="end"/>
        </w:r>
      </w:hyperlink>
    </w:p>
    <w:p w14:paraId="35C427C9" w14:textId="6A297B54"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589" w:history="1">
        <w:r w:rsidRPr="0006076C">
          <w:rPr>
            <w:rStyle w:val="Hyperlink"/>
          </w:rPr>
          <w:t>2</w:t>
        </w:r>
        <w:r>
          <w:rPr>
            <w:rFonts w:asciiTheme="minorHAnsi" w:eastAsiaTheme="minorEastAsia" w:hAnsiTheme="minorHAnsi" w:cstheme="minorBidi"/>
            <w:b w:val="0"/>
            <w:color w:val="auto"/>
            <w:kern w:val="2"/>
            <w:sz w:val="24"/>
            <w:szCs w:val="24"/>
            <w:lang w:val="en-US"/>
            <w14:ligatures w14:val="standardContextual"/>
          </w:rPr>
          <w:tab/>
        </w:r>
        <w:r w:rsidRPr="0006076C">
          <w:rPr>
            <w:rStyle w:val="Hyperlink"/>
          </w:rPr>
          <w:t>Executive Summary</w:t>
        </w:r>
        <w:r>
          <w:rPr>
            <w:webHidden/>
          </w:rPr>
          <w:tab/>
        </w:r>
        <w:r>
          <w:rPr>
            <w:webHidden/>
          </w:rPr>
          <w:fldChar w:fldCharType="begin"/>
        </w:r>
        <w:r>
          <w:rPr>
            <w:webHidden/>
          </w:rPr>
          <w:instrText xml:space="preserve"> PAGEREF _Toc184297589 \h </w:instrText>
        </w:r>
        <w:r>
          <w:rPr>
            <w:webHidden/>
          </w:rPr>
        </w:r>
        <w:r>
          <w:rPr>
            <w:webHidden/>
          </w:rPr>
          <w:fldChar w:fldCharType="separate"/>
        </w:r>
        <w:r>
          <w:rPr>
            <w:webHidden/>
          </w:rPr>
          <w:t>7</w:t>
        </w:r>
        <w:r>
          <w:rPr>
            <w:webHidden/>
          </w:rPr>
          <w:fldChar w:fldCharType="end"/>
        </w:r>
      </w:hyperlink>
    </w:p>
    <w:p w14:paraId="413726EE" w14:textId="7A080FD7"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0" w:history="1">
        <w:r w:rsidRPr="0006076C">
          <w:rPr>
            <w:rStyle w:val="Hyperlink"/>
          </w:rPr>
          <w:t>2.1</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Purpose</w:t>
        </w:r>
        <w:r>
          <w:rPr>
            <w:webHidden/>
          </w:rPr>
          <w:tab/>
        </w:r>
        <w:r>
          <w:rPr>
            <w:webHidden/>
          </w:rPr>
          <w:fldChar w:fldCharType="begin"/>
        </w:r>
        <w:r>
          <w:rPr>
            <w:webHidden/>
          </w:rPr>
          <w:instrText xml:space="preserve"> PAGEREF _Toc184297590 \h </w:instrText>
        </w:r>
        <w:r>
          <w:rPr>
            <w:webHidden/>
          </w:rPr>
        </w:r>
        <w:r>
          <w:rPr>
            <w:webHidden/>
          </w:rPr>
          <w:fldChar w:fldCharType="separate"/>
        </w:r>
        <w:r>
          <w:rPr>
            <w:webHidden/>
          </w:rPr>
          <w:t>14</w:t>
        </w:r>
        <w:r>
          <w:rPr>
            <w:webHidden/>
          </w:rPr>
          <w:fldChar w:fldCharType="end"/>
        </w:r>
      </w:hyperlink>
    </w:p>
    <w:p w14:paraId="7BDD5B4A" w14:textId="21FE0CC0"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1" w:history="1">
        <w:r w:rsidRPr="0006076C">
          <w:rPr>
            <w:rStyle w:val="Hyperlink"/>
          </w:rPr>
          <w:t>2.2</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Applicable Laws, Regulations, Standards, and Guidance</w:t>
        </w:r>
        <w:r>
          <w:rPr>
            <w:webHidden/>
          </w:rPr>
          <w:tab/>
        </w:r>
        <w:r>
          <w:rPr>
            <w:webHidden/>
          </w:rPr>
          <w:fldChar w:fldCharType="begin"/>
        </w:r>
        <w:r>
          <w:rPr>
            <w:webHidden/>
          </w:rPr>
          <w:instrText xml:space="preserve"> PAGEREF _Toc184297591 \h </w:instrText>
        </w:r>
        <w:r>
          <w:rPr>
            <w:webHidden/>
          </w:rPr>
        </w:r>
        <w:r>
          <w:rPr>
            <w:webHidden/>
          </w:rPr>
          <w:fldChar w:fldCharType="separate"/>
        </w:r>
        <w:r>
          <w:rPr>
            <w:webHidden/>
          </w:rPr>
          <w:t>14</w:t>
        </w:r>
        <w:r>
          <w:rPr>
            <w:webHidden/>
          </w:rPr>
          <w:fldChar w:fldCharType="end"/>
        </w:r>
      </w:hyperlink>
    </w:p>
    <w:p w14:paraId="7604161F" w14:textId="54A0C18B"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2" w:history="1">
        <w:r w:rsidRPr="0006076C">
          <w:rPr>
            <w:rStyle w:val="Hyperlink"/>
          </w:rPr>
          <w:t>2.3</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Scope</w:t>
        </w:r>
        <w:r>
          <w:rPr>
            <w:webHidden/>
          </w:rPr>
          <w:tab/>
        </w:r>
        <w:r>
          <w:rPr>
            <w:webHidden/>
          </w:rPr>
          <w:fldChar w:fldCharType="begin"/>
        </w:r>
        <w:r>
          <w:rPr>
            <w:webHidden/>
          </w:rPr>
          <w:instrText xml:space="preserve"> PAGEREF _Toc184297592 \h </w:instrText>
        </w:r>
        <w:r>
          <w:rPr>
            <w:webHidden/>
          </w:rPr>
        </w:r>
        <w:r>
          <w:rPr>
            <w:webHidden/>
          </w:rPr>
          <w:fldChar w:fldCharType="separate"/>
        </w:r>
        <w:r>
          <w:rPr>
            <w:webHidden/>
          </w:rPr>
          <w:t>14</w:t>
        </w:r>
        <w:r>
          <w:rPr>
            <w:webHidden/>
          </w:rPr>
          <w:fldChar w:fldCharType="end"/>
        </w:r>
      </w:hyperlink>
    </w:p>
    <w:p w14:paraId="15D1A737" w14:textId="16CD092F" w:rsidR="00FC4812" w:rsidRDefault="00FC4812">
      <w:pPr>
        <w:pStyle w:val="TOC3"/>
        <w:tabs>
          <w:tab w:val="left" w:pos="1200"/>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84297593" w:history="1">
        <w:r w:rsidRPr="0006076C">
          <w:rPr>
            <w:rStyle w:val="Hyperlink"/>
            <w:noProof/>
          </w:rPr>
          <w:t>2.3.1</w:t>
        </w:r>
        <w:r>
          <w:rPr>
            <w:rFonts w:asciiTheme="minorHAnsi" w:eastAsiaTheme="minorEastAsia" w:hAnsiTheme="minorHAnsi" w:cstheme="minorBidi"/>
            <w:noProof/>
            <w:color w:val="auto"/>
            <w:kern w:val="2"/>
            <w:sz w:val="24"/>
            <w:szCs w:val="24"/>
            <w:lang w:val="en-US"/>
            <w14:ligatures w14:val="standardContextual"/>
          </w:rPr>
          <w:tab/>
        </w:r>
        <w:r w:rsidRPr="0006076C">
          <w:rPr>
            <w:rStyle w:val="Hyperlink"/>
            <w:noProof/>
          </w:rPr>
          <w:t>Controls Assessed</w:t>
        </w:r>
        <w:r>
          <w:rPr>
            <w:noProof/>
            <w:webHidden/>
          </w:rPr>
          <w:tab/>
        </w:r>
        <w:r>
          <w:rPr>
            <w:noProof/>
            <w:webHidden/>
          </w:rPr>
          <w:fldChar w:fldCharType="begin"/>
        </w:r>
        <w:r>
          <w:rPr>
            <w:noProof/>
            <w:webHidden/>
          </w:rPr>
          <w:instrText xml:space="preserve"> PAGEREF _Toc184297593 \h </w:instrText>
        </w:r>
        <w:r>
          <w:rPr>
            <w:noProof/>
            <w:webHidden/>
          </w:rPr>
        </w:r>
        <w:r>
          <w:rPr>
            <w:noProof/>
            <w:webHidden/>
          </w:rPr>
          <w:fldChar w:fldCharType="separate"/>
        </w:r>
        <w:r>
          <w:rPr>
            <w:noProof/>
            <w:webHidden/>
          </w:rPr>
          <w:t>15</w:t>
        </w:r>
        <w:r>
          <w:rPr>
            <w:noProof/>
            <w:webHidden/>
          </w:rPr>
          <w:fldChar w:fldCharType="end"/>
        </w:r>
      </w:hyperlink>
    </w:p>
    <w:p w14:paraId="27089783" w14:textId="5D8D651C"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594" w:history="1">
        <w:r w:rsidRPr="0006076C">
          <w:rPr>
            <w:rStyle w:val="Hyperlink"/>
          </w:rPr>
          <w:t>3</w:t>
        </w:r>
        <w:r>
          <w:rPr>
            <w:rFonts w:asciiTheme="minorHAnsi" w:eastAsiaTheme="minorEastAsia" w:hAnsiTheme="minorHAnsi" w:cstheme="minorBidi"/>
            <w:b w:val="0"/>
            <w:color w:val="auto"/>
            <w:kern w:val="2"/>
            <w:sz w:val="24"/>
            <w:szCs w:val="24"/>
            <w:lang w:val="en-US"/>
            <w14:ligatures w14:val="standardContextual"/>
          </w:rPr>
          <w:tab/>
        </w:r>
        <w:r w:rsidRPr="0006076C">
          <w:rPr>
            <w:rStyle w:val="Hyperlink"/>
          </w:rPr>
          <w:t>System Overview</w:t>
        </w:r>
        <w:r>
          <w:rPr>
            <w:webHidden/>
          </w:rPr>
          <w:tab/>
        </w:r>
        <w:r>
          <w:rPr>
            <w:webHidden/>
          </w:rPr>
          <w:fldChar w:fldCharType="begin"/>
        </w:r>
        <w:r>
          <w:rPr>
            <w:webHidden/>
          </w:rPr>
          <w:instrText xml:space="preserve"> PAGEREF _Toc184297594 \h </w:instrText>
        </w:r>
        <w:r>
          <w:rPr>
            <w:webHidden/>
          </w:rPr>
        </w:r>
        <w:r>
          <w:rPr>
            <w:webHidden/>
          </w:rPr>
          <w:fldChar w:fldCharType="separate"/>
        </w:r>
        <w:r>
          <w:rPr>
            <w:webHidden/>
          </w:rPr>
          <w:t>15</w:t>
        </w:r>
        <w:r>
          <w:rPr>
            <w:webHidden/>
          </w:rPr>
          <w:fldChar w:fldCharType="end"/>
        </w:r>
      </w:hyperlink>
    </w:p>
    <w:p w14:paraId="0FA94EB7" w14:textId="2AB00CDC"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5" w:history="1">
        <w:r w:rsidRPr="0006076C">
          <w:rPr>
            <w:rStyle w:val="Hyperlink"/>
          </w:rPr>
          <w:t>3.1</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System Description</w:t>
        </w:r>
        <w:r>
          <w:rPr>
            <w:webHidden/>
          </w:rPr>
          <w:tab/>
        </w:r>
        <w:r>
          <w:rPr>
            <w:webHidden/>
          </w:rPr>
          <w:fldChar w:fldCharType="begin"/>
        </w:r>
        <w:r>
          <w:rPr>
            <w:webHidden/>
          </w:rPr>
          <w:instrText xml:space="preserve"> PAGEREF _Toc184297595 \h </w:instrText>
        </w:r>
        <w:r>
          <w:rPr>
            <w:webHidden/>
          </w:rPr>
        </w:r>
        <w:r>
          <w:rPr>
            <w:webHidden/>
          </w:rPr>
          <w:fldChar w:fldCharType="separate"/>
        </w:r>
        <w:r>
          <w:rPr>
            <w:webHidden/>
          </w:rPr>
          <w:t>15</w:t>
        </w:r>
        <w:r>
          <w:rPr>
            <w:webHidden/>
          </w:rPr>
          <w:fldChar w:fldCharType="end"/>
        </w:r>
      </w:hyperlink>
    </w:p>
    <w:p w14:paraId="6D3D78F3" w14:textId="34867614"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596" w:history="1">
        <w:r w:rsidRPr="0006076C">
          <w:rPr>
            <w:rStyle w:val="Hyperlink"/>
          </w:rPr>
          <w:t>4</w:t>
        </w:r>
        <w:r>
          <w:rPr>
            <w:rFonts w:asciiTheme="minorHAnsi" w:eastAsiaTheme="minorEastAsia" w:hAnsiTheme="minorHAnsi" w:cstheme="minorBidi"/>
            <w:b w:val="0"/>
            <w:color w:val="auto"/>
            <w:kern w:val="2"/>
            <w:sz w:val="24"/>
            <w:szCs w:val="24"/>
            <w:lang w:val="en-US"/>
            <w14:ligatures w14:val="standardContextual"/>
          </w:rPr>
          <w:tab/>
        </w:r>
        <w:r w:rsidRPr="0006076C">
          <w:rPr>
            <w:rStyle w:val="Hyperlink"/>
          </w:rPr>
          <w:t>Assessment Methodology</w:t>
        </w:r>
        <w:r>
          <w:rPr>
            <w:webHidden/>
          </w:rPr>
          <w:tab/>
        </w:r>
        <w:r>
          <w:rPr>
            <w:webHidden/>
          </w:rPr>
          <w:fldChar w:fldCharType="begin"/>
        </w:r>
        <w:r>
          <w:rPr>
            <w:webHidden/>
          </w:rPr>
          <w:instrText xml:space="preserve"> PAGEREF _Toc184297596 \h </w:instrText>
        </w:r>
        <w:r>
          <w:rPr>
            <w:webHidden/>
          </w:rPr>
        </w:r>
        <w:r>
          <w:rPr>
            <w:webHidden/>
          </w:rPr>
          <w:fldChar w:fldCharType="separate"/>
        </w:r>
        <w:r>
          <w:rPr>
            <w:webHidden/>
          </w:rPr>
          <w:t>15</w:t>
        </w:r>
        <w:r>
          <w:rPr>
            <w:webHidden/>
          </w:rPr>
          <w:fldChar w:fldCharType="end"/>
        </w:r>
      </w:hyperlink>
    </w:p>
    <w:p w14:paraId="6A560480" w14:textId="56AAF920"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7" w:history="1">
        <w:r w:rsidRPr="0006076C">
          <w:rPr>
            <w:rStyle w:val="Hyperlink"/>
          </w:rPr>
          <w:t>4.1</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Deviations from the SAP</w:t>
        </w:r>
        <w:r>
          <w:rPr>
            <w:webHidden/>
          </w:rPr>
          <w:tab/>
        </w:r>
        <w:r>
          <w:rPr>
            <w:webHidden/>
          </w:rPr>
          <w:fldChar w:fldCharType="begin"/>
        </w:r>
        <w:r>
          <w:rPr>
            <w:webHidden/>
          </w:rPr>
          <w:instrText xml:space="preserve"> PAGEREF _Toc184297597 \h </w:instrText>
        </w:r>
        <w:r>
          <w:rPr>
            <w:webHidden/>
          </w:rPr>
        </w:r>
        <w:r>
          <w:rPr>
            <w:webHidden/>
          </w:rPr>
          <w:fldChar w:fldCharType="separate"/>
        </w:r>
        <w:r>
          <w:rPr>
            <w:webHidden/>
          </w:rPr>
          <w:t>16</w:t>
        </w:r>
        <w:r>
          <w:rPr>
            <w:webHidden/>
          </w:rPr>
          <w:fldChar w:fldCharType="end"/>
        </w:r>
      </w:hyperlink>
    </w:p>
    <w:p w14:paraId="00F796DE" w14:textId="1F1D561E"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8" w:history="1">
        <w:r w:rsidRPr="0006076C">
          <w:rPr>
            <w:rStyle w:val="Hyperlink"/>
          </w:rPr>
          <w:t>4.2</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The SRTM</w:t>
        </w:r>
        <w:r>
          <w:rPr>
            <w:webHidden/>
          </w:rPr>
          <w:tab/>
        </w:r>
        <w:r>
          <w:rPr>
            <w:webHidden/>
          </w:rPr>
          <w:fldChar w:fldCharType="begin"/>
        </w:r>
        <w:r>
          <w:rPr>
            <w:webHidden/>
          </w:rPr>
          <w:instrText xml:space="preserve"> PAGEREF _Toc184297598 \h </w:instrText>
        </w:r>
        <w:r>
          <w:rPr>
            <w:webHidden/>
          </w:rPr>
        </w:r>
        <w:r>
          <w:rPr>
            <w:webHidden/>
          </w:rPr>
          <w:fldChar w:fldCharType="separate"/>
        </w:r>
        <w:r>
          <w:rPr>
            <w:webHidden/>
          </w:rPr>
          <w:t>16</w:t>
        </w:r>
        <w:r>
          <w:rPr>
            <w:webHidden/>
          </w:rPr>
          <w:fldChar w:fldCharType="end"/>
        </w:r>
      </w:hyperlink>
    </w:p>
    <w:p w14:paraId="3563797F" w14:textId="3ED6DE57"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599" w:history="1">
        <w:r w:rsidRPr="0006076C">
          <w:rPr>
            <w:rStyle w:val="Hyperlink"/>
          </w:rPr>
          <w:t>4.3</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Consideration of Threats</w:t>
        </w:r>
        <w:r>
          <w:rPr>
            <w:webHidden/>
          </w:rPr>
          <w:tab/>
        </w:r>
        <w:r>
          <w:rPr>
            <w:webHidden/>
          </w:rPr>
          <w:fldChar w:fldCharType="begin"/>
        </w:r>
        <w:r>
          <w:rPr>
            <w:webHidden/>
          </w:rPr>
          <w:instrText xml:space="preserve"> PAGEREF _Toc184297599 \h </w:instrText>
        </w:r>
        <w:r>
          <w:rPr>
            <w:webHidden/>
          </w:rPr>
        </w:r>
        <w:r>
          <w:rPr>
            <w:webHidden/>
          </w:rPr>
          <w:fldChar w:fldCharType="separate"/>
        </w:r>
        <w:r>
          <w:rPr>
            <w:webHidden/>
          </w:rPr>
          <w:t>16</w:t>
        </w:r>
        <w:r>
          <w:rPr>
            <w:webHidden/>
          </w:rPr>
          <w:fldChar w:fldCharType="end"/>
        </w:r>
      </w:hyperlink>
    </w:p>
    <w:p w14:paraId="4438D57A" w14:textId="64DA7735" w:rsidR="00FC4812" w:rsidRDefault="00FC4812">
      <w:pPr>
        <w:pStyle w:val="TOC2"/>
        <w:rPr>
          <w:rFonts w:asciiTheme="minorHAnsi" w:eastAsiaTheme="minorEastAsia" w:hAnsiTheme="minorHAnsi" w:cstheme="minorBidi"/>
          <w:color w:val="auto"/>
          <w:kern w:val="2"/>
          <w:sz w:val="24"/>
          <w:szCs w:val="24"/>
          <w:lang w:val="en-US"/>
          <w14:ligatures w14:val="standardContextual"/>
        </w:rPr>
      </w:pPr>
      <w:hyperlink w:anchor="_Toc184297600" w:history="1">
        <w:r w:rsidRPr="0006076C">
          <w:rPr>
            <w:rStyle w:val="Hyperlink"/>
          </w:rPr>
          <w:t>4.4</w:t>
        </w:r>
        <w:r>
          <w:rPr>
            <w:rFonts w:asciiTheme="minorHAnsi" w:eastAsiaTheme="minorEastAsia" w:hAnsiTheme="minorHAnsi" w:cstheme="minorBidi"/>
            <w:color w:val="auto"/>
            <w:kern w:val="2"/>
            <w:sz w:val="24"/>
            <w:szCs w:val="24"/>
            <w:lang w:val="en-US"/>
            <w14:ligatures w14:val="standardContextual"/>
          </w:rPr>
          <w:tab/>
        </w:r>
        <w:r w:rsidRPr="0006076C">
          <w:rPr>
            <w:rStyle w:val="Hyperlink"/>
          </w:rPr>
          <w:t>Document R</w:t>
        </w:r>
        <w:r w:rsidRPr="0006076C">
          <w:rPr>
            <w:rStyle w:val="Hyperlink"/>
          </w:rPr>
          <w:t>e</w:t>
        </w:r>
        <w:r w:rsidRPr="0006076C">
          <w:rPr>
            <w:rStyle w:val="Hyperlink"/>
          </w:rPr>
          <w:t>sults</w:t>
        </w:r>
        <w:r>
          <w:rPr>
            <w:webHidden/>
          </w:rPr>
          <w:tab/>
        </w:r>
        <w:r>
          <w:rPr>
            <w:webHidden/>
          </w:rPr>
          <w:fldChar w:fldCharType="begin"/>
        </w:r>
        <w:r>
          <w:rPr>
            <w:webHidden/>
          </w:rPr>
          <w:instrText xml:space="preserve"> PAGEREF _Toc184297600 \h </w:instrText>
        </w:r>
        <w:r>
          <w:rPr>
            <w:webHidden/>
          </w:rPr>
        </w:r>
        <w:r>
          <w:rPr>
            <w:webHidden/>
          </w:rPr>
          <w:fldChar w:fldCharType="separate"/>
        </w:r>
        <w:r>
          <w:rPr>
            <w:webHidden/>
          </w:rPr>
          <w:t>17</w:t>
        </w:r>
        <w:r>
          <w:rPr>
            <w:webHidden/>
          </w:rPr>
          <w:fldChar w:fldCharType="end"/>
        </w:r>
      </w:hyperlink>
    </w:p>
    <w:p w14:paraId="5362948B" w14:textId="4B700963"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1" w:history="1">
        <w:r w:rsidRPr="0006076C">
          <w:rPr>
            <w:rStyle w:val="Hyperlink"/>
          </w:rPr>
          <w:t>5</w:t>
        </w:r>
        <w:r>
          <w:rPr>
            <w:rFonts w:asciiTheme="minorHAnsi" w:eastAsiaTheme="minorEastAsia" w:hAnsiTheme="minorHAnsi" w:cstheme="minorBidi"/>
            <w:b w:val="0"/>
            <w:color w:val="auto"/>
            <w:kern w:val="2"/>
            <w:sz w:val="24"/>
            <w:szCs w:val="24"/>
            <w:lang w:val="en-US"/>
            <w14:ligatures w14:val="standardContextual"/>
          </w:rPr>
          <w:tab/>
        </w:r>
        <w:r w:rsidRPr="0006076C">
          <w:rPr>
            <w:rStyle w:val="Hyperlink"/>
          </w:rPr>
          <w:t>Risks Known for Interconnected Systems and External Services</w:t>
        </w:r>
        <w:r>
          <w:rPr>
            <w:webHidden/>
          </w:rPr>
          <w:tab/>
        </w:r>
        <w:r>
          <w:rPr>
            <w:webHidden/>
          </w:rPr>
          <w:fldChar w:fldCharType="begin"/>
        </w:r>
        <w:r>
          <w:rPr>
            <w:webHidden/>
          </w:rPr>
          <w:instrText xml:space="preserve"> PAGEREF _Toc184297601 \h </w:instrText>
        </w:r>
        <w:r>
          <w:rPr>
            <w:webHidden/>
          </w:rPr>
        </w:r>
        <w:r>
          <w:rPr>
            <w:webHidden/>
          </w:rPr>
          <w:fldChar w:fldCharType="separate"/>
        </w:r>
        <w:r>
          <w:rPr>
            <w:webHidden/>
          </w:rPr>
          <w:t>18</w:t>
        </w:r>
        <w:r>
          <w:rPr>
            <w:webHidden/>
          </w:rPr>
          <w:fldChar w:fldCharType="end"/>
        </w:r>
      </w:hyperlink>
    </w:p>
    <w:p w14:paraId="07E96F91" w14:textId="3BD87197"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2" w:history="1">
        <w:r w:rsidRPr="0006076C">
          <w:rPr>
            <w:rStyle w:val="Hyperlink"/>
          </w:rPr>
          <w:t>Appendix A Risk Exposure Table</w:t>
        </w:r>
        <w:r>
          <w:rPr>
            <w:webHidden/>
          </w:rPr>
          <w:tab/>
        </w:r>
        <w:r>
          <w:rPr>
            <w:webHidden/>
          </w:rPr>
          <w:fldChar w:fldCharType="begin"/>
        </w:r>
        <w:r>
          <w:rPr>
            <w:webHidden/>
          </w:rPr>
          <w:instrText xml:space="preserve"> PAGEREF _Toc184297602 \h </w:instrText>
        </w:r>
        <w:r>
          <w:rPr>
            <w:webHidden/>
          </w:rPr>
        </w:r>
        <w:r>
          <w:rPr>
            <w:webHidden/>
          </w:rPr>
          <w:fldChar w:fldCharType="separate"/>
        </w:r>
        <w:r>
          <w:rPr>
            <w:webHidden/>
          </w:rPr>
          <w:t>20</w:t>
        </w:r>
        <w:r>
          <w:rPr>
            <w:webHidden/>
          </w:rPr>
          <w:fldChar w:fldCharType="end"/>
        </w:r>
      </w:hyperlink>
    </w:p>
    <w:p w14:paraId="2169C3B4" w14:textId="526D8A5F"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3" w:history="1">
        <w:r w:rsidRPr="0006076C">
          <w:rPr>
            <w:rStyle w:val="Hyperlink"/>
          </w:rPr>
          <w:t>Appendix B Security Requirements Traceability Matrix (SRTM) Workbook</w:t>
        </w:r>
        <w:r>
          <w:rPr>
            <w:webHidden/>
          </w:rPr>
          <w:tab/>
        </w:r>
        <w:r>
          <w:rPr>
            <w:webHidden/>
          </w:rPr>
          <w:fldChar w:fldCharType="begin"/>
        </w:r>
        <w:r>
          <w:rPr>
            <w:webHidden/>
          </w:rPr>
          <w:instrText xml:space="preserve"> PAGEREF _Toc184297603 \h </w:instrText>
        </w:r>
        <w:r>
          <w:rPr>
            <w:webHidden/>
          </w:rPr>
        </w:r>
        <w:r>
          <w:rPr>
            <w:webHidden/>
          </w:rPr>
          <w:fldChar w:fldCharType="separate"/>
        </w:r>
        <w:r>
          <w:rPr>
            <w:webHidden/>
          </w:rPr>
          <w:t>20</w:t>
        </w:r>
        <w:r>
          <w:rPr>
            <w:webHidden/>
          </w:rPr>
          <w:fldChar w:fldCharType="end"/>
        </w:r>
      </w:hyperlink>
    </w:p>
    <w:p w14:paraId="71858271" w14:textId="05387075"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4" w:history="1">
        <w:r w:rsidRPr="0006076C">
          <w:rPr>
            <w:rStyle w:val="Hyperlink"/>
          </w:rPr>
          <w:t>Appendix C Vulnerability Scan Results</w:t>
        </w:r>
        <w:r>
          <w:rPr>
            <w:webHidden/>
          </w:rPr>
          <w:tab/>
        </w:r>
        <w:r>
          <w:rPr>
            <w:webHidden/>
          </w:rPr>
          <w:fldChar w:fldCharType="begin"/>
        </w:r>
        <w:r>
          <w:rPr>
            <w:webHidden/>
          </w:rPr>
          <w:instrText xml:space="preserve"> PAGEREF _Toc184297604 \h </w:instrText>
        </w:r>
        <w:r>
          <w:rPr>
            <w:webHidden/>
          </w:rPr>
        </w:r>
        <w:r>
          <w:rPr>
            <w:webHidden/>
          </w:rPr>
          <w:fldChar w:fldCharType="separate"/>
        </w:r>
        <w:r>
          <w:rPr>
            <w:webHidden/>
          </w:rPr>
          <w:t>20</w:t>
        </w:r>
        <w:r>
          <w:rPr>
            <w:webHidden/>
          </w:rPr>
          <w:fldChar w:fldCharType="end"/>
        </w:r>
      </w:hyperlink>
    </w:p>
    <w:p w14:paraId="29EA0FC7" w14:textId="480C358B"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5" w:history="1">
        <w:r w:rsidRPr="0006076C">
          <w:rPr>
            <w:rStyle w:val="Hyperlink"/>
          </w:rPr>
          <w:t>Appendix D Documentation Review Findings</w:t>
        </w:r>
        <w:r>
          <w:rPr>
            <w:webHidden/>
          </w:rPr>
          <w:tab/>
        </w:r>
        <w:r>
          <w:rPr>
            <w:webHidden/>
          </w:rPr>
          <w:fldChar w:fldCharType="begin"/>
        </w:r>
        <w:r>
          <w:rPr>
            <w:webHidden/>
          </w:rPr>
          <w:instrText xml:space="preserve"> PAGEREF _Toc184297605 \h </w:instrText>
        </w:r>
        <w:r>
          <w:rPr>
            <w:webHidden/>
          </w:rPr>
        </w:r>
        <w:r>
          <w:rPr>
            <w:webHidden/>
          </w:rPr>
          <w:fldChar w:fldCharType="separate"/>
        </w:r>
        <w:r>
          <w:rPr>
            <w:webHidden/>
          </w:rPr>
          <w:t>31</w:t>
        </w:r>
        <w:r>
          <w:rPr>
            <w:webHidden/>
          </w:rPr>
          <w:fldChar w:fldCharType="end"/>
        </w:r>
      </w:hyperlink>
    </w:p>
    <w:p w14:paraId="136C2055" w14:textId="14AFD5A0"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6" w:history="1">
        <w:r w:rsidRPr="0006076C">
          <w:rPr>
            <w:rStyle w:val="Hyperlink"/>
          </w:rPr>
          <w:t>Appendix E Auxiliary Documents</w:t>
        </w:r>
        <w:r>
          <w:rPr>
            <w:webHidden/>
          </w:rPr>
          <w:tab/>
        </w:r>
        <w:r>
          <w:rPr>
            <w:webHidden/>
          </w:rPr>
          <w:fldChar w:fldCharType="begin"/>
        </w:r>
        <w:r>
          <w:rPr>
            <w:webHidden/>
          </w:rPr>
          <w:instrText xml:space="preserve"> PAGEREF _Toc184297606 \h </w:instrText>
        </w:r>
        <w:r>
          <w:rPr>
            <w:webHidden/>
          </w:rPr>
        </w:r>
        <w:r>
          <w:rPr>
            <w:webHidden/>
          </w:rPr>
          <w:fldChar w:fldCharType="separate"/>
        </w:r>
        <w:r>
          <w:rPr>
            <w:webHidden/>
          </w:rPr>
          <w:t>31</w:t>
        </w:r>
        <w:r>
          <w:rPr>
            <w:webHidden/>
          </w:rPr>
          <w:fldChar w:fldCharType="end"/>
        </w:r>
      </w:hyperlink>
    </w:p>
    <w:p w14:paraId="36212AF5" w14:textId="649BE2C9" w:rsidR="00FC4812" w:rsidRDefault="00FC4812">
      <w:pPr>
        <w:pStyle w:val="TOC1"/>
        <w:rPr>
          <w:rFonts w:asciiTheme="minorHAnsi" w:eastAsiaTheme="minorEastAsia" w:hAnsiTheme="minorHAnsi" w:cstheme="minorBidi"/>
          <w:b w:val="0"/>
          <w:color w:val="auto"/>
          <w:kern w:val="2"/>
          <w:sz w:val="24"/>
          <w:szCs w:val="24"/>
          <w:lang w:val="en-US"/>
          <w14:ligatures w14:val="standardContextual"/>
        </w:rPr>
      </w:pPr>
      <w:hyperlink w:anchor="_Toc184297607" w:history="1">
        <w:r w:rsidRPr="0006076C">
          <w:rPr>
            <w:rStyle w:val="Hyperlink"/>
          </w:rPr>
          <w:t>Appendix F Penetration Test Report</w:t>
        </w:r>
        <w:r>
          <w:rPr>
            <w:webHidden/>
          </w:rPr>
          <w:tab/>
        </w:r>
        <w:r>
          <w:rPr>
            <w:webHidden/>
          </w:rPr>
          <w:fldChar w:fldCharType="begin"/>
        </w:r>
        <w:r>
          <w:rPr>
            <w:webHidden/>
          </w:rPr>
          <w:instrText xml:space="preserve"> PAGEREF _Toc184297607 \h </w:instrText>
        </w:r>
        <w:r>
          <w:rPr>
            <w:webHidden/>
          </w:rPr>
        </w:r>
        <w:r>
          <w:rPr>
            <w:webHidden/>
          </w:rPr>
          <w:fldChar w:fldCharType="separate"/>
        </w:r>
        <w:r>
          <w:rPr>
            <w:webHidden/>
          </w:rPr>
          <w:t>32</w:t>
        </w:r>
        <w:r>
          <w:rPr>
            <w:webHidden/>
          </w:rPr>
          <w:fldChar w:fldCharType="end"/>
        </w:r>
      </w:hyperlink>
    </w:p>
    <w:p w14:paraId="62B0A346" w14:textId="3179B6D2" w:rsidR="00F457D3" w:rsidRPr="00466A33" w:rsidRDefault="00CB22F6" w:rsidP="00203F89">
      <w:pPr>
        <w:sectPr w:rsidR="00F457D3" w:rsidRPr="00466A33">
          <w:headerReference w:type="default" r:id="rId16"/>
          <w:footerReference w:type="even" r:id="rId17"/>
          <w:footerReference w:type="default" r:id="rId18"/>
          <w:pgSz w:w="12240" w:h="15840"/>
          <w:pgMar w:top="0" w:right="1440" w:bottom="0" w:left="1440" w:header="0" w:footer="0" w:gutter="0"/>
          <w:pgNumType w:start="0"/>
          <w:cols w:space="720"/>
          <w:titlePg/>
        </w:sectPr>
      </w:pPr>
      <w:r w:rsidRPr="00466A33">
        <w:rPr>
          <w:noProof/>
        </w:rPr>
        <w:fldChar w:fldCharType="end"/>
      </w:r>
    </w:p>
    <w:p w14:paraId="2D748F3F" w14:textId="181846F0" w:rsidR="00F457D3" w:rsidRPr="00466A33" w:rsidRDefault="008A2F8A">
      <w:pPr>
        <w:pStyle w:val="Heading1"/>
      </w:pPr>
      <w:bookmarkStart w:id="14" w:name="_Toc184297586"/>
      <w:r w:rsidRPr="00466A33">
        <w:lastRenderedPageBreak/>
        <w:t>Introduction</w:t>
      </w:r>
      <w:bookmarkEnd w:id="14"/>
    </w:p>
    <w:p w14:paraId="2995FA6B" w14:textId="10C25000" w:rsidR="00F20B12" w:rsidRPr="00466A33" w:rsidRDefault="00CB22F6">
      <w:pPr>
        <w:pStyle w:val="Heading2"/>
      </w:pPr>
      <w:bookmarkStart w:id="15" w:name="_Toc184297587"/>
      <w:r w:rsidRPr="00466A33">
        <w:t>About This Document</w:t>
      </w:r>
      <w:bookmarkEnd w:id="15"/>
    </w:p>
    <w:p w14:paraId="5CA574E3" w14:textId="1CFABC71" w:rsidR="00450601" w:rsidRPr="00466A33" w:rsidRDefault="00450601" w:rsidP="00450601">
      <w:r w:rsidRPr="6515EF5F">
        <w:rPr>
          <w:lang w:val="en-US"/>
        </w:rPr>
        <w:t>This document is developed as a template when creating a FedRAMP Security Assessment Report (SAR). This template should be used for all initial authorization assessments, annual assessments, and significant change assessments.</w:t>
      </w:r>
    </w:p>
    <w:p w14:paraId="52821748" w14:textId="77777777" w:rsidR="00450601" w:rsidRPr="00466A33" w:rsidRDefault="00450601" w:rsidP="00450601">
      <w:r w:rsidRPr="00466A33">
        <w:t>Independent assessors (IAs) must complete this SAR template based upon a specific cloud service offering’s (CSO’s) security assessment as captured in the CSO’s security assessment plan (SAP). This SAR documents the risk posture for a CSO based on a point-in-time security assessment.</w:t>
      </w:r>
    </w:p>
    <w:p w14:paraId="63C417CB" w14:textId="77777777" w:rsidR="00450601" w:rsidRPr="00466A33" w:rsidRDefault="00450601" w:rsidP="00450601">
      <w:r w:rsidRPr="00466A33">
        <w:t>A CSP must keep in mind that an IA must follow all FedRAMP requirements in preparing this SAR. Failure to follow FedRAMP requirements may result in retesting, delaying the authorization process.</w:t>
      </w:r>
    </w:p>
    <w:p w14:paraId="3A68F17F" w14:textId="22559AC5" w:rsidR="00F20B12" w:rsidRPr="00466A33" w:rsidRDefault="00450601" w:rsidP="00450601">
      <w:r w:rsidRPr="00466A33">
        <w:t xml:space="preserve">This document uses the term authorizing official (AO). For systems </w:t>
      </w:r>
      <w:r w:rsidR="00B12A80" w:rsidRPr="00466A33">
        <w:t xml:space="preserve">pursuing </w:t>
      </w:r>
      <w:r w:rsidRPr="00466A33">
        <w:t xml:space="preserve">a FedRAMP </w:t>
      </w:r>
      <w:r w:rsidR="00E73F9B">
        <w:t>A</w:t>
      </w:r>
      <w:r w:rsidRPr="00466A33">
        <w:t xml:space="preserve">gency </w:t>
      </w:r>
      <w:r w:rsidR="00E73F9B">
        <w:t>A</w:t>
      </w:r>
      <w:r w:rsidRPr="00466A33">
        <w:t>uthorization, AO refers to each leveraging agency’s AO.</w:t>
      </w:r>
    </w:p>
    <w:p w14:paraId="67056A07" w14:textId="22A9460F" w:rsidR="00F20B12" w:rsidRPr="00466A33" w:rsidRDefault="00CB22F6">
      <w:pPr>
        <w:pStyle w:val="Heading2"/>
      </w:pPr>
      <w:bookmarkStart w:id="16" w:name="_Toc184297588"/>
      <w:r w:rsidRPr="00466A33">
        <w:t>Who Should Use This Document?</w:t>
      </w:r>
      <w:bookmarkEnd w:id="16"/>
    </w:p>
    <w:p w14:paraId="1955D890" w14:textId="5B398A6F" w:rsidR="00450601" w:rsidRPr="00466A33" w:rsidRDefault="00450601" w:rsidP="00450601">
      <w:r w:rsidRPr="00466A33">
        <w:t xml:space="preserve">This SAR template is intended to be populated by a FedRAMP recognized </w:t>
      </w:r>
      <w:r w:rsidR="00897EE5" w:rsidRPr="00466A33">
        <w:t>third party assessment organization (</w:t>
      </w:r>
      <w:r w:rsidRPr="00466A33">
        <w:t>3PAO</w:t>
      </w:r>
      <w:r w:rsidR="00897EE5" w:rsidRPr="00466A33">
        <w:t>)</w:t>
      </w:r>
      <w:r w:rsidRPr="00466A33">
        <w:t xml:space="preserve"> or an independent assessment organization (IAO) when documenting the results of a FedRAMP security assessment. AOs will review this completed SAR to make risk-based authorization decisions.</w:t>
      </w:r>
    </w:p>
    <w:p w14:paraId="0D61DB84" w14:textId="4C5E4FAF" w:rsidR="00450601" w:rsidRPr="00466A33" w:rsidRDefault="00450601" w:rsidP="00450601">
      <w:r w:rsidRPr="6515EF5F">
        <w:rPr>
          <w:lang w:val="en-US"/>
        </w:rPr>
        <w:t xml:space="preserve">It is incumbent upon a CSP to ensure that their 3PAO assessors hold the appropriate certifications and have the required years of experience (see Section 6.1 of the FedRAMP SAP </w:t>
      </w:r>
      <w:r w:rsidR="003C3BBA">
        <w:rPr>
          <w:lang w:val="en-US"/>
        </w:rPr>
        <w:t>T</w:t>
      </w:r>
      <w:r w:rsidRPr="6515EF5F">
        <w:rPr>
          <w:lang w:val="en-US"/>
        </w:rPr>
        <w:t>emplate). CSPs pursuing a FedRAMP Agency Authorization may use other IAOs, if directed to do so by their agency partner; however, the use of a FedRAMP</w:t>
      </w:r>
      <w:r w:rsidR="00E73F9B">
        <w:rPr>
          <w:lang w:val="en-US"/>
        </w:rPr>
        <w:t>-</w:t>
      </w:r>
      <w:r w:rsidRPr="6515EF5F">
        <w:rPr>
          <w:lang w:val="en-US"/>
        </w:rPr>
        <w:t>recognized 3PAO is encouraged.</w:t>
      </w:r>
    </w:p>
    <w:p w14:paraId="7E2F0A33" w14:textId="31E54D9B" w:rsidR="00450601" w:rsidRPr="00466A33" w:rsidRDefault="00450601" w:rsidP="00450601">
      <w:r w:rsidRPr="6515EF5F">
        <w:rPr>
          <w:lang w:val="en-US"/>
        </w:rPr>
        <w:t>If an agency elects to use their own IA team or a third-party assessor that is not a FedRAMP</w:t>
      </w:r>
      <w:r w:rsidR="00E73F9B">
        <w:rPr>
          <w:lang w:val="en-US"/>
        </w:rPr>
        <w:t>-</w:t>
      </w:r>
      <w:r w:rsidRPr="6515EF5F">
        <w:rPr>
          <w:lang w:val="en-US"/>
        </w:rPr>
        <w:t>recognized</w:t>
      </w:r>
      <w:r w:rsidR="00B12A80" w:rsidRPr="6515EF5F">
        <w:rPr>
          <w:lang w:val="en-US"/>
        </w:rPr>
        <w:t xml:space="preserve"> 3PAO</w:t>
      </w:r>
      <w:r w:rsidRPr="6515EF5F">
        <w:rPr>
          <w:lang w:val="en-US"/>
        </w:rPr>
        <w:t>, the agency AO must attest to the independence of the assessment organization. In addition, the IAO must always use FedRAMP provided templates.</w:t>
      </w:r>
    </w:p>
    <w:p w14:paraId="6BE07085" w14:textId="39EEB4A9" w:rsidR="00F20B12" w:rsidRPr="00466A33" w:rsidRDefault="00450601" w:rsidP="00450601">
      <w:r w:rsidRPr="6515EF5F">
        <w:rPr>
          <w:lang w:val="en-US"/>
        </w:rPr>
        <w:lastRenderedPageBreak/>
        <w:t>Throughout the remainder of this template, an assessor subcontracted with/employed by either a FedRAMP</w:t>
      </w:r>
      <w:r w:rsidR="00E73F9B">
        <w:rPr>
          <w:lang w:val="en-US"/>
        </w:rPr>
        <w:t>-</w:t>
      </w:r>
      <w:r w:rsidRPr="6515EF5F">
        <w:rPr>
          <w:lang w:val="en-US"/>
        </w:rPr>
        <w:t>recognized 3PAO or an independent assessment organization (IAO) will be collectively referred to as an “IA”.</w:t>
      </w:r>
    </w:p>
    <w:p w14:paraId="035A6D4E" w14:textId="278DE322" w:rsidR="008A2F8A" w:rsidRPr="00466A33" w:rsidRDefault="00F20B12">
      <w:pPr>
        <w:pStyle w:val="Heading1"/>
      </w:pPr>
      <w:bookmarkStart w:id="17" w:name="_Toc184297589"/>
      <w:r w:rsidRPr="00466A33">
        <w:t>Executive Summary</w:t>
      </w:r>
      <w:bookmarkEnd w:id="17"/>
    </w:p>
    <w:p w14:paraId="7ADC0DEF" w14:textId="24CD9568" w:rsidR="00450601" w:rsidRPr="00466A33" w:rsidRDefault="004226F2" w:rsidP="004226F2">
      <w:pPr>
        <w:pStyle w:val="Caption"/>
      </w:pPr>
      <w:r w:rsidRPr="00466A33">
        <w:t xml:space="preserve">Table </w:t>
      </w:r>
      <w:fldSimple w:instr=" STYLEREF 1 \s ">
        <w:r w:rsidRPr="00466A33">
          <w:rPr>
            <w:noProof/>
          </w:rPr>
          <w:t>2</w:t>
        </w:r>
      </w:fldSimple>
      <w:r w:rsidRPr="00466A33">
        <w:noBreakHyphen/>
      </w:r>
      <w:fldSimple w:instr=" SEQ Table \* ARABIC \s 1 ">
        <w:r w:rsidRPr="00466A33">
          <w:rPr>
            <w:noProof/>
          </w:rPr>
          <w:t>1</w:t>
        </w:r>
      </w:fldSimple>
      <w:r w:rsidRPr="00466A33">
        <w:t xml:space="preserve"> </w:t>
      </w:r>
      <w:r w:rsidR="00450601" w:rsidRPr="00466A33">
        <w:t>&lt;Insert CSP Name&gt;, &lt;Insert CSO Name&gt; Information</w:t>
      </w:r>
    </w:p>
    <w:tbl>
      <w:tblPr>
        <w:tblStyle w:val="FedRAMP"/>
        <w:tblW w:w="9360" w:type="dxa"/>
        <w:tblInd w:w="10" w:type="dxa"/>
        <w:tblLayout w:type="fixed"/>
        <w:tblLook w:val="0020" w:firstRow="1" w:lastRow="0" w:firstColumn="0" w:lastColumn="0" w:noHBand="0" w:noVBand="0"/>
      </w:tblPr>
      <w:tblGrid>
        <w:gridCol w:w="1474"/>
        <w:gridCol w:w="1302"/>
        <w:gridCol w:w="1646"/>
        <w:gridCol w:w="1646"/>
        <w:gridCol w:w="1646"/>
        <w:gridCol w:w="1646"/>
      </w:tblGrid>
      <w:tr w:rsidR="003C5B3B" w:rsidRPr="00466A33" w14:paraId="08F3B9EB"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1474" w:type="dxa"/>
          </w:tcPr>
          <w:p w14:paraId="02E8D680" w14:textId="026D3CD5" w:rsidR="003C5B3B" w:rsidRPr="00466A33" w:rsidRDefault="00490F31" w:rsidP="00EA49BC">
            <w:pPr>
              <w:pStyle w:val="Tabletitle"/>
              <w:rPr>
                <w:rFonts w:ascii="Arial" w:hAnsi="Arial"/>
                <w:b/>
                <w:bCs w:val="0"/>
              </w:rPr>
            </w:pPr>
            <w:r w:rsidRPr="00466A33">
              <w:rPr>
                <w:rFonts w:ascii="Arial" w:hAnsi="Arial"/>
                <w:b/>
                <w:bCs w:val="0"/>
              </w:rPr>
              <w:t>FedRAMP Unique Identifier</w:t>
            </w:r>
          </w:p>
        </w:tc>
        <w:tc>
          <w:tcPr>
            <w:tcW w:w="1302" w:type="dxa"/>
          </w:tcPr>
          <w:p w14:paraId="397999FB" w14:textId="4FAB0893" w:rsidR="003C5B3B" w:rsidRPr="00466A33" w:rsidRDefault="00490F31" w:rsidP="00EA49BC">
            <w:pPr>
              <w:pStyle w:val="Tabletitle"/>
              <w:rPr>
                <w:rFonts w:ascii="Arial" w:hAnsi="Arial"/>
                <w:b/>
                <w:bCs w:val="0"/>
              </w:rPr>
            </w:pPr>
            <w:r w:rsidRPr="00466A33">
              <w:rPr>
                <w:rFonts w:ascii="Arial" w:hAnsi="Arial"/>
                <w:b/>
                <w:bCs w:val="0"/>
              </w:rPr>
              <w:t>CSP</w:t>
            </w:r>
          </w:p>
        </w:tc>
        <w:tc>
          <w:tcPr>
            <w:tcW w:w="1646" w:type="dxa"/>
          </w:tcPr>
          <w:p w14:paraId="71A52F59" w14:textId="30DEC05C" w:rsidR="003C5B3B" w:rsidRPr="00466A33" w:rsidRDefault="00490F31" w:rsidP="00EA49BC">
            <w:pPr>
              <w:pStyle w:val="Tabletitle"/>
              <w:rPr>
                <w:rFonts w:ascii="Arial" w:hAnsi="Arial"/>
                <w:b/>
                <w:bCs w:val="0"/>
              </w:rPr>
            </w:pPr>
            <w:r w:rsidRPr="00466A33">
              <w:rPr>
                <w:rFonts w:ascii="Arial" w:hAnsi="Arial"/>
                <w:b/>
                <w:bCs w:val="0"/>
              </w:rPr>
              <w:t>CSO</w:t>
            </w:r>
          </w:p>
        </w:tc>
        <w:tc>
          <w:tcPr>
            <w:tcW w:w="1646" w:type="dxa"/>
          </w:tcPr>
          <w:p w14:paraId="7280D246" w14:textId="27751914" w:rsidR="003C5B3B" w:rsidRPr="00466A33" w:rsidRDefault="00490F31" w:rsidP="00EA49BC">
            <w:pPr>
              <w:pStyle w:val="Tabletitle"/>
              <w:rPr>
                <w:rFonts w:ascii="Arial" w:hAnsi="Arial"/>
                <w:b/>
                <w:bCs w:val="0"/>
              </w:rPr>
            </w:pPr>
            <w:r w:rsidRPr="00466A33">
              <w:rPr>
                <w:rFonts w:ascii="Arial" w:hAnsi="Arial"/>
                <w:b/>
                <w:bCs w:val="0"/>
              </w:rPr>
              <w:t>Service Model</w:t>
            </w:r>
          </w:p>
        </w:tc>
        <w:tc>
          <w:tcPr>
            <w:tcW w:w="1646" w:type="dxa"/>
          </w:tcPr>
          <w:p w14:paraId="4ADB4B53" w14:textId="7E683951" w:rsidR="003C5B3B" w:rsidRPr="00466A33" w:rsidRDefault="00490F31" w:rsidP="00EA49BC">
            <w:pPr>
              <w:pStyle w:val="Tabletitle"/>
              <w:rPr>
                <w:rFonts w:ascii="Arial" w:hAnsi="Arial"/>
                <w:b/>
                <w:bCs w:val="0"/>
              </w:rPr>
            </w:pPr>
            <w:r w:rsidRPr="00466A33">
              <w:rPr>
                <w:rFonts w:ascii="Arial" w:hAnsi="Arial"/>
                <w:b/>
                <w:bCs w:val="0"/>
              </w:rPr>
              <w:t>Deployment Model</w:t>
            </w:r>
          </w:p>
        </w:tc>
        <w:tc>
          <w:tcPr>
            <w:tcW w:w="1646" w:type="dxa"/>
          </w:tcPr>
          <w:p w14:paraId="091515D8" w14:textId="7D620E80" w:rsidR="003C5B3B" w:rsidRPr="00466A33" w:rsidRDefault="00490F31" w:rsidP="00EA49BC">
            <w:pPr>
              <w:pStyle w:val="Tabletitle"/>
              <w:rPr>
                <w:rFonts w:ascii="Arial" w:hAnsi="Arial"/>
                <w:b/>
                <w:bCs w:val="0"/>
              </w:rPr>
            </w:pPr>
            <w:r w:rsidRPr="00466A33">
              <w:rPr>
                <w:rFonts w:ascii="Arial" w:hAnsi="Arial"/>
                <w:b/>
                <w:bCs w:val="0"/>
              </w:rPr>
              <w:t>Impact Level</w:t>
            </w:r>
          </w:p>
        </w:tc>
      </w:tr>
      <w:tr w:rsidR="003C5B3B" w:rsidRPr="00466A33" w14:paraId="6BF70195" w14:textId="77777777" w:rsidTr="00490F31">
        <w:trPr>
          <w:cnfStyle w:val="000000100000" w:firstRow="0" w:lastRow="0" w:firstColumn="0" w:lastColumn="0" w:oddVBand="0" w:evenVBand="0" w:oddHBand="1" w:evenHBand="0" w:firstRowFirstColumn="0" w:firstRowLastColumn="0" w:lastRowFirstColumn="0" w:lastRowLastColumn="0"/>
        </w:trPr>
        <w:tc>
          <w:tcPr>
            <w:tcW w:w="1474" w:type="dxa"/>
          </w:tcPr>
          <w:p w14:paraId="09301390" w14:textId="77777777" w:rsidR="003C5B3B" w:rsidRPr="00466A33" w:rsidRDefault="003C5B3B" w:rsidP="00EA49BC">
            <w:pPr>
              <w:pStyle w:val="Tabletextlight"/>
              <w:rPr>
                <w:rFonts w:ascii="Arial" w:hAnsi="Arial" w:cs="Arial"/>
              </w:rPr>
            </w:pPr>
          </w:p>
        </w:tc>
        <w:tc>
          <w:tcPr>
            <w:tcW w:w="1302" w:type="dxa"/>
          </w:tcPr>
          <w:p w14:paraId="146B2EB7" w14:textId="77777777" w:rsidR="003C5B3B" w:rsidRPr="00466A33" w:rsidRDefault="003C5B3B" w:rsidP="00EA49BC">
            <w:pPr>
              <w:pStyle w:val="Tabletextlight"/>
              <w:rPr>
                <w:rFonts w:ascii="Arial" w:hAnsi="Arial" w:cs="Arial"/>
              </w:rPr>
            </w:pPr>
          </w:p>
        </w:tc>
        <w:tc>
          <w:tcPr>
            <w:tcW w:w="1646" w:type="dxa"/>
          </w:tcPr>
          <w:p w14:paraId="1C909672" w14:textId="77777777" w:rsidR="003C5B3B" w:rsidRPr="00466A33" w:rsidRDefault="003C5B3B" w:rsidP="00EA49BC">
            <w:pPr>
              <w:pStyle w:val="Tabletextlight"/>
              <w:rPr>
                <w:rFonts w:ascii="Arial" w:hAnsi="Arial" w:cs="Arial"/>
              </w:rPr>
            </w:pPr>
          </w:p>
        </w:tc>
        <w:tc>
          <w:tcPr>
            <w:tcW w:w="1646" w:type="dxa"/>
          </w:tcPr>
          <w:p w14:paraId="1D92F8CF" w14:textId="77777777" w:rsidR="003C5B3B" w:rsidRPr="00466A33" w:rsidRDefault="003C5B3B" w:rsidP="00EA49BC">
            <w:pPr>
              <w:pStyle w:val="Tabletextlight"/>
              <w:rPr>
                <w:rFonts w:ascii="Arial" w:hAnsi="Arial" w:cs="Arial"/>
              </w:rPr>
            </w:pPr>
          </w:p>
        </w:tc>
        <w:tc>
          <w:tcPr>
            <w:tcW w:w="1646" w:type="dxa"/>
          </w:tcPr>
          <w:p w14:paraId="53752496" w14:textId="530FBB58" w:rsidR="003C5B3B" w:rsidRPr="00466A33" w:rsidRDefault="003C5B3B" w:rsidP="00EA49BC">
            <w:pPr>
              <w:pStyle w:val="Tabletextlight"/>
              <w:rPr>
                <w:rFonts w:ascii="Arial" w:hAnsi="Arial" w:cs="Arial"/>
              </w:rPr>
            </w:pPr>
          </w:p>
        </w:tc>
        <w:tc>
          <w:tcPr>
            <w:tcW w:w="1646" w:type="dxa"/>
          </w:tcPr>
          <w:p w14:paraId="6EEBED2E" w14:textId="59E5798E" w:rsidR="003C5B3B" w:rsidRPr="00466A33" w:rsidRDefault="003C5B3B" w:rsidP="00EA49BC">
            <w:pPr>
              <w:pStyle w:val="Tabletextlight"/>
              <w:rPr>
                <w:rFonts w:ascii="Arial" w:hAnsi="Arial" w:cs="Arial"/>
              </w:rPr>
            </w:pPr>
          </w:p>
        </w:tc>
      </w:tr>
    </w:tbl>
    <w:p w14:paraId="356D3CE4" w14:textId="3AC5D1CB" w:rsidR="003C5B3B" w:rsidRPr="00466A33" w:rsidRDefault="003C5B3B" w:rsidP="003C5B3B"/>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4BDF39D6" w14:textId="77777777" w:rsidTr="6515EF5F">
        <w:trPr>
          <w:trHeight w:val="57"/>
        </w:trPr>
        <w:tc>
          <w:tcPr>
            <w:tcW w:w="9350" w:type="dxa"/>
            <w:shd w:val="clear" w:color="auto" w:fill="19447F" w:themeFill="accent2"/>
          </w:tcPr>
          <w:p w14:paraId="703F6A5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CF619B3" w14:textId="77777777" w:rsidTr="6515EF5F">
        <w:trPr>
          <w:trHeight w:val="57"/>
        </w:trPr>
        <w:tc>
          <w:tcPr>
            <w:tcW w:w="9350" w:type="dxa"/>
            <w:shd w:val="clear" w:color="auto" w:fill="F2F2F2" w:themeFill="background1" w:themeFillShade="F2"/>
          </w:tcPr>
          <w:p w14:paraId="4DBAA36E" w14:textId="77777777" w:rsidR="00450601" w:rsidRPr="00466A33" w:rsidRDefault="00450601" w:rsidP="00703332">
            <w:pPr>
              <w:pBdr>
                <w:top w:val="nil"/>
                <w:left w:val="nil"/>
                <w:bottom w:val="nil"/>
                <w:right w:val="nil"/>
                <w:between w:val="nil"/>
              </w:pBdr>
              <w:rPr>
                <w:i/>
                <w:color w:val="444444"/>
              </w:rPr>
            </w:pPr>
            <w:r w:rsidRPr="00466A33">
              <w:rPr>
                <w:i/>
                <w:color w:val="444444"/>
                <w:szCs w:val="22"/>
              </w:rPr>
              <w:t xml:space="preserve">The Executive Summary begins here. </w:t>
            </w:r>
          </w:p>
          <w:p w14:paraId="0C1C80E4" w14:textId="0162E9C3"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Note: For initial assessments, as well as assessments to uplift a CSO from the FedRAMP Moderate to the High baseline, all High risks must be remediated prior to an IA recommending the CSO for FedRAMP authorization. There are some specific use cases where </w:t>
            </w:r>
            <w:r w:rsidR="00191F26" w:rsidRPr="6515EF5F">
              <w:rPr>
                <w:i/>
                <w:iCs/>
                <w:color w:val="444444"/>
                <w:lang w:val="en-US"/>
              </w:rPr>
              <w:t xml:space="preserve">an </w:t>
            </w:r>
            <w:r w:rsidR="001E6577">
              <w:rPr>
                <w:i/>
                <w:iCs/>
                <w:color w:val="444444"/>
                <w:lang w:val="en-US"/>
              </w:rPr>
              <w:t>a</w:t>
            </w:r>
            <w:r w:rsidR="00191F26" w:rsidRPr="6515EF5F">
              <w:rPr>
                <w:i/>
                <w:iCs/>
                <w:color w:val="444444"/>
                <w:lang w:val="en-US"/>
              </w:rPr>
              <w:t>gency AO</w:t>
            </w:r>
            <w:r w:rsidRPr="6515EF5F">
              <w:rPr>
                <w:i/>
                <w:iCs/>
                <w:color w:val="444444"/>
                <w:lang w:val="en-US"/>
              </w:rPr>
              <w:t xml:space="preserve"> may allow High risks for the annual assessment. However, since all High findings must be remediated within 30 days, FedRAMP expects most High findings to be remediated prior to an annual assessment package submission. In such cases, an IA must provide solid rationale for recommending the CSO to maintain their FedRAMP authorization. Some High risks may be downgraded to Moderate due to mitigating factors. If an IA believes there is strong justification that a </w:t>
            </w:r>
            <w:proofErr w:type="gramStart"/>
            <w:r w:rsidRPr="6515EF5F">
              <w:rPr>
                <w:i/>
                <w:iCs/>
                <w:color w:val="444444"/>
                <w:lang w:val="en-US"/>
              </w:rPr>
              <w:t>High</w:t>
            </w:r>
            <w:proofErr w:type="gramEnd"/>
            <w:r w:rsidRPr="6515EF5F">
              <w:rPr>
                <w:i/>
                <w:iCs/>
                <w:color w:val="444444"/>
                <w:lang w:val="en-US"/>
              </w:rPr>
              <w:t xml:space="preserve"> risk can be downgraded to Moderate, the IA must submit a deviation request (DR) along with the risk adjustment (RA) in the Risk Exposure Table (RET). High ORs must be risk adjusted to a lower risk rating (i.e.,</w:t>
            </w:r>
            <w:r w:rsidR="001E6577">
              <w:rPr>
                <w:i/>
                <w:iCs/>
                <w:color w:val="444444"/>
                <w:lang w:val="en-US"/>
              </w:rPr>
              <w:t xml:space="preserve"> a</w:t>
            </w:r>
            <w:r w:rsidRPr="6515EF5F">
              <w:rPr>
                <w:i/>
                <w:iCs/>
                <w:color w:val="444444"/>
                <w:lang w:val="en-US"/>
              </w:rPr>
              <w:t xml:space="preserve"> </w:t>
            </w:r>
            <w:r w:rsidR="00191F26" w:rsidRPr="6515EF5F">
              <w:rPr>
                <w:i/>
                <w:iCs/>
                <w:color w:val="444444"/>
                <w:lang w:val="en-US"/>
              </w:rPr>
              <w:t xml:space="preserve">risk adjusted deviation request for an </w:t>
            </w:r>
            <w:r w:rsidR="001E6577">
              <w:rPr>
                <w:i/>
                <w:iCs/>
                <w:color w:val="444444"/>
                <w:lang w:val="en-US"/>
              </w:rPr>
              <w:t>o</w:t>
            </w:r>
            <w:r w:rsidR="00191F26" w:rsidRPr="6515EF5F">
              <w:rPr>
                <w:i/>
                <w:iCs/>
                <w:color w:val="444444"/>
                <w:lang w:val="en-US"/>
              </w:rPr>
              <w:t xml:space="preserve">perational </w:t>
            </w:r>
            <w:r w:rsidR="001E6577">
              <w:rPr>
                <w:i/>
                <w:iCs/>
                <w:color w:val="444444"/>
                <w:lang w:val="en-US"/>
              </w:rPr>
              <w:t>r</w:t>
            </w:r>
            <w:r w:rsidR="00191F26" w:rsidRPr="6515EF5F">
              <w:rPr>
                <w:i/>
                <w:iCs/>
                <w:color w:val="444444"/>
                <w:lang w:val="en-US"/>
              </w:rPr>
              <w:t>equirement</w:t>
            </w:r>
            <w:r w:rsidRPr="6515EF5F">
              <w:rPr>
                <w:i/>
                <w:iCs/>
                <w:color w:val="444444"/>
                <w:lang w:val="en-US"/>
              </w:rPr>
              <w:t>).</w:t>
            </w:r>
          </w:p>
          <w:p w14:paraId="3C895AB5"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For an initial or annual assessment, at a minimum, IAs must describe the following:</w:t>
            </w:r>
          </w:p>
          <w:p w14:paraId="7C69AE36" w14:textId="77777777" w:rsidR="00450601" w:rsidRPr="00466A33" w:rsidRDefault="00450601" w:rsidP="00703332">
            <w:pPr>
              <w:pBdr>
                <w:top w:val="nil"/>
                <w:left w:val="nil"/>
                <w:bottom w:val="nil"/>
                <w:right w:val="nil"/>
                <w:between w:val="nil"/>
              </w:pBdr>
              <w:rPr>
                <w:i/>
                <w:color w:val="444444"/>
              </w:rPr>
            </w:pPr>
            <w:r w:rsidRPr="00466A33">
              <w:rPr>
                <w:i/>
                <w:color w:val="444444"/>
              </w:rPr>
              <w:t>Overall alignment with the National Institute of Standards and Technology (NIST) definition of cloud computing according to NIST SP 800-145 (NOTE: This includes the requirement for a CSP to have a self-service portal);</w:t>
            </w:r>
          </w:p>
          <w:p w14:paraId="1A83F978" w14:textId="77777777" w:rsidR="00450601" w:rsidRPr="00466A33" w:rsidRDefault="00450601" w:rsidP="00703332">
            <w:pPr>
              <w:pBdr>
                <w:top w:val="nil"/>
                <w:left w:val="nil"/>
                <w:bottom w:val="nil"/>
                <w:right w:val="nil"/>
                <w:between w:val="nil"/>
              </w:pBdr>
              <w:rPr>
                <w:i/>
                <w:color w:val="444444"/>
              </w:rPr>
            </w:pPr>
            <w:r w:rsidRPr="00466A33">
              <w:rPr>
                <w:i/>
                <w:color w:val="444444"/>
              </w:rPr>
              <w:t>Notable strengths and weaknesses;</w:t>
            </w:r>
          </w:p>
          <w:p w14:paraId="54062C9C"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lastRenderedPageBreak/>
              <w:t>Ability to consistently maintain a clearly defined system boundary;</w:t>
            </w:r>
          </w:p>
          <w:p w14:paraId="0BEA4979" w14:textId="77777777" w:rsidR="00450601" w:rsidRPr="00466A33" w:rsidRDefault="00450601" w:rsidP="00703332">
            <w:pPr>
              <w:pBdr>
                <w:top w:val="nil"/>
                <w:left w:val="nil"/>
                <w:bottom w:val="nil"/>
                <w:right w:val="nil"/>
                <w:between w:val="nil"/>
              </w:pBdr>
              <w:rPr>
                <w:i/>
                <w:color w:val="444444"/>
              </w:rPr>
            </w:pPr>
            <w:r w:rsidRPr="00466A33">
              <w:rPr>
                <w:i/>
                <w:color w:val="444444"/>
              </w:rPr>
              <w:t>Ability to accurately describe intra and inter-system user and sensitive metadata data flow;</w:t>
            </w:r>
          </w:p>
          <w:p w14:paraId="3611508B"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Risks associated with interconnections used to transmit federal data/metadata or sensitive system data/metadata;</w:t>
            </w:r>
          </w:p>
          <w:p w14:paraId="514BB711" w14:textId="77777777" w:rsidR="00450601" w:rsidRPr="00466A33" w:rsidRDefault="00450601" w:rsidP="00703332">
            <w:pPr>
              <w:pBdr>
                <w:top w:val="nil"/>
                <w:left w:val="nil"/>
                <w:bottom w:val="nil"/>
                <w:right w:val="nil"/>
                <w:between w:val="nil"/>
              </w:pBdr>
              <w:rPr>
                <w:i/>
                <w:color w:val="444444"/>
              </w:rPr>
            </w:pPr>
            <w:r w:rsidRPr="00466A33">
              <w:rPr>
                <w:i/>
                <w:color w:val="444444"/>
              </w:rPr>
              <w:t>Risks associated with the use of external systems and services that are not FedRAMP Authorized;</w:t>
            </w:r>
          </w:p>
          <w:p w14:paraId="60BAE775" w14:textId="77777777" w:rsidR="00450601" w:rsidRPr="00466A33" w:rsidRDefault="00450601" w:rsidP="00703332">
            <w:pPr>
              <w:pBdr>
                <w:top w:val="nil"/>
                <w:left w:val="nil"/>
                <w:bottom w:val="nil"/>
                <w:right w:val="nil"/>
                <w:between w:val="nil"/>
              </w:pBdr>
              <w:rPr>
                <w:i/>
                <w:color w:val="444444"/>
              </w:rPr>
            </w:pPr>
            <w:r w:rsidRPr="00466A33">
              <w:rPr>
                <w:i/>
                <w:color w:val="444444"/>
              </w:rPr>
              <w:t>Clearly defined customer responsibilities;</w:t>
            </w:r>
          </w:p>
          <w:p w14:paraId="7D4E5D00" w14:textId="77777777" w:rsidR="00450601" w:rsidRPr="00466A33" w:rsidRDefault="00450601" w:rsidP="00703332">
            <w:pPr>
              <w:pBdr>
                <w:top w:val="nil"/>
                <w:left w:val="nil"/>
                <w:bottom w:val="nil"/>
                <w:right w:val="nil"/>
                <w:between w:val="nil"/>
              </w:pBdr>
              <w:rPr>
                <w:i/>
                <w:color w:val="444444"/>
              </w:rPr>
            </w:pPr>
            <w:r w:rsidRPr="00466A33">
              <w:rPr>
                <w:i/>
                <w:color w:val="444444"/>
              </w:rPr>
              <w:t>Unique or alternative implementations;</w:t>
            </w:r>
          </w:p>
          <w:p w14:paraId="4252BF9D"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Overall maturity level relative to the system type, size, and complexity; and</w:t>
            </w:r>
          </w:p>
          <w:p w14:paraId="7B8DB230"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Overall operational maturity relative to how long the system and required security controls have been in operation.</w:t>
            </w:r>
          </w:p>
          <w:p w14:paraId="05F9D892" w14:textId="77777777" w:rsidR="00450601" w:rsidRPr="00466A33" w:rsidRDefault="00450601" w:rsidP="00450601">
            <w:pPr>
              <w:pStyle w:val="deletioninstruction"/>
            </w:pPr>
            <w:r w:rsidRPr="00466A33">
              <w:t>Delete this and all other instructional text from your final version of this document.</w:t>
            </w:r>
          </w:p>
        </w:tc>
      </w:tr>
    </w:tbl>
    <w:p w14:paraId="520E1FDA" w14:textId="77777777" w:rsidR="003C5B3B" w:rsidRPr="00466A33" w:rsidRDefault="003C5B3B" w:rsidP="003C5B3B"/>
    <w:p w14:paraId="40A4825C" w14:textId="77777777" w:rsidR="00450601" w:rsidRPr="00466A33" w:rsidRDefault="00450601" w:rsidP="6515EF5F">
      <w:pPr>
        <w:rPr>
          <w:lang w:val="en-US"/>
        </w:rPr>
      </w:pPr>
      <w:r w:rsidRPr="6515EF5F">
        <w:rPr>
          <w:lang w:val="en-US"/>
        </w:rPr>
        <w:t xml:space="preserve">This is &lt;Choose One: an initial assessment/an annual assessment/a combined annual assessment and significant change assessment/a significant change assessment&gt; SAR as required by FedRAMP. This SAR aggregates the results of the required FedRAMP security assessment of the &lt;Insert CSO Name&gt; environment as recorded in the &lt;Insert CSO Name&gt; &lt;Choose One: SSP/SSP and significant change documentation/significant change documentation&gt;.  </w:t>
      </w:r>
    </w:p>
    <w:p w14:paraId="0229DA7E" w14:textId="2661976D" w:rsidR="00450601" w:rsidRPr="00466A33" w:rsidRDefault="00450601" w:rsidP="00450601">
      <w:r w:rsidRPr="6515EF5F">
        <w:rPr>
          <w:lang w:val="en-US"/>
        </w:rPr>
        <w:t>All identified findings are recorded in the SAR Appendix A, Risk Exposure Table (RET). The RET documents all open risks that remained at the conclusion of the assessment, including all risk adjustments (RAs), operational requirements (ORs), and vendor dependencies (VDs)</w:t>
      </w:r>
      <w:r w:rsidRPr="6515EF5F">
        <w:rPr>
          <w:rStyle w:val="FootnoteReference"/>
          <w:lang w:val="en-US"/>
        </w:rPr>
        <w:footnoteReference w:id="2"/>
      </w:r>
      <w:r w:rsidRPr="6515EF5F">
        <w:rPr>
          <w:lang w:val="en-US"/>
        </w:rPr>
        <w:t xml:space="preserve">. These are identified in the “Risk Exposure Table (RET)” tab. Risks validated as closed during the assessment are identified in the “Risks Corrected During Testing” tab. </w:t>
      </w:r>
    </w:p>
    <w:p w14:paraId="33B89669" w14:textId="77777777" w:rsidR="00450601" w:rsidRPr="00466A33" w:rsidRDefault="00450601" w:rsidP="00450601">
      <w:r w:rsidRPr="6515EF5F">
        <w:rPr>
          <w:lang w:val="en-US"/>
        </w:rPr>
        <w:t>The assessment took place from &lt;Choose One: for initial testing window MM/DD/YYYY to MM/DD/YYYY and remediation testing window MM/DD/YYYY to MM/DD/YYYY/this assessment began MM/DD/YYYY and ended MM/DD/YYYY&gt;.</w:t>
      </w:r>
      <w:r w:rsidR="004C12AC" w:rsidRPr="6515EF5F">
        <w:rPr>
          <w:lang w:val="en-US"/>
        </w:rPr>
        <w:t xml:space="preserve"> </w:t>
      </w:r>
    </w:p>
    <w:p w14:paraId="7BE5488B" w14:textId="77777777" w:rsidR="00450601" w:rsidRPr="00466A33" w:rsidRDefault="00450601" w:rsidP="00450601"/>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2C5024D5" w14:textId="77777777" w:rsidTr="6515EF5F">
        <w:trPr>
          <w:trHeight w:val="57"/>
        </w:trPr>
        <w:tc>
          <w:tcPr>
            <w:tcW w:w="9350" w:type="dxa"/>
            <w:shd w:val="clear" w:color="auto" w:fill="19447F" w:themeFill="accent2"/>
          </w:tcPr>
          <w:p w14:paraId="0A81B02B" w14:textId="77777777" w:rsidR="00450601" w:rsidRPr="00466A33" w:rsidRDefault="00450601" w:rsidP="00703332">
            <w:pPr>
              <w:spacing w:after="80"/>
              <w:rPr>
                <w:b/>
                <w:i/>
                <w:color w:val="FFFFFF"/>
              </w:rPr>
            </w:pPr>
            <w:r w:rsidRPr="00466A33">
              <w:rPr>
                <w:b/>
                <w:i/>
                <w:color w:val="FFFFFF"/>
              </w:rPr>
              <w:t>Instruction:</w:t>
            </w:r>
          </w:p>
        </w:tc>
      </w:tr>
      <w:tr w:rsidR="00450601" w:rsidRPr="00466A33" w14:paraId="086DF7AC" w14:textId="77777777" w:rsidTr="6515EF5F">
        <w:trPr>
          <w:trHeight w:val="1385"/>
        </w:trPr>
        <w:tc>
          <w:tcPr>
            <w:tcW w:w="9350" w:type="dxa"/>
            <w:shd w:val="clear" w:color="auto" w:fill="F2F2F2" w:themeFill="background1" w:themeFillShade="F2"/>
          </w:tcPr>
          <w:p w14:paraId="19A1D699"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Affirm the type of assessment completed for this SAR (e.g., initial, annual, significant change, etc.). Use the correct narratives and remove any narratives that are not applicable. </w:t>
            </w:r>
          </w:p>
          <w:p w14:paraId="70B26F8A" w14:textId="77777777" w:rsidR="00450601" w:rsidRPr="00466A33" w:rsidRDefault="00450601" w:rsidP="00D80036">
            <w:pPr>
              <w:pStyle w:val="deletioninstruction"/>
            </w:pPr>
            <w:r w:rsidRPr="00466A33">
              <w:t>Delete this instructional text from your final version of this document.</w:t>
            </w:r>
          </w:p>
        </w:tc>
      </w:tr>
    </w:tbl>
    <w:p w14:paraId="1CB7F4D5" w14:textId="77777777" w:rsidR="00450601" w:rsidRPr="00466A33" w:rsidRDefault="00450601" w:rsidP="00450601"/>
    <w:p w14:paraId="579483BC" w14:textId="77777777" w:rsidR="00450601" w:rsidRPr="00466A33" w:rsidRDefault="00450601" w:rsidP="00450601">
      <w:pPr>
        <w:rPr>
          <w:b/>
          <w:bCs/>
        </w:rPr>
      </w:pPr>
      <w:r w:rsidRPr="00466A33">
        <w:rPr>
          <w:b/>
          <w:bCs/>
        </w:rPr>
        <w:t>Initial Assessment:</w:t>
      </w:r>
    </w:p>
    <w:p w14:paraId="778EA048" w14:textId="77777777" w:rsidR="00450601" w:rsidRPr="00466A33" w:rsidRDefault="00450601" w:rsidP="00450601">
      <w:r w:rsidRPr="6515EF5F">
        <w:rPr>
          <w:lang w:val="en-US"/>
        </w:rPr>
        <w:t>This report is for an initial assessment of &lt;Insert CSO Name&gt;, a &lt;Choose One: High/Moderate/ Low&gt; baseline system. 100% of the FedRAMP security controls in the system baseline are assessed. The security controls that will be assessed are listed in Appendix A of the SAP.</w:t>
      </w:r>
    </w:p>
    <w:p w14:paraId="35A7D3F5" w14:textId="77777777" w:rsidR="00450601" w:rsidRPr="00466A33" w:rsidRDefault="00450601" w:rsidP="00450601">
      <w:pPr>
        <w:rPr>
          <w:b/>
          <w:bCs/>
        </w:rPr>
      </w:pPr>
      <w:r w:rsidRPr="00466A33">
        <w:rPr>
          <w:b/>
          <w:bCs/>
        </w:rPr>
        <w:t>Annual Assessment:</w:t>
      </w:r>
    </w:p>
    <w:p w14:paraId="6E406F5D" w14:textId="561AFCB0" w:rsidR="00450601" w:rsidRPr="00466A33" w:rsidRDefault="00450601" w:rsidP="6515EF5F">
      <w:pPr>
        <w:rPr>
          <w:color w:val="000000"/>
          <w:lang w:val="en-US"/>
        </w:rPr>
      </w:pPr>
      <w:r w:rsidRPr="6515EF5F">
        <w:rPr>
          <w:lang w:val="en-US"/>
        </w:rPr>
        <w:t xml:space="preserve">This report is for an annual assessment of &lt;Insert CSO Name&gt;, a &lt;Choose One: High/Moderate/ Low&gt; baseline system. After the initial security assessment, FedRAMP requires that the system is assessed annually, thereafter (12 months from an agency ATO date). While the entire set of security controls is assessed during the initial assessment, a subset is assessed during the annual assessment. The control selection is in accordance with the criteria outlined in the </w:t>
      </w:r>
      <w:hyperlink r:id="rId19">
        <w:r w:rsidRPr="6515EF5F">
          <w:rPr>
            <w:rStyle w:val="Hyperlink"/>
            <w:lang w:val="en-US"/>
          </w:rPr>
          <w:t>FedRAMP Annual Assessment G</w:t>
        </w:r>
        <w:r w:rsidRPr="6515EF5F">
          <w:rPr>
            <w:rStyle w:val="Hyperlink"/>
            <w:lang w:val="en-US"/>
          </w:rPr>
          <w:t>u</w:t>
        </w:r>
        <w:r w:rsidRPr="6515EF5F">
          <w:rPr>
            <w:rStyle w:val="Hyperlink"/>
            <w:lang w:val="en-US"/>
          </w:rPr>
          <w:t>idance</w:t>
        </w:r>
      </w:hyperlink>
      <w:r w:rsidRPr="6515EF5F">
        <w:rPr>
          <w:lang w:val="en-US"/>
        </w:rPr>
        <w:t xml:space="preserve"> and includes: </w:t>
      </w:r>
    </w:p>
    <w:p w14:paraId="38FD3906" w14:textId="77777777" w:rsidR="00450601" w:rsidRPr="00466A33" w:rsidRDefault="00450601">
      <w:pPr>
        <w:numPr>
          <w:ilvl w:val="0"/>
          <w:numId w:val="6"/>
        </w:numPr>
        <w:spacing w:after="0"/>
      </w:pPr>
      <w:r w:rsidRPr="6515EF5F">
        <w:rPr>
          <w:lang w:val="en-US"/>
        </w:rPr>
        <w:t>Core controls (required annually)</w:t>
      </w:r>
    </w:p>
    <w:p w14:paraId="658166EE" w14:textId="08FB02B9" w:rsidR="00450601" w:rsidRPr="00466A33" w:rsidRDefault="00450601">
      <w:pPr>
        <w:numPr>
          <w:ilvl w:val="0"/>
          <w:numId w:val="6"/>
        </w:numPr>
        <w:spacing w:before="0" w:after="0"/>
      </w:pPr>
      <w:r w:rsidRPr="6515EF5F">
        <w:rPr>
          <w:lang w:val="en-US"/>
        </w:rPr>
        <w:t>CSP-selected controls required to address system changes that have been implemented and/or changed by the CSP since the last assessment. This excludes those controls or portions of controls previously assessed under a significant change within the same annual period</w:t>
      </w:r>
    </w:p>
    <w:p w14:paraId="3056AACE" w14:textId="4ACC3BF1" w:rsidR="00450601" w:rsidRPr="00466A33" w:rsidRDefault="00450601">
      <w:pPr>
        <w:numPr>
          <w:ilvl w:val="0"/>
          <w:numId w:val="6"/>
        </w:numPr>
        <w:spacing w:before="0" w:after="0"/>
      </w:pPr>
      <w:r w:rsidRPr="00466A33">
        <w:t>Validation of Plan of Action &amp; Milestones (POA&amp;Ms) closed since the last assessment</w:t>
      </w:r>
    </w:p>
    <w:p w14:paraId="07E35B5C" w14:textId="77777777" w:rsidR="00450601" w:rsidRPr="00466A33" w:rsidRDefault="00450601">
      <w:pPr>
        <w:numPr>
          <w:ilvl w:val="0"/>
          <w:numId w:val="6"/>
        </w:numPr>
        <w:spacing w:before="0" w:after="0"/>
      </w:pPr>
      <w:r w:rsidRPr="00466A33">
        <w:t>Validation of POA&amp;Ms identified as vendor dependencies (VDs) or deviation requests (DRs)</w:t>
      </w:r>
    </w:p>
    <w:p w14:paraId="38348694" w14:textId="77777777" w:rsidR="00450601" w:rsidRPr="00466A33" w:rsidRDefault="00450601">
      <w:pPr>
        <w:numPr>
          <w:ilvl w:val="0"/>
          <w:numId w:val="6"/>
        </w:numPr>
        <w:spacing w:before="0" w:after="0"/>
      </w:pPr>
      <w:r w:rsidRPr="6515EF5F">
        <w:rPr>
          <w:lang w:val="en-US"/>
        </w:rPr>
        <w:t>CSP-selected controls identified as “Not Applicable” (N/A) to validate they are, in fact, not applicable</w:t>
      </w:r>
    </w:p>
    <w:p w14:paraId="521BB168" w14:textId="77777777" w:rsidR="00450601" w:rsidRPr="00466A33" w:rsidRDefault="00450601">
      <w:pPr>
        <w:numPr>
          <w:ilvl w:val="0"/>
          <w:numId w:val="6"/>
        </w:numPr>
        <w:spacing w:before="0"/>
      </w:pPr>
      <w:r w:rsidRPr="00466A33">
        <w:rPr>
          <w:highlight w:val="white"/>
        </w:rPr>
        <w:t>Controls that have not been assessed, at least once in a three-year period</w:t>
      </w:r>
      <w:r w:rsidRPr="00466A33">
        <w:t>, to ensure controls are meeting periodicity requirements</w:t>
      </w:r>
    </w:p>
    <w:p w14:paraId="4EE8321B" w14:textId="0407344C" w:rsidR="00450601" w:rsidRPr="00466A33" w:rsidRDefault="00450601" w:rsidP="00450601">
      <w:r w:rsidRPr="6515EF5F">
        <w:rPr>
          <w:lang w:val="en-US"/>
        </w:rPr>
        <w:t>The detailed control list, including the rationale for each control’s selection, is included in SAP Appendix A, FedRAMP &lt;Insert CSO Name&gt; Security Controls Selection Worksheet.</w:t>
      </w:r>
    </w:p>
    <w:p w14:paraId="3CD71A4A" w14:textId="77777777" w:rsidR="00450601" w:rsidRPr="00466A33" w:rsidRDefault="00450601" w:rsidP="00450601">
      <w:pPr>
        <w:rPr>
          <w:b/>
          <w:bCs/>
        </w:rPr>
      </w:pPr>
      <w:r w:rsidRPr="00466A33">
        <w:rPr>
          <w:b/>
          <w:bCs/>
        </w:rPr>
        <w:t>Significant Change:</w:t>
      </w:r>
    </w:p>
    <w:p w14:paraId="2318529D" w14:textId="4561626F" w:rsidR="00450601" w:rsidRPr="00466A33" w:rsidRDefault="00450601" w:rsidP="00450601">
      <w:r w:rsidRPr="6515EF5F">
        <w:rPr>
          <w:lang w:val="en-US"/>
        </w:rPr>
        <w:lastRenderedPageBreak/>
        <w:t xml:space="preserve">This report &lt;Choose One: is for/also includes&gt; the assessment completed for &lt;Choose One: a significant change/several significant changes&gt;. The &lt;Insert CSO Name&gt; SAP, Appendix </w:t>
      </w:r>
      <w:r w:rsidR="002F5005" w:rsidRPr="6515EF5F">
        <w:rPr>
          <w:lang w:val="en-US"/>
        </w:rPr>
        <w:t>D</w:t>
      </w:r>
      <w:r w:rsidRPr="6515EF5F">
        <w:rPr>
          <w:lang w:val="en-US"/>
        </w:rPr>
        <w:t xml:space="preserve"> includes the significant change request documentation submitted by &lt;Insert CSP Name&gt; to the </w:t>
      </w:r>
      <w:r w:rsidR="00601936">
        <w:rPr>
          <w:lang w:val="en-US"/>
        </w:rPr>
        <w:t>agency AO</w:t>
      </w:r>
      <w:r w:rsidRPr="6515EF5F">
        <w:rPr>
          <w:lang w:val="en-US"/>
        </w:rPr>
        <w:t xml:space="preserve">.  </w:t>
      </w:r>
    </w:p>
    <w:p w14:paraId="772620AE" w14:textId="29D7AAE8" w:rsidR="00450601" w:rsidRPr="00466A33" w:rsidRDefault="00450601" w:rsidP="00450601">
      <w:r w:rsidRPr="6515EF5F">
        <w:rPr>
          <w:lang w:val="en-US"/>
        </w:rPr>
        <w:t>Appendix A includes the associated control selections. &lt;Insert IA Name&gt; did evaluate (review and/or test), as necessary, &lt;Choose one: all items related to continuous monitoring activities/all items related to continuous monitoring activities as well as those that are applicable to the significant change assessment/continuous monitoring activities that are applicable to the significant change assessment. &lt;Insert IA Name&gt; did evaluate all open POA&amp;M items (including VDs); POA&amp;M closures (to confirm adequate closure) and validate and confirm continued relevance and applicability of DRs (false positives (FPs), risk adjustments (RAs), and operational requirements (ORs)) &lt;Choose One (if significant change(s) are included): including those applicable to the significant change assessment/applicable to the significant change assessment&gt;.</w:t>
      </w:r>
    </w:p>
    <w:p w14:paraId="21B40E9F" w14:textId="51C55935" w:rsidR="00450601" w:rsidRPr="00466A33" w:rsidRDefault="00450601" w:rsidP="00450601">
      <w:pPr>
        <w:sectPr w:rsidR="00450601" w:rsidRPr="00466A33" w:rsidSect="00D80036">
          <w:footerReference w:type="default" r:id="rId20"/>
          <w:pgSz w:w="12240" w:h="15840"/>
          <w:pgMar w:top="0" w:right="1440" w:bottom="0" w:left="1440" w:header="0" w:footer="0" w:gutter="0"/>
          <w:cols w:space="720"/>
        </w:sectPr>
      </w:pPr>
      <w:r w:rsidRPr="6515EF5F">
        <w:rPr>
          <w:lang w:val="en-US"/>
        </w:rPr>
        <w:t xml:space="preserve">Below is a summary of risks that remained open at the conclusion of this assessment. Refer to the Appendix A RET workbook for additional details. </w:t>
      </w:r>
    </w:p>
    <w:p w14:paraId="35E37677" w14:textId="7069F353" w:rsidR="00450601" w:rsidRPr="00466A33" w:rsidRDefault="004226F2" w:rsidP="004226F2">
      <w:pPr>
        <w:pStyle w:val="Caption"/>
      </w:pPr>
      <w:r w:rsidRPr="00466A33">
        <w:lastRenderedPageBreak/>
        <w:t xml:space="preserve">Table </w:t>
      </w:r>
      <w:fldSimple w:instr=" STYLEREF 1 \s ">
        <w:r w:rsidRPr="00466A33">
          <w:rPr>
            <w:noProof/>
          </w:rPr>
          <w:t>2</w:t>
        </w:r>
      </w:fldSimple>
      <w:r w:rsidRPr="00466A33">
        <w:noBreakHyphen/>
      </w:r>
      <w:fldSimple w:instr=" SEQ Table \* ARABIC \s 1 ">
        <w:r w:rsidRPr="00466A33">
          <w:rPr>
            <w:noProof/>
          </w:rPr>
          <w:t>2</w:t>
        </w:r>
      </w:fldSimple>
      <w:r w:rsidRPr="00466A33">
        <w:t xml:space="preserve"> </w:t>
      </w:r>
      <w:r w:rsidR="00450601" w:rsidRPr="00466A33">
        <w:t xml:space="preserve">Summary of Risks </w:t>
      </w:r>
      <w:r w:rsidR="00E73F9B">
        <w:t>t</w:t>
      </w:r>
      <w:r w:rsidR="00450601" w:rsidRPr="00466A33">
        <w:t>hat Remained Open at the Conclusion of this Assessment</w:t>
      </w:r>
    </w:p>
    <w:tbl>
      <w:tblPr>
        <w:tblW w:w="0" w:type="auto"/>
        <w:tblCellMar>
          <w:top w:w="15" w:type="dxa"/>
          <w:left w:w="15" w:type="dxa"/>
          <w:bottom w:w="15" w:type="dxa"/>
          <w:right w:w="15" w:type="dxa"/>
        </w:tblCellMar>
        <w:tblLook w:val="04A0" w:firstRow="1" w:lastRow="0" w:firstColumn="1" w:lastColumn="0" w:noHBand="0" w:noVBand="1"/>
      </w:tblPr>
      <w:tblGrid>
        <w:gridCol w:w="1365"/>
        <w:gridCol w:w="1178"/>
        <w:gridCol w:w="1563"/>
        <w:gridCol w:w="1530"/>
        <w:gridCol w:w="1350"/>
        <w:gridCol w:w="1195"/>
        <w:gridCol w:w="927"/>
        <w:gridCol w:w="905"/>
        <w:gridCol w:w="1333"/>
        <w:gridCol w:w="722"/>
        <w:gridCol w:w="876"/>
      </w:tblGrid>
      <w:tr w:rsidR="00A71953" w:rsidRPr="003B65A6" w14:paraId="4F35AA78" w14:textId="77777777" w:rsidTr="003C1AED">
        <w:trPr>
          <w:trHeight w:val="810"/>
        </w:trPr>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12B834CB" w14:textId="77777777" w:rsidR="00A71953" w:rsidRPr="003B65A6" w:rsidRDefault="00A71953" w:rsidP="003C1AED">
            <w:r w:rsidRPr="003B65A6">
              <w:rPr>
                <w:b/>
                <w:bCs/>
              </w:rPr>
              <w:t>Category</w:t>
            </w:r>
          </w:p>
        </w:tc>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3FCE07A5" w14:textId="77777777" w:rsidR="00A71953" w:rsidRPr="003B65A6" w:rsidRDefault="00A71953" w:rsidP="003C1AED">
            <w:r w:rsidRPr="003B65A6">
              <w:rPr>
                <w:b/>
                <w:bCs/>
              </w:rPr>
              <w:t>Total</w:t>
            </w:r>
          </w:p>
        </w:tc>
        <w:tc>
          <w:tcPr>
            <w:tcW w:w="1563" w:type="dxa"/>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5E080BBF" w14:textId="77777777" w:rsidR="00A71953" w:rsidRPr="003B65A6" w:rsidRDefault="00A71953" w:rsidP="003C1AED">
            <w:r w:rsidRPr="003B65A6">
              <w:rPr>
                <w:b/>
                <w:bCs/>
              </w:rPr>
              <w:t>Operational Requirement (OR)*</w:t>
            </w:r>
          </w:p>
        </w:tc>
        <w:tc>
          <w:tcPr>
            <w:tcW w:w="1530" w:type="dxa"/>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75B7912D" w14:textId="77777777" w:rsidR="00A71953" w:rsidRPr="003B65A6" w:rsidRDefault="00A71953" w:rsidP="003C1AED">
            <w:r w:rsidRPr="003B65A6">
              <w:rPr>
                <w:b/>
                <w:bCs/>
              </w:rPr>
              <w:t>Vendor Dependency (VD)**</w:t>
            </w:r>
          </w:p>
        </w:tc>
        <w:tc>
          <w:tcPr>
            <w:tcW w:w="1350" w:type="dxa"/>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1E494FAE" w14:textId="77777777" w:rsidR="00A71953" w:rsidRPr="003B65A6" w:rsidRDefault="00A71953" w:rsidP="003C1AED">
            <w:r w:rsidRPr="003B65A6">
              <w:rPr>
                <w:b/>
                <w:bCs/>
              </w:rPr>
              <w:t>SRTM Test Cases</w:t>
            </w:r>
          </w:p>
        </w:tc>
        <w:tc>
          <w:tcPr>
            <w:tcW w:w="1195" w:type="dxa"/>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7D828213" w14:textId="77777777" w:rsidR="00A71953" w:rsidRPr="003B65A6" w:rsidRDefault="00A71953" w:rsidP="003C1AED">
            <w:r w:rsidRPr="003B65A6">
              <w:rPr>
                <w:b/>
                <w:bCs/>
              </w:rPr>
              <w:t>OS Scans</w:t>
            </w:r>
          </w:p>
        </w:tc>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12C51821" w14:textId="77777777" w:rsidR="00A71953" w:rsidRPr="003B65A6" w:rsidRDefault="00A71953" w:rsidP="003C1AED">
            <w:r w:rsidRPr="003B65A6">
              <w:rPr>
                <w:b/>
                <w:bCs/>
              </w:rPr>
              <w:t>Web Scans</w:t>
            </w:r>
          </w:p>
        </w:tc>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2E3B5BF8" w14:textId="77777777" w:rsidR="00A71953" w:rsidRPr="003B65A6" w:rsidRDefault="00A71953" w:rsidP="003C1AED">
            <w:r w:rsidRPr="003B65A6">
              <w:rPr>
                <w:b/>
                <w:bCs/>
              </w:rPr>
              <w:t>DB Scans</w:t>
            </w:r>
          </w:p>
        </w:tc>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3643F27D" w14:textId="77777777" w:rsidR="00A71953" w:rsidRPr="003B65A6" w:rsidRDefault="00A71953" w:rsidP="003C1AED">
            <w:r w:rsidRPr="003B65A6">
              <w:rPr>
                <w:b/>
                <w:bCs/>
              </w:rPr>
              <w:t>Cont</w:t>
            </w:r>
            <w:r>
              <w:rPr>
                <w:b/>
                <w:bCs/>
              </w:rPr>
              <w:t xml:space="preserve">ainer </w:t>
            </w:r>
            <w:r w:rsidRPr="003B65A6">
              <w:rPr>
                <w:b/>
                <w:bCs/>
              </w:rPr>
              <w:t>Scans</w:t>
            </w:r>
          </w:p>
        </w:tc>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67BA847E" w14:textId="77777777" w:rsidR="00A71953" w:rsidRPr="003B65A6" w:rsidRDefault="00A71953" w:rsidP="003C1AED">
            <w:r w:rsidRPr="003B65A6">
              <w:rPr>
                <w:b/>
                <w:bCs/>
              </w:rPr>
              <w:t>Pen Test</w:t>
            </w:r>
          </w:p>
        </w:tc>
        <w:tc>
          <w:tcPr>
            <w:tcW w:w="0" w:type="auto"/>
            <w:tcBorders>
              <w:top w:val="single" w:sz="6" w:space="0" w:color="B4B4B4"/>
              <w:left w:val="single" w:sz="6" w:space="0" w:color="B4B4B4"/>
              <w:bottom w:val="single" w:sz="6" w:space="0" w:color="B4B4B4"/>
              <w:right w:val="single" w:sz="6" w:space="0" w:color="B4B4B4"/>
            </w:tcBorders>
            <w:shd w:val="clear" w:color="auto" w:fill="CCECFC"/>
            <w:tcMar>
              <w:top w:w="0" w:type="dxa"/>
              <w:left w:w="100" w:type="dxa"/>
              <w:bottom w:w="0" w:type="dxa"/>
              <w:right w:w="100" w:type="dxa"/>
            </w:tcMar>
            <w:hideMark/>
          </w:tcPr>
          <w:p w14:paraId="7979C2DE" w14:textId="77777777" w:rsidR="00A71953" w:rsidRPr="003B65A6" w:rsidRDefault="00A71953" w:rsidP="003C1AED">
            <w:r w:rsidRPr="003B65A6">
              <w:rPr>
                <w:b/>
                <w:bCs/>
              </w:rPr>
              <w:t>CM-6 Finds</w:t>
            </w:r>
          </w:p>
        </w:tc>
      </w:tr>
      <w:tr w:rsidR="00A71953" w:rsidRPr="003B65A6" w14:paraId="713B664A" w14:textId="77777777" w:rsidTr="001D32F0">
        <w:trPr>
          <w:trHeight w:val="330"/>
        </w:trPr>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hideMark/>
          </w:tcPr>
          <w:p w14:paraId="58D9A61E" w14:textId="77777777" w:rsidR="00A71953" w:rsidRPr="003B65A6" w:rsidRDefault="00A71953" w:rsidP="003C1AED">
            <w:r w:rsidRPr="003B65A6">
              <w:rPr>
                <w:b/>
                <w:bCs/>
              </w:rPr>
              <w:t>High (H)</w:t>
            </w:r>
          </w:p>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hideMark/>
          </w:tcPr>
          <w:p w14:paraId="30C6B5A6" w14:textId="77777777" w:rsidR="00A71953" w:rsidRPr="003B65A6" w:rsidRDefault="00A71953" w:rsidP="003C1AED">
            <w:r w:rsidRPr="003B65A6">
              <w:t>[Number]</w:t>
            </w:r>
          </w:p>
        </w:tc>
        <w:tc>
          <w:tcPr>
            <w:tcW w:w="1563"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52337898" w14:textId="77777777" w:rsidR="00A71953" w:rsidRPr="003B65A6" w:rsidRDefault="00A71953" w:rsidP="003C1AED"/>
        </w:tc>
        <w:tc>
          <w:tcPr>
            <w:tcW w:w="1530"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1BA65083" w14:textId="77777777" w:rsidR="00A71953" w:rsidRPr="003B65A6" w:rsidRDefault="00A71953" w:rsidP="003C1AED"/>
        </w:tc>
        <w:tc>
          <w:tcPr>
            <w:tcW w:w="1350"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566B7DA4" w14:textId="68D72FD7" w:rsidR="00A71953" w:rsidRPr="003B65A6" w:rsidRDefault="00A71953" w:rsidP="003C1AED"/>
        </w:tc>
        <w:tc>
          <w:tcPr>
            <w:tcW w:w="1195"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74BFE46D" w14:textId="2AAA7855"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00AB205D" w14:textId="32BA2858"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40053F84" w14:textId="5D2A16D1"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2462797B" w14:textId="0617E147"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70DB3068" w14:textId="20F585B9"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23DD05FC" w14:textId="3F7C5C81" w:rsidR="00A71953" w:rsidRPr="003B65A6" w:rsidRDefault="00A71953" w:rsidP="003C1AED"/>
        </w:tc>
      </w:tr>
      <w:tr w:rsidR="00A71953" w:rsidRPr="003B65A6" w14:paraId="4DFD6975" w14:textId="77777777" w:rsidTr="001D32F0">
        <w:trPr>
          <w:trHeight w:val="810"/>
        </w:trPr>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hideMark/>
          </w:tcPr>
          <w:p w14:paraId="0ED02B9B" w14:textId="77777777" w:rsidR="00A71953" w:rsidRPr="003B65A6" w:rsidRDefault="00A71953" w:rsidP="003C1AED">
            <w:r w:rsidRPr="003B65A6">
              <w:rPr>
                <w:b/>
                <w:bCs/>
              </w:rPr>
              <w:t>H RA to Moderate (M)</w:t>
            </w:r>
          </w:p>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hideMark/>
          </w:tcPr>
          <w:p w14:paraId="6325A390" w14:textId="77777777" w:rsidR="00A71953" w:rsidRPr="003B65A6" w:rsidRDefault="00A71953" w:rsidP="003C1AED">
            <w:r w:rsidRPr="003B65A6">
              <w:t>[Number]</w:t>
            </w:r>
          </w:p>
        </w:tc>
        <w:tc>
          <w:tcPr>
            <w:tcW w:w="1563"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3600A561" w14:textId="091CA290" w:rsidR="00A71953" w:rsidRPr="003B65A6" w:rsidRDefault="00A71953" w:rsidP="003C1AED"/>
        </w:tc>
        <w:tc>
          <w:tcPr>
            <w:tcW w:w="1530"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51D53A73" w14:textId="66D4B47A" w:rsidR="00A71953" w:rsidRPr="003B65A6" w:rsidRDefault="00A71953" w:rsidP="003C1AED"/>
        </w:tc>
        <w:tc>
          <w:tcPr>
            <w:tcW w:w="1350"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7C30412A" w14:textId="18393C8D" w:rsidR="00A71953" w:rsidRPr="003B65A6" w:rsidRDefault="00A71953" w:rsidP="003C1AED"/>
        </w:tc>
        <w:tc>
          <w:tcPr>
            <w:tcW w:w="1195"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6240DDF8" w14:textId="48E1C46C"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6D905AB8" w14:textId="29F220D1"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55F526B3" w14:textId="223A1987"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38DA838F" w14:textId="5201983C"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31F5D952" w14:textId="6DAE47B3"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3F9EE67F" w14:textId="22533894" w:rsidR="00A71953" w:rsidRPr="003B65A6" w:rsidRDefault="00A71953" w:rsidP="003C1AED"/>
        </w:tc>
      </w:tr>
      <w:tr w:rsidR="00A71953" w:rsidRPr="003B65A6" w14:paraId="09F7F0E4" w14:textId="77777777" w:rsidTr="001D32F0">
        <w:trPr>
          <w:trHeight w:val="330"/>
        </w:trPr>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hideMark/>
          </w:tcPr>
          <w:p w14:paraId="0DC386BF" w14:textId="77777777" w:rsidR="00A71953" w:rsidRPr="003B65A6" w:rsidRDefault="00A71953" w:rsidP="003C1AED">
            <w:r w:rsidRPr="003B65A6">
              <w:rPr>
                <w:b/>
                <w:bCs/>
              </w:rPr>
              <w:t>M</w:t>
            </w:r>
          </w:p>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hideMark/>
          </w:tcPr>
          <w:p w14:paraId="21150DAD" w14:textId="77777777" w:rsidR="00A71953" w:rsidRPr="003B65A6" w:rsidRDefault="00A71953" w:rsidP="003C1AED">
            <w:r w:rsidRPr="003B65A6">
              <w:t>[Number]</w:t>
            </w:r>
          </w:p>
        </w:tc>
        <w:tc>
          <w:tcPr>
            <w:tcW w:w="1563"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3FBA79D8" w14:textId="2A9EE6E1" w:rsidR="00A71953" w:rsidRPr="003B65A6" w:rsidRDefault="00A71953" w:rsidP="003C1AED"/>
        </w:tc>
        <w:tc>
          <w:tcPr>
            <w:tcW w:w="1530"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6FE11EB2" w14:textId="66F6F196" w:rsidR="00A71953" w:rsidRPr="003B65A6" w:rsidRDefault="00A71953" w:rsidP="003C1AED"/>
        </w:tc>
        <w:tc>
          <w:tcPr>
            <w:tcW w:w="1350"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2A637A97" w14:textId="2C62D7A0" w:rsidR="00A71953" w:rsidRPr="003B65A6" w:rsidRDefault="00A71953" w:rsidP="003C1AED"/>
        </w:tc>
        <w:tc>
          <w:tcPr>
            <w:tcW w:w="1195"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4562CA4C" w14:textId="53A2ECCA"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79F79E79" w14:textId="078D5282"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2B877222" w14:textId="0C572E06"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063244AB" w14:textId="2E519F40"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5180FE15" w14:textId="341BECA1"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5CA03AAD" w14:textId="2A95138E" w:rsidR="00A71953" w:rsidRPr="003B65A6" w:rsidRDefault="00A71953" w:rsidP="003C1AED"/>
        </w:tc>
      </w:tr>
      <w:tr w:rsidR="00A71953" w:rsidRPr="003B65A6" w14:paraId="2EEFA2DE" w14:textId="77777777" w:rsidTr="001D32F0">
        <w:trPr>
          <w:trHeight w:val="570"/>
        </w:trPr>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hideMark/>
          </w:tcPr>
          <w:p w14:paraId="07E11FD7" w14:textId="77777777" w:rsidR="00A71953" w:rsidRPr="003B65A6" w:rsidRDefault="00A71953" w:rsidP="003C1AED">
            <w:r w:rsidRPr="003B65A6">
              <w:rPr>
                <w:b/>
                <w:bCs/>
              </w:rPr>
              <w:t>H RA to Low (L)</w:t>
            </w:r>
          </w:p>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hideMark/>
          </w:tcPr>
          <w:p w14:paraId="628F39BE" w14:textId="77777777" w:rsidR="00A71953" w:rsidRPr="003B65A6" w:rsidRDefault="00A71953" w:rsidP="003C1AED">
            <w:r w:rsidRPr="003B65A6">
              <w:t>[Number]</w:t>
            </w:r>
          </w:p>
        </w:tc>
        <w:tc>
          <w:tcPr>
            <w:tcW w:w="1563"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2BA72888" w14:textId="530DC5BA" w:rsidR="00A71953" w:rsidRPr="003B65A6" w:rsidRDefault="00A71953" w:rsidP="003C1AED"/>
        </w:tc>
        <w:tc>
          <w:tcPr>
            <w:tcW w:w="1530"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46CAC292" w14:textId="79C9F01F" w:rsidR="00A71953" w:rsidRPr="003B65A6" w:rsidRDefault="00A71953" w:rsidP="003C1AED"/>
        </w:tc>
        <w:tc>
          <w:tcPr>
            <w:tcW w:w="1350"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6B973AB8" w14:textId="48D04A94" w:rsidR="00A71953" w:rsidRPr="003B65A6" w:rsidRDefault="00A71953" w:rsidP="003C1AED"/>
        </w:tc>
        <w:tc>
          <w:tcPr>
            <w:tcW w:w="1195"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23B4A353" w14:textId="4D9784D9"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63EA7201" w14:textId="2A4253D9"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34247BD0" w14:textId="1051B967"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76AEA02B" w14:textId="74703943"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24438803" w14:textId="40B4D585"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4DC58E44" w14:textId="2D0C01FB" w:rsidR="00A71953" w:rsidRPr="003B65A6" w:rsidRDefault="00A71953" w:rsidP="003C1AED"/>
        </w:tc>
      </w:tr>
      <w:tr w:rsidR="00A71953" w:rsidRPr="003B65A6" w14:paraId="262E0C19" w14:textId="77777777" w:rsidTr="001D32F0">
        <w:trPr>
          <w:trHeight w:val="330"/>
        </w:trPr>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hideMark/>
          </w:tcPr>
          <w:p w14:paraId="3A47E229" w14:textId="77777777" w:rsidR="00A71953" w:rsidRPr="003B65A6" w:rsidRDefault="00A71953" w:rsidP="003C1AED">
            <w:r w:rsidRPr="003B65A6">
              <w:rPr>
                <w:b/>
                <w:bCs/>
              </w:rPr>
              <w:t>M RA to L</w:t>
            </w:r>
          </w:p>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hideMark/>
          </w:tcPr>
          <w:p w14:paraId="72BC0B9E" w14:textId="77777777" w:rsidR="00A71953" w:rsidRPr="003B65A6" w:rsidRDefault="00A71953" w:rsidP="003C1AED">
            <w:r w:rsidRPr="003B65A6">
              <w:t>[Number]</w:t>
            </w:r>
          </w:p>
        </w:tc>
        <w:tc>
          <w:tcPr>
            <w:tcW w:w="1563"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3316AC9A" w14:textId="598E8FFE" w:rsidR="00A71953" w:rsidRPr="003B65A6" w:rsidRDefault="00A71953" w:rsidP="003C1AED"/>
        </w:tc>
        <w:tc>
          <w:tcPr>
            <w:tcW w:w="1530"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07E861B2" w14:textId="02859415" w:rsidR="00A71953" w:rsidRPr="003B65A6" w:rsidRDefault="00A71953" w:rsidP="003C1AED"/>
        </w:tc>
        <w:tc>
          <w:tcPr>
            <w:tcW w:w="1350"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78F8A3A8" w14:textId="251DC7C5" w:rsidR="00A71953" w:rsidRPr="003B65A6" w:rsidRDefault="00A71953" w:rsidP="003C1AED"/>
        </w:tc>
        <w:tc>
          <w:tcPr>
            <w:tcW w:w="1195" w:type="dxa"/>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75AB547F" w14:textId="11D14A58"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48D57EB4" w14:textId="5A8DED31"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416A8EE4" w14:textId="253E1A91"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2FF88FF4" w14:textId="02F8FE3D"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6DB75649" w14:textId="63530523"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shd w:val="clear" w:color="auto" w:fill="F0F0F0"/>
            <w:tcMar>
              <w:top w:w="0" w:type="dxa"/>
              <w:left w:w="100" w:type="dxa"/>
              <w:bottom w:w="0" w:type="dxa"/>
              <w:right w:w="100" w:type="dxa"/>
            </w:tcMar>
          </w:tcPr>
          <w:p w14:paraId="2D7615C6" w14:textId="52676323" w:rsidR="00A71953" w:rsidRPr="003B65A6" w:rsidRDefault="00A71953" w:rsidP="003C1AED"/>
        </w:tc>
      </w:tr>
      <w:tr w:rsidR="00A71953" w:rsidRPr="003B65A6" w14:paraId="2C15FDE1" w14:textId="77777777" w:rsidTr="001D32F0">
        <w:trPr>
          <w:trHeight w:val="330"/>
        </w:trPr>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hideMark/>
          </w:tcPr>
          <w:p w14:paraId="4F92D347" w14:textId="77777777" w:rsidR="00A71953" w:rsidRPr="003B65A6" w:rsidRDefault="00A71953" w:rsidP="003C1AED">
            <w:r w:rsidRPr="003B65A6">
              <w:rPr>
                <w:b/>
                <w:bCs/>
              </w:rPr>
              <w:t>L</w:t>
            </w:r>
          </w:p>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hideMark/>
          </w:tcPr>
          <w:p w14:paraId="4EC02D79" w14:textId="77777777" w:rsidR="00A71953" w:rsidRPr="003B65A6" w:rsidRDefault="00A71953" w:rsidP="003C1AED">
            <w:r w:rsidRPr="003B65A6">
              <w:t>[Number]</w:t>
            </w:r>
          </w:p>
        </w:tc>
        <w:tc>
          <w:tcPr>
            <w:tcW w:w="1563"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3D9D5D43" w14:textId="2DFDAB0F" w:rsidR="00A71953" w:rsidRPr="003B65A6" w:rsidRDefault="00A71953" w:rsidP="003C1AED"/>
        </w:tc>
        <w:tc>
          <w:tcPr>
            <w:tcW w:w="1530"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590FB92B" w14:textId="6B0EB333" w:rsidR="00A71953" w:rsidRPr="003B65A6" w:rsidRDefault="00A71953" w:rsidP="003C1AED"/>
        </w:tc>
        <w:tc>
          <w:tcPr>
            <w:tcW w:w="1350"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4B3F7AB1" w14:textId="18896C5C" w:rsidR="00A71953" w:rsidRPr="003B65A6" w:rsidRDefault="00A71953" w:rsidP="003C1AED"/>
        </w:tc>
        <w:tc>
          <w:tcPr>
            <w:tcW w:w="1195" w:type="dxa"/>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5D52AA7F" w14:textId="3D203B22"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4763ADF1" w14:textId="1BB9ACA0"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5614CE4A" w14:textId="0E56319A"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773AE19E" w14:textId="043C09F2"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28EE6A74" w14:textId="4CCD8A36" w:rsidR="00A71953" w:rsidRPr="003B65A6" w:rsidRDefault="00A71953" w:rsidP="003C1AED"/>
        </w:tc>
        <w:tc>
          <w:tcPr>
            <w:tcW w:w="0" w:type="auto"/>
            <w:tcBorders>
              <w:top w:val="single" w:sz="6" w:space="0" w:color="B4B4B4"/>
              <w:left w:val="single" w:sz="6" w:space="0" w:color="B4B4B4"/>
              <w:bottom w:val="single" w:sz="6" w:space="0" w:color="B4B4B4"/>
              <w:right w:val="single" w:sz="6" w:space="0" w:color="B4B4B4"/>
            </w:tcBorders>
            <w:tcMar>
              <w:top w:w="0" w:type="dxa"/>
              <w:left w:w="100" w:type="dxa"/>
              <w:bottom w:w="0" w:type="dxa"/>
              <w:right w:w="100" w:type="dxa"/>
            </w:tcMar>
          </w:tcPr>
          <w:p w14:paraId="5D76A7F3" w14:textId="4D36DD1D" w:rsidR="00A71953" w:rsidRPr="003B65A6" w:rsidRDefault="00A71953" w:rsidP="003C1AED"/>
        </w:tc>
      </w:tr>
      <w:tr w:rsidR="00A71953" w:rsidRPr="003B65A6" w14:paraId="6D954ABD" w14:textId="77777777" w:rsidTr="001D32F0">
        <w:trPr>
          <w:trHeight w:val="570"/>
        </w:trPr>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hideMark/>
          </w:tcPr>
          <w:p w14:paraId="62B96A17" w14:textId="77777777" w:rsidR="00A71953" w:rsidRPr="003B65A6" w:rsidRDefault="00A71953" w:rsidP="003C1AED">
            <w:pPr>
              <w:rPr>
                <w:b/>
                <w:bCs/>
                <w:color w:val="FFFFFF" w:themeColor="background1"/>
              </w:rPr>
            </w:pPr>
            <w:r w:rsidRPr="003B65A6">
              <w:rPr>
                <w:b/>
                <w:bCs/>
                <w:color w:val="FFFFFF" w:themeColor="background1"/>
              </w:rPr>
              <w:t>Total Risks</w:t>
            </w:r>
          </w:p>
        </w:tc>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hideMark/>
          </w:tcPr>
          <w:p w14:paraId="7E27EDE3" w14:textId="77777777" w:rsidR="00A71953" w:rsidRPr="003B65A6" w:rsidRDefault="00A71953" w:rsidP="003C1AED">
            <w:pPr>
              <w:rPr>
                <w:b/>
                <w:bCs/>
                <w:color w:val="FFFFFF" w:themeColor="background1"/>
              </w:rPr>
            </w:pPr>
            <w:r w:rsidRPr="003B65A6">
              <w:rPr>
                <w:b/>
                <w:bCs/>
                <w:color w:val="FFFFFF" w:themeColor="background1"/>
              </w:rPr>
              <w:t>[Number]</w:t>
            </w:r>
          </w:p>
        </w:tc>
        <w:tc>
          <w:tcPr>
            <w:tcW w:w="1563" w:type="dxa"/>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5CDE0F21" w14:textId="02A6015A" w:rsidR="00A71953" w:rsidRPr="003B65A6" w:rsidRDefault="00A71953" w:rsidP="003C1AED">
            <w:pPr>
              <w:rPr>
                <w:b/>
                <w:bCs/>
                <w:color w:val="FFFFFF" w:themeColor="background1"/>
              </w:rPr>
            </w:pPr>
          </w:p>
        </w:tc>
        <w:tc>
          <w:tcPr>
            <w:tcW w:w="1530" w:type="dxa"/>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4DF753F5" w14:textId="0EBCF8EB" w:rsidR="00A71953" w:rsidRPr="003B65A6" w:rsidRDefault="00A71953" w:rsidP="003C1AED">
            <w:pPr>
              <w:rPr>
                <w:b/>
                <w:bCs/>
                <w:color w:val="FFFFFF" w:themeColor="background1"/>
              </w:rPr>
            </w:pPr>
          </w:p>
        </w:tc>
        <w:tc>
          <w:tcPr>
            <w:tcW w:w="1350" w:type="dxa"/>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245CB838" w14:textId="74A8E743" w:rsidR="00A71953" w:rsidRPr="003B65A6" w:rsidRDefault="00A71953" w:rsidP="003C1AED">
            <w:pPr>
              <w:rPr>
                <w:b/>
                <w:bCs/>
                <w:color w:val="FFFFFF" w:themeColor="background1"/>
              </w:rPr>
            </w:pPr>
          </w:p>
        </w:tc>
        <w:tc>
          <w:tcPr>
            <w:tcW w:w="1195" w:type="dxa"/>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14140A7F" w14:textId="44F7E214" w:rsidR="00A71953" w:rsidRPr="003B65A6" w:rsidRDefault="00A71953" w:rsidP="003C1AED">
            <w:pPr>
              <w:rPr>
                <w:b/>
                <w:bCs/>
                <w:color w:val="FFFFFF" w:themeColor="background1"/>
              </w:rPr>
            </w:pPr>
          </w:p>
        </w:tc>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5FE36EEB" w14:textId="4DA16DA3" w:rsidR="00A71953" w:rsidRPr="003B65A6" w:rsidRDefault="00A71953" w:rsidP="003C1AED">
            <w:pPr>
              <w:rPr>
                <w:b/>
                <w:bCs/>
                <w:color w:val="FFFFFF" w:themeColor="background1"/>
              </w:rPr>
            </w:pPr>
          </w:p>
        </w:tc>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332323D5" w14:textId="645C8D31" w:rsidR="00A71953" w:rsidRPr="003B65A6" w:rsidRDefault="00A71953" w:rsidP="003C1AED">
            <w:pPr>
              <w:rPr>
                <w:b/>
                <w:bCs/>
                <w:color w:val="FFFFFF" w:themeColor="background1"/>
              </w:rPr>
            </w:pPr>
          </w:p>
        </w:tc>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662282E2" w14:textId="784AB05B" w:rsidR="00A71953" w:rsidRPr="003B65A6" w:rsidRDefault="00A71953" w:rsidP="003C1AED">
            <w:pPr>
              <w:rPr>
                <w:b/>
                <w:bCs/>
                <w:color w:val="FFFFFF" w:themeColor="background1"/>
              </w:rPr>
            </w:pPr>
          </w:p>
        </w:tc>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55041681" w14:textId="20DA786D" w:rsidR="00A71953" w:rsidRPr="003B65A6" w:rsidRDefault="00A71953" w:rsidP="003C1AED">
            <w:pPr>
              <w:rPr>
                <w:b/>
                <w:bCs/>
                <w:color w:val="FFFFFF" w:themeColor="background1"/>
              </w:rPr>
            </w:pPr>
          </w:p>
        </w:tc>
        <w:tc>
          <w:tcPr>
            <w:tcW w:w="0" w:type="auto"/>
            <w:tcBorders>
              <w:top w:val="single" w:sz="6" w:space="0" w:color="B4B4B4"/>
              <w:left w:val="single" w:sz="6" w:space="0" w:color="B4B4B4"/>
              <w:bottom w:val="single" w:sz="6" w:space="0" w:color="B4B4B4"/>
              <w:right w:val="single" w:sz="6" w:space="0" w:color="B4B4B4"/>
            </w:tcBorders>
            <w:shd w:val="clear" w:color="auto" w:fill="1A4480"/>
            <w:tcMar>
              <w:top w:w="0" w:type="dxa"/>
              <w:left w:w="100" w:type="dxa"/>
              <w:bottom w:w="0" w:type="dxa"/>
              <w:right w:w="100" w:type="dxa"/>
            </w:tcMar>
          </w:tcPr>
          <w:p w14:paraId="18E03D1D" w14:textId="779817EB" w:rsidR="00A71953" w:rsidRPr="003B65A6" w:rsidRDefault="00A71953" w:rsidP="003C1AED">
            <w:pPr>
              <w:rPr>
                <w:b/>
                <w:bCs/>
                <w:color w:val="FFFFFF" w:themeColor="background1"/>
              </w:rPr>
            </w:pPr>
          </w:p>
        </w:tc>
      </w:tr>
    </w:tbl>
    <w:p w14:paraId="24D6155A" w14:textId="22BB2EB5" w:rsidR="004256F7" w:rsidRDefault="00450601" w:rsidP="00450601">
      <w:pPr>
        <w:rPr>
          <w:i/>
          <w:iCs/>
          <w:shd w:val="clear" w:color="auto" w:fill="FFFFFF"/>
          <w:lang w:val="en-US"/>
        </w:rPr>
      </w:pPr>
      <w:r w:rsidRPr="00466A33">
        <w:rPr>
          <w:i/>
          <w:iCs/>
          <w:shd w:val="clear" w:color="auto" w:fill="FFFFFF"/>
          <w:lang w:val="en-US"/>
        </w:rPr>
        <w:t xml:space="preserve">* ORs are considered open risks and are counted in the total number of risks identified for a system. A CSP should be </w:t>
      </w:r>
      <w:r w:rsidR="00B3139D">
        <w:rPr>
          <w:i/>
          <w:iCs/>
          <w:shd w:val="clear" w:color="auto" w:fill="FFFFFF"/>
          <w:lang w:val="en-US"/>
        </w:rPr>
        <w:t xml:space="preserve">actively </w:t>
      </w:r>
      <w:r w:rsidRPr="00466A33">
        <w:rPr>
          <w:i/>
          <w:iCs/>
          <w:shd w:val="clear" w:color="auto" w:fill="FFFFFF"/>
          <w:lang w:val="en-US"/>
        </w:rPr>
        <w:t>seeking ways to mitigate or eliminate the risks associated with ORs.</w:t>
      </w:r>
    </w:p>
    <w:p w14:paraId="728D8991" w14:textId="4696DE2C" w:rsidR="00B332B5" w:rsidRPr="00466A33" w:rsidRDefault="00450601" w:rsidP="00450601">
      <w:pPr>
        <w:rPr>
          <w:i/>
          <w:iCs/>
          <w:shd w:val="clear" w:color="auto" w:fill="FFFFFF"/>
          <w:lang w:val="en-US"/>
        </w:rPr>
        <w:sectPr w:rsidR="00B332B5" w:rsidRPr="00466A33" w:rsidSect="004256F7">
          <w:headerReference w:type="default" r:id="rId21"/>
          <w:pgSz w:w="15840" w:h="12240" w:orient="landscape"/>
          <w:pgMar w:top="1161" w:right="1440" w:bottom="657" w:left="1440" w:header="0" w:footer="0" w:gutter="0"/>
          <w:cols w:space="720"/>
          <w:docGrid w:linePitch="299"/>
        </w:sectPr>
      </w:pPr>
      <w:r w:rsidRPr="00466A33">
        <w:rPr>
          <w:i/>
          <w:iCs/>
          <w:shd w:val="clear" w:color="auto" w:fill="FFFFFF"/>
          <w:lang w:val="en-US"/>
        </w:rPr>
        <w:lastRenderedPageBreak/>
        <w:t>**VDs are considered open risks that must be counted in the total number of risks identified for a system. A CSP should be actively seeking ways to mitigate or eliminate the risks associated with VDs. If a VD is ongoing, a CSP may have to migrate to a different technology/vendor.</w:t>
      </w:r>
      <w:r w:rsidR="00FB2B3F" w:rsidRPr="00466A33">
        <w:rPr>
          <w:i/>
          <w:iCs/>
          <w:shd w:val="clear" w:color="auto" w:fill="FFFFFF"/>
          <w:lang w:val="en-US"/>
        </w:rPr>
        <w:t xml:space="preserve"> </w:t>
      </w:r>
    </w:p>
    <w:p w14:paraId="68DEC1E4" w14:textId="7F10438D" w:rsidR="00450601" w:rsidRPr="00466A33" w:rsidRDefault="00450601" w:rsidP="00450601">
      <w:pPr>
        <w:rPr>
          <w:shd w:val="clear" w:color="auto" w:fill="FFFFFF"/>
        </w:rPr>
      </w:pPr>
      <w:r w:rsidRPr="00466A33">
        <w:rPr>
          <w:shd w:val="clear" w:color="auto" w:fill="FFFFFF"/>
        </w:rPr>
        <w:lastRenderedPageBreak/>
        <w:t>Details of the assessment approach are documented in the SAP</w:t>
      </w:r>
      <w:r w:rsidR="00462D14" w:rsidRPr="00466A33">
        <w:rPr>
          <w:shd w:val="clear" w:color="auto" w:fill="FFFFFF"/>
        </w:rPr>
        <w:t>,</w:t>
      </w:r>
      <w:r w:rsidRPr="00466A33">
        <w:rPr>
          <w:shd w:val="clear" w:color="auto" w:fill="FFFFFF"/>
        </w:rPr>
        <w:t xml:space="preserve"> </w:t>
      </w:r>
      <w:r w:rsidR="00462D14" w:rsidRPr="00466A33">
        <w:rPr>
          <w:shd w:val="clear" w:color="auto" w:fill="FFFFFF"/>
        </w:rPr>
        <w:t>&lt;Insert V</w:t>
      </w:r>
      <w:r w:rsidRPr="00466A33">
        <w:rPr>
          <w:shd w:val="clear" w:color="auto" w:fill="FFFFFF"/>
        </w:rPr>
        <w:t xml:space="preserve">ersion </w:t>
      </w:r>
      <w:r w:rsidR="00462D14" w:rsidRPr="00466A33">
        <w:rPr>
          <w:shd w:val="clear" w:color="auto" w:fill="FFFFFF"/>
        </w:rPr>
        <w:t>X.X&gt;</w:t>
      </w:r>
      <w:r w:rsidRPr="00466A33">
        <w:rPr>
          <w:shd w:val="clear" w:color="auto" w:fill="FFFFFF"/>
        </w:rPr>
        <w:t xml:space="preserve">, dated </w:t>
      </w:r>
      <w:r w:rsidR="00462D14" w:rsidRPr="00466A33">
        <w:rPr>
          <w:shd w:val="clear" w:color="auto" w:fill="FFFFFF"/>
        </w:rPr>
        <w:t xml:space="preserve">&lt;Insert </w:t>
      </w:r>
      <w:r w:rsidRPr="00466A33">
        <w:rPr>
          <w:shd w:val="clear" w:color="auto" w:fill="FFFFFF"/>
        </w:rPr>
        <w:t>MM/DD/YYYY</w:t>
      </w:r>
      <w:r w:rsidR="00462D14" w:rsidRPr="00466A33">
        <w:rPr>
          <w:shd w:val="clear" w:color="auto" w:fill="FFFFFF"/>
        </w:rPr>
        <w:t>&gt;</w:t>
      </w:r>
      <w:r w:rsidRPr="00466A33">
        <w:rPr>
          <w:shd w:val="clear" w:color="auto" w:fill="FFFFFF"/>
        </w:rPr>
        <w:t>. Any deviations from the approved SAP are noted in Table 4-1,</w:t>
      </w:r>
      <w:r w:rsidRPr="00466A33">
        <w:rPr>
          <w:i/>
          <w:shd w:val="clear" w:color="auto" w:fill="FFFFFF"/>
        </w:rPr>
        <w:t xml:space="preserve"> List of Assessment Deviations</w:t>
      </w:r>
      <w:r w:rsidR="004256F7">
        <w:rPr>
          <w:shd w:val="clear" w:color="auto" w:fill="FFFFFF"/>
        </w:rPr>
        <w:t xml:space="preserve"> </w:t>
      </w:r>
      <w:r w:rsidRPr="00466A33">
        <w:rPr>
          <w:shd w:val="clear" w:color="auto" w:fill="FFFFFF"/>
        </w:rPr>
        <w:t>below.</w:t>
      </w:r>
    </w:p>
    <w:p w14:paraId="44C123B1" w14:textId="45548D47" w:rsidR="00450601" w:rsidRPr="00466A33" w:rsidRDefault="00450601" w:rsidP="6515EF5F">
      <w:pPr>
        <w:rPr>
          <w:shd w:val="clear" w:color="auto" w:fill="FFFFFF"/>
          <w:lang w:val="en-US"/>
        </w:rPr>
      </w:pPr>
      <w:r w:rsidRPr="6515EF5F">
        <w:rPr>
          <w:shd w:val="clear" w:color="auto" w:fill="FFFFFF"/>
          <w:lang w:val="en-US"/>
        </w:rPr>
        <w:t xml:space="preserve">The following were completed for this assessment: </w:t>
      </w:r>
      <w:sdt>
        <w:sdtPr>
          <w:rPr>
            <w:shd w:val="clear" w:color="auto" w:fill="FFFFFF"/>
          </w:rPr>
          <w:tag w:val="goog_rdk_2"/>
          <w:id w:val="-1319726486"/>
        </w:sdtPr>
        <w:sdtContent/>
      </w:sdt>
      <w:r w:rsidRPr="6515EF5F">
        <w:rPr>
          <w:shd w:val="clear" w:color="auto" w:fill="FFFFFF"/>
          <w:lang w:val="en-US"/>
        </w:rPr>
        <w:t>&lt;Choose all that apply: manual testing/penetration testing/</w:t>
      </w:r>
      <w:r w:rsidR="002F5005" w:rsidRPr="6515EF5F" w:rsidDel="002F5005">
        <w:rPr>
          <w:shd w:val="clear" w:color="auto" w:fill="FFFFFF"/>
          <w:lang w:val="en-US"/>
        </w:rPr>
        <w:t xml:space="preserve"> </w:t>
      </w:r>
      <w:r w:rsidRPr="6515EF5F">
        <w:rPr>
          <w:shd w:val="clear" w:color="auto" w:fill="FFFFFF"/>
          <w:lang w:val="en-US"/>
        </w:rPr>
        <w:t>web application</w:t>
      </w:r>
      <w:r w:rsidR="002F5005" w:rsidRPr="6515EF5F">
        <w:rPr>
          <w:shd w:val="clear" w:color="auto" w:fill="FFFFFF"/>
          <w:lang w:val="en-US"/>
        </w:rPr>
        <w:t xml:space="preserve"> vulnerability scans</w:t>
      </w:r>
      <w:r w:rsidRPr="6515EF5F">
        <w:rPr>
          <w:shd w:val="clear" w:color="auto" w:fill="FFFFFF"/>
          <w:lang w:val="en-US"/>
        </w:rPr>
        <w:t>/database</w:t>
      </w:r>
      <w:r w:rsidR="002F5005" w:rsidRPr="6515EF5F">
        <w:rPr>
          <w:shd w:val="clear" w:color="auto" w:fill="FFFFFF"/>
          <w:lang w:val="en-US"/>
        </w:rPr>
        <w:t xml:space="preserve"> vulnerability scans</w:t>
      </w:r>
      <w:r w:rsidRPr="6515EF5F">
        <w:rPr>
          <w:shd w:val="clear" w:color="auto" w:fill="FFFFFF"/>
          <w:lang w:val="en-US"/>
        </w:rPr>
        <w:t>/operating system</w:t>
      </w:r>
      <w:r w:rsidR="002F5005" w:rsidRPr="6515EF5F">
        <w:rPr>
          <w:shd w:val="clear" w:color="auto" w:fill="FFFFFF"/>
          <w:lang w:val="en-US"/>
        </w:rPr>
        <w:t xml:space="preserve"> vulnerability scans</w:t>
      </w:r>
      <w:r w:rsidRPr="6515EF5F">
        <w:rPr>
          <w:shd w:val="clear" w:color="auto" w:fill="FFFFFF"/>
          <w:lang w:val="en-US"/>
        </w:rPr>
        <w:t>/container</w:t>
      </w:r>
      <w:r w:rsidR="002F5005" w:rsidRPr="6515EF5F">
        <w:rPr>
          <w:shd w:val="clear" w:color="auto" w:fill="FFFFFF"/>
          <w:lang w:val="en-US"/>
        </w:rPr>
        <w:t xml:space="preserve"> vulnerability scans</w:t>
      </w:r>
      <w:r w:rsidRPr="6515EF5F">
        <w:rPr>
          <w:shd w:val="clear" w:color="auto" w:fill="FFFFFF"/>
          <w:lang w:val="en-US"/>
        </w:rPr>
        <w:t>&gt;.</w:t>
      </w:r>
    </w:p>
    <w:p w14:paraId="4703304E" w14:textId="77777777" w:rsidR="004226F2" w:rsidRPr="00466A33" w:rsidRDefault="004226F2" w:rsidP="00450601">
      <w:pPr>
        <w:rPr>
          <w:shd w:val="clear" w:color="auto" w:fill="FFFFFF"/>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E49F1EA" w14:textId="77777777" w:rsidTr="6515EF5F">
        <w:trPr>
          <w:trHeight w:val="57"/>
        </w:trPr>
        <w:tc>
          <w:tcPr>
            <w:tcW w:w="9350" w:type="dxa"/>
            <w:shd w:val="clear" w:color="auto" w:fill="19447F" w:themeFill="accent2"/>
          </w:tcPr>
          <w:p w14:paraId="16C853F7" w14:textId="77777777" w:rsidR="00450601" w:rsidRPr="00466A33" w:rsidRDefault="00450601" w:rsidP="00703332">
            <w:pPr>
              <w:spacing w:after="80"/>
              <w:rPr>
                <w:b/>
                <w:i/>
                <w:color w:val="FFFFFF"/>
              </w:rPr>
            </w:pPr>
            <w:r w:rsidRPr="00466A33">
              <w:rPr>
                <w:b/>
                <w:i/>
                <w:color w:val="FFFFFF"/>
              </w:rPr>
              <w:t>Instruction:</w:t>
            </w:r>
          </w:p>
        </w:tc>
      </w:tr>
      <w:tr w:rsidR="00450601" w:rsidRPr="00466A33" w14:paraId="05025478" w14:textId="77777777" w:rsidTr="6515EF5F">
        <w:trPr>
          <w:trHeight w:val="57"/>
        </w:trPr>
        <w:tc>
          <w:tcPr>
            <w:tcW w:w="9350" w:type="dxa"/>
            <w:shd w:val="clear" w:color="auto" w:fill="F2F2F2" w:themeFill="background1" w:themeFillShade="F2"/>
          </w:tcPr>
          <w:p w14:paraId="37DC4B37" w14:textId="69EFCF9A" w:rsidR="002F5005"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Choose the appropriate sentence and delete the inappropriate sentences. If there are multiple significant changes, list each significant change as identified in the SCR. </w:t>
            </w:r>
          </w:p>
          <w:p w14:paraId="15D266EA" w14:textId="1081CEC9" w:rsidR="00450601" w:rsidRPr="00466A33" w:rsidRDefault="002F5005" w:rsidP="00703332">
            <w:pPr>
              <w:pBdr>
                <w:top w:val="nil"/>
                <w:left w:val="nil"/>
                <w:bottom w:val="nil"/>
                <w:right w:val="nil"/>
                <w:between w:val="nil"/>
              </w:pBdr>
              <w:rPr>
                <w:i/>
                <w:color w:val="444444"/>
              </w:rPr>
            </w:pPr>
            <w:r w:rsidRPr="00466A33">
              <w:rPr>
                <w:i/>
                <w:color w:val="444444"/>
              </w:rPr>
              <w:t>NOTE: I</w:t>
            </w:r>
            <w:r w:rsidR="00450601" w:rsidRPr="00466A33">
              <w:rPr>
                <w:i/>
                <w:color w:val="444444"/>
              </w:rPr>
              <w:t>f there are multiple significant changes, it is possible that there are a mix of “recommend” and “does not recommend” statements.</w:t>
            </w:r>
          </w:p>
          <w:p w14:paraId="25AD2077" w14:textId="4A461834" w:rsidR="002F5005" w:rsidRPr="00466A33" w:rsidRDefault="002F5005" w:rsidP="6515EF5F">
            <w:pPr>
              <w:pBdr>
                <w:top w:val="nil"/>
                <w:left w:val="nil"/>
                <w:bottom w:val="nil"/>
                <w:right w:val="nil"/>
                <w:between w:val="nil"/>
              </w:pBdr>
              <w:rPr>
                <w:i/>
                <w:iCs/>
                <w:color w:val="444444"/>
                <w:lang w:val="en-US"/>
              </w:rPr>
            </w:pPr>
            <w:r w:rsidRPr="6515EF5F">
              <w:rPr>
                <w:i/>
                <w:iCs/>
                <w:color w:val="444444"/>
                <w:lang w:val="en-US"/>
              </w:rPr>
              <w:t>I</w:t>
            </w:r>
            <w:r w:rsidR="00450601" w:rsidRPr="6515EF5F">
              <w:rPr>
                <w:i/>
                <w:iCs/>
                <w:color w:val="444444"/>
                <w:lang w:val="en-US"/>
              </w:rPr>
              <w:t>dentify and qualify the significant changes that are recommended beneath that recommendation statement.</w:t>
            </w:r>
          </w:p>
          <w:p w14:paraId="284D5FF7" w14:textId="09871AA9" w:rsidR="00450601" w:rsidRPr="00466A33" w:rsidRDefault="002F5005" w:rsidP="6515EF5F">
            <w:pPr>
              <w:pBdr>
                <w:top w:val="nil"/>
                <w:left w:val="nil"/>
                <w:bottom w:val="nil"/>
                <w:right w:val="nil"/>
                <w:between w:val="nil"/>
              </w:pBdr>
              <w:rPr>
                <w:i/>
                <w:iCs/>
                <w:color w:val="444444"/>
                <w:lang w:val="en-US"/>
              </w:rPr>
            </w:pPr>
            <w:r w:rsidRPr="6515EF5F">
              <w:rPr>
                <w:i/>
                <w:iCs/>
                <w:color w:val="444444"/>
                <w:lang w:val="en-US"/>
              </w:rPr>
              <w:t>I</w:t>
            </w:r>
            <w:r w:rsidR="00450601" w:rsidRPr="6515EF5F">
              <w:rPr>
                <w:i/>
                <w:iCs/>
                <w:color w:val="444444"/>
                <w:lang w:val="en-US"/>
              </w:rPr>
              <w:t>dentify and qualify the significant changes that are NOT recommended beneath that recommendation statement.</w:t>
            </w:r>
          </w:p>
          <w:p w14:paraId="3B674D04" w14:textId="77777777" w:rsidR="00450601" w:rsidRPr="00466A33" w:rsidRDefault="00450601" w:rsidP="00450601">
            <w:pPr>
              <w:pStyle w:val="deletioninstruction"/>
            </w:pPr>
            <w:r w:rsidRPr="00466A33">
              <w:t>Delete this and all other instructional text from your final version of this document.</w:t>
            </w:r>
          </w:p>
        </w:tc>
      </w:tr>
    </w:tbl>
    <w:p w14:paraId="14B8E087" w14:textId="77777777" w:rsidR="00450601" w:rsidRPr="00466A33" w:rsidRDefault="00450601" w:rsidP="00450601">
      <w:pPr>
        <w:rPr>
          <w:shd w:val="clear" w:color="auto" w:fill="FFFFFF"/>
        </w:rPr>
      </w:pPr>
    </w:p>
    <w:p w14:paraId="328C395E" w14:textId="77777777" w:rsidR="00450601" w:rsidRPr="00466A33" w:rsidRDefault="00450601" w:rsidP="00450601">
      <w:pPr>
        <w:rPr>
          <w:lang w:val="en-US"/>
        </w:rPr>
      </w:pPr>
      <w:r w:rsidRPr="00466A33">
        <w:rPr>
          <w:lang w:val="en-US"/>
        </w:rPr>
        <w:t>&lt;Insert IA Name&gt; recommends this system for authorization.</w:t>
      </w:r>
    </w:p>
    <w:p w14:paraId="48819913" w14:textId="77777777" w:rsidR="00450601" w:rsidRPr="00466A33" w:rsidRDefault="00450601" w:rsidP="00450601">
      <w:pPr>
        <w:rPr>
          <w:lang w:val="en-US"/>
        </w:rPr>
      </w:pPr>
      <w:r w:rsidRPr="00466A33">
        <w:rPr>
          <w:lang w:val="en-US"/>
        </w:rPr>
        <w:t>&lt;Insert IA Name&gt; does not recommend this system for authorization.</w:t>
      </w:r>
    </w:p>
    <w:p w14:paraId="2EDA4425" w14:textId="77777777" w:rsidR="00450601" w:rsidRPr="00466A33" w:rsidRDefault="00450601" w:rsidP="00450601">
      <w:pPr>
        <w:rPr>
          <w:lang w:val="en-US"/>
        </w:rPr>
      </w:pPr>
      <w:r w:rsidRPr="00466A33">
        <w:rPr>
          <w:lang w:val="en-US"/>
        </w:rPr>
        <w:t>&lt;Insert IA Name&gt; recommends this system for continued authorization.</w:t>
      </w:r>
    </w:p>
    <w:p w14:paraId="06751BE8" w14:textId="77777777" w:rsidR="00450601" w:rsidRPr="00466A33" w:rsidRDefault="00450601" w:rsidP="00450601">
      <w:pPr>
        <w:rPr>
          <w:lang w:val="en-US"/>
        </w:rPr>
      </w:pPr>
      <w:r w:rsidRPr="00466A33">
        <w:rPr>
          <w:lang w:val="en-US"/>
        </w:rPr>
        <w:t>&lt;Insert IA Name&gt; does not recommend this system for continued authorization.</w:t>
      </w:r>
    </w:p>
    <w:p w14:paraId="55BC4C4D" w14:textId="77777777" w:rsidR="00450601" w:rsidRPr="00466A33" w:rsidRDefault="00450601" w:rsidP="00450601">
      <w:pPr>
        <w:rPr>
          <w:lang w:val="en-US"/>
        </w:rPr>
      </w:pPr>
      <w:r w:rsidRPr="00466A33">
        <w:rPr>
          <w:lang w:val="en-US"/>
        </w:rPr>
        <w:t xml:space="preserve">&lt;Insert IA Name&gt; recommends the following &lt;Choose One: significant change/significant change(s)&gt; included in this assessment for authorization: </w:t>
      </w:r>
    </w:p>
    <w:p w14:paraId="33C80894" w14:textId="77777777" w:rsidR="00450601" w:rsidRPr="00466A33" w:rsidRDefault="00450601" w:rsidP="00450601">
      <w:pPr>
        <w:rPr>
          <w:lang w:val="en-US"/>
        </w:rPr>
      </w:pPr>
      <w:r w:rsidRPr="00466A33">
        <w:rPr>
          <w:lang w:val="en-US"/>
        </w:rPr>
        <w:t>&lt;List the significant changes that are approved for authorization.&gt;</w:t>
      </w:r>
    </w:p>
    <w:p w14:paraId="1BFDF11B" w14:textId="77777777" w:rsidR="00450601" w:rsidRPr="00466A33" w:rsidRDefault="00450601" w:rsidP="00450601">
      <w:pPr>
        <w:rPr>
          <w:lang w:val="en-US"/>
        </w:rPr>
      </w:pPr>
      <w:r w:rsidRPr="00466A33">
        <w:rPr>
          <w:lang w:val="en-US"/>
        </w:rPr>
        <w:t xml:space="preserve">&lt;Insert IA Name&gt; does not recommend the following &lt;Choose One: significant change/significant change(s)&gt; included in this assessment for authorization. </w:t>
      </w:r>
    </w:p>
    <w:p w14:paraId="784BFC31" w14:textId="480B45C2" w:rsidR="0096275B" w:rsidRPr="00466A33" w:rsidRDefault="00450601" w:rsidP="00450601">
      <w:pPr>
        <w:rPr>
          <w:color w:val="auto"/>
          <w:sz w:val="24"/>
          <w:szCs w:val="24"/>
          <w:lang w:val="en-US"/>
        </w:rPr>
      </w:pPr>
      <w:r w:rsidRPr="00466A33">
        <w:rPr>
          <w:lang w:val="en-US"/>
        </w:rPr>
        <w:t>&lt;List the significant changes that are NOT approved for authorization.&gt;</w:t>
      </w:r>
    </w:p>
    <w:p w14:paraId="7107A4B5" w14:textId="77777777" w:rsidR="004A0FCF" w:rsidRPr="00466A33" w:rsidRDefault="004A0FCF" w:rsidP="004A0FCF">
      <w:pPr>
        <w:pStyle w:val="Heading2"/>
      </w:pPr>
      <w:bookmarkStart w:id="18" w:name="_Toc184297590"/>
      <w:r w:rsidRPr="00466A33">
        <w:lastRenderedPageBreak/>
        <w:t>Purpose</w:t>
      </w:r>
      <w:bookmarkEnd w:id="18"/>
    </w:p>
    <w:p w14:paraId="13772AC1" w14:textId="2A237540" w:rsidR="004A0FCF" w:rsidRPr="00466A33" w:rsidRDefault="004A0FCF" w:rsidP="004A0FCF">
      <w:r w:rsidRPr="6515EF5F">
        <w:rPr>
          <w:lang w:val="en-US"/>
        </w:rPr>
        <w:t>The purpose of this document is to report the results of a point-in-time assessment of the &lt;Insert CSO Name&gt; security posture that was performed according to the methodology described in Section 4.</w:t>
      </w:r>
    </w:p>
    <w:p w14:paraId="07E97AEC" w14:textId="104FAD1F" w:rsidR="0096275B" w:rsidRPr="00466A33" w:rsidRDefault="004A0FCF">
      <w:pPr>
        <w:pStyle w:val="Heading2"/>
      </w:pPr>
      <w:bookmarkStart w:id="19" w:name="_Toc184297591"/>
      <w:r w:rsidRPr="00466A33">
        <w:t xml:space="preserve">Applicable </w:t>
      </w:r>
      <w:r w:rsidR="0096275B" w:rsidRPr="00466A33">
        <w:t>Laws, Regulations, Standards, and Guidance</w:t>
      </w:r>
      <w:bookmarkEnd w:id="19"/>
    </w:p>
    <w:p w14:paraId="5F664616" w14:textId="300D3D79" w:rsidR="0096275B" w:rsidRPr="00466A33" w:rsidRDefault="00450601" w:rsidP="00C563B8">
      <w:r w:rsidRPr="00466A33">
        <w:t xml:space="preserve">The </w:t>
      </w:r>
      <w:r w:rsidR="004A0FCF" w:rsidRPr="00466A33">
        <w:t xml:space="preserve">FedRAMP-applicable </w:t>
      </w:r>
      <w:r w:rsidRPr="00466A33">
        <w:t xml:space="preserve">laws, regulations, standards, and guidance </w:t>
      </w:r>
      <w:r w:rsidR="004A0FCF" w:rsidRPr="00466A33">
        <w:t>is included in the</w:t>
      </w:r>
      <w:r w:rsidRPr="00466A33">
        <w:t xml:space="preserve"> &lt;Insert CSO Name&gt; SSP section - System Security Plan Approvals. This version governs the requirements for this assessment. Additionally, in Appendix L</w:t>
      </w:r>
      <w:r w:rsidR="004A0FCF" w:rsidRPr="00466A33">
        <w:t xml:space="preserve"> of the SSP</w:t>
      </w:r>
      <w:r w:rsidRPr="00466A33">
        <w:t xml:space="preserve">, </w:t>
      </w:r>
      <w:r w:rsidR="004A0FCF" w:rsidRPr="00466A33">
        <w:t xml:space="preserve">the &lt;Insert </w:t>
      </w:r>
      <w:r w:rsidRPr="00466A33">
        <w:t>CSP</w:t>
      </w:r>
      <w:r w:rsidR="004A0FCF" w:rsidRPr="00466A33">
        <w:t xml:space="preserve"> Name&gt;</w:t>
      </w:r>
      <w:r w:rsidRPr="00466A33">
        <w:t xml:space="preserve"> has included laws, regulations, standards, and guidance that </w:t>
      </w:r>
      <w:r w:rsidR="004A0FCF" w:rsidRPr="00466A33">
        <w:t xml:space="preserve">apply </w:t>
      </w:r>
      <w:r w:rsidRPr="00466A33">
        <w:t>specifically to this system.</w:t>
      </w:r>
    </w:p>
    <w:p w14:paraId="2AC5924A" w14:textId="0D39877A" w:rsidR="0096275B" w:rsidRPr="00466A33" w:rsidRDefault="0096275B">
      <w:pPr>
        <w:pStyle w:val="Heading2"/>
      </w:pPr>
      <w:bookmarkStart w:id="20" w:name="_Toc184297592"/>
      <w:r w:rsidRPr="00466A33">
        <w:t>Scope</w:t>
      </w:r>
      <w:bookmarkEnd w:id="20"/>
    </w:p>
    <w:p w14:paraId="0CF20691" w14:textId="12AB88DC" w:rsidR="00450601" w:rsidRPr="00466A33" w:rsidRDefault="00450601" w:rsidP="00450601">
      <w:r w:rsidRPr="6515EF5F">
        <w:rPr>
          <w:lang w:val="en-US"/>
        </w:rPr>
        <w:t xml:space="preserve">The scope of the &lt;Insert CSO Name&gt; assessment is </w:t>
      </w:r>
      <w:r w:rsidR="00462D14" w:rsidRPr="6515EF5F">
        <w:rPr>
          <w:lang w:val="en-US"/>
        </w:rPr>
        <w:t>documented</w:t>
      </w:r>
      <w:r w:rsidRPr="6515EF5F">
        <w:rPr>
          <w:lang w:val="en-US"/>
        </w:rPr>
        <w:t xml:space="preserve"> in the &lt;Insert CSP Name&gt;, &lt;Insert CSO Name&gt; SAP, </w:t>
      </w:r>
      <w:sdt>
        <w:sdtPr>
          <w:tag w:val="goog_rdk_3"/>
          <w:id w:val="207692158"/>
        </w:sdtPr>
        <w:sdtContent/>
      </w:sdt>
      <w:r w:rsidRPr="6515EF5F">
        <w:rPr>
          <w:lang w:val="en-US"/>
        </w:rPr>
        <w:t>&lt;Insert Version X.X&gt;, dated &lt;Insert MM/DD/YYYY&gt;. Deviations from the SAP are captured in Section 4.1, Deviations from the SAP. NOTE: Net-new risks identified during remediation activities are captured on the “Open” tab of the &lt;Insert CSO Name&gt; Plan of Action &amp; Milestones (POA&amp;M). These risks are not captured in the RET because the RET represents a point-in-time assessment.</w:t>
      </w:r>
    </w:p>
    <w:p w14:paraId="1D9DB0F4" w14:textId="459A3D68" w:rsidR="004226F2" w:rsidRPr="00466A33" w:rsidRDefault="00450601" w:rsidP="00450601">
      <w:pPr>
        <w:rPr>
          <w:lang w:val="en-US"/>
        </w:rPr>
      </w:pPr>
      <w:r w:rsidRPr="00466A33">
        <w:t>&lt;Insert CSO Name&gt; is physically located at the facilities noted in Table 2-3</w:t>
      </w:r>
      <w:r w:rsidR="0096275B" w:rsidRPr="00466A33">
        <w:rPr>
          <w:lang w:val="en-US"/>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B7E9223" w14:textId="77777777" w:rsidTr="00703332">
        <w:trPr>
          <w:trHeight w:val="57"/>
        </w:trPr>
        <w:tc>
          <w:tcPr>
            <w:tcW w:w="9350" w:type="dxa"/>
            <w:shd w:val="clear" w:color="auto" w:fill="19447F"/>
          </w:tcPr>
          <w:p w14:paraId="6CE22A53"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24168215" w14:textId="77777777" w:rsidTr="00703332">
        <w:trPr>
          <w:trHeight w:val="57"/>
        </w:trPr>
        <w:tc>
          <w:tcPr>
            <w:tcW w:w="9350" w:type="dxa"/>
            <w:shd w:val="clear" w:color="auto" w:fill="F2F2F2"/>
          </w:tcPr>
          <w:p w14:paraId="01B9166B" w14:textId="6AEB9D4B" w:rsidR="00450601" w:rsidRPr="00466A33" w:rsidRDefault="00450601" w:rsidP="00703332">
            <w:pPr>
              <w:pBdr>
                <w:top w:val="nil"/>
                <w:left w:val="nil"/>
                <w:bottom w:val="nil"/>
                <w:right w:val="nil"/>
                <w:between w:val="nil"/>
              </w:pBdr>
              <w:rPr>
                <w:i/>
                <w:color w:val="444444"/>
              </w:rPr>
            </w:pPr>
            <w:r w:rsidRPr="00466A33">
              <w:rPr>
                <w:i/>
                <w:color w:val="444444"/>
              </w:rPr>
              <w:t xml:space="preserve">If this system leverages a FedRAMP Authorized </w:t>
            </w:r>
            <w:proofErr w:type="spellStart"/>
            <w:r w:rsidRPr="00466A33">
              <w:rPr>
                <w:i/>
                <w:color w:val="444444"/>
              </w:rPr>
              <w:t>Iaas</w:t>
            </w:r>
            <w:proofErr w:type="spellEnd"/>
            <w:r w:rsidRPr="00466A33">
              <w:rPr>
                <w:i/>
                <w:color w:val="444444"/>
              </w:rPr>
              <w:t xml:space="preserve"> or IaaS/PaaS, list the locations of the primary and secondary data centers.</w:t>
            </w:r>
          </w:p>
          <w:p w14:paraId="349DC836" w14:textId="77777777" w:rsidR="00450601" w:rsidRPr="00466A33" w:rsidRDefault="00450601" w:rsidP="00D80036">
            <w:pPr>
              <w:pStyle w:val="deletioninstruction"/>
            </w:pPr>
            <w:r w:rsidRPr="00466A33">
              <w:t>Delete this and all other instructional text from your final version of this document.</w:t>
            </w:r>
          </w:p>
        </w:tc>
      </w:tr>
    </w:tbl>
    <w:p w14:paraId="1FC87CED" w14:textId="77777777" w:rsidR="00450601" w:rsidRPr="00466A33" w:rsidRDefault="00450601" w:rsidP="00450601">
      <w:pPr>
        <w:rPr>
          <w:lang w:val="en-US"/>
        </w:rPr>
      </w:pPr>
    </w:p>
    <w:p w14:paraId="103613F5" w14:textId="7B7A7F8B" w:rsidR="00450601" w:rsidRPr="00466A33" w:rsidRDefault="004226F2" w:rsidP="004226F2">
      <w:pPr>
        <w:pStyle w:val="Caption"/>
      </w:pPr>
      <w:r w:rsidRPr="00466A33">
        <w:t xml:space="preserve">Table </w:t>
      </w:r>
      <w:fldSimple w:instr=" STYLEREF 1 \s ">
        <w:r w:rsidRPr="00466A33">
          <w:rPr>
            <w:noProof/>
          </w:rPr>
          <w:t>2</w:t>
        </w:r>
      </w:fldSimple>
      <w:r w:rsidRPr="00466A33">
        <w:noBreakHyphen/>
      </w:r>
      <w:fldSimple w:instr=" SEQ Table \* ARABIC \s 1 ">
        <w:r w:rsidRPr="00466A33">
          <w:rPr>
            <w:noProof/>
          </w:rPr>
          <w:t>3</w:t>
        </w:r>
      </w:fldSimple>
      <w:r w:rsidRPr="00466A33">
        <w:t xml:space="preserve"> </w:t>
      </w:r>
      <w:r w:rsidR="00450601" w:rsidRPr="00466A33">
        <w:t>Site Names and Addresses</w:t>
      </w:r>
    </w:p>
    <w:tbl>
      <w:tblPr>
        <w:tblStyle w:val="FedRAMP"/>
        <w:tblW w:w="9360" w:type="dxa"/>
        <w:tblInd w:w="5" w:type="dxa"/>
        <w:tblLayout w:type="fixed"/>
        <w:tblLook w:val="0020" w:firstRow="1" w:lastRow="0" w:firstColumn="0" w:lastColumn="0" w:noHBand="0" w:noVBand="0"/>
      </w:tblPr>
      <w:tblGrid>
        <w:gridCol w:w="3120"/>
        <w:gridCol w:w="2720"/>
        <w:gridCol w:w="3520"/>
      </w:tblGrid>
      <w:tr w:rsidR="000D25A1" w:rsidRPr="00466A33" w14:paraId="66E29F27"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120" w:type="dxa"/>
            <w:vAlign w:val="center"/>
          </w:tcPr>
          <w:p w14:paraId="5C06EC61" w14:textId="47D46380" w:rsidR="000D25A1" w:rsidRPr="00466A33" w:rsidRDefault="000D25A1" w:rsidP="00450601">
            <w:pPr>
              <w:pStyle w:val="Tabletitle"/>
              <w:spacing w:before="80" w:after="80" w:line="288" w:lineRule="auto"/>
              <w:rPr>
                <w:rFonts w:ascii="Arial" w:hAnsi="Arial"/>
                <w:b/>
                <w:bCs w:val="0"/>
              </w:rPr>
            </w:pPr>
            <w:r w:rsidRPr="00466A33">
              <w:rPr>
                <w:rFonts w:ascii="Arial" w:hAnsi="Arial"/>
                <w:b/>
                <w:bCs w:val="0"/>
              </w:rPr>
              <w:t>Data Center Site Name</w:t>
            </w:r>
          </w:p>
        </w:tc>
        <w:tc>
          <w:tcPr>
            <w:tcW w:w="2720" w:type="dxa"/>
            <w:vAlign w:val="center"/>
          </w:tcPr>
          <w:p w14:paraId="10A71B42" w14:textId="483B2D77" w:rsidR="000D25A1" w:rsidRPr="00466A33" w:rsidRDefault="000D25A1" w:rsidP="00450601">
            <w:pPr>
              <w:pStyle w:val="Tabletitle"/>
              <w:spacing w:before="80" w:after="80" w:line="288" w:lineRule="auto"/>
              <w:rPr>
                <w:rFonts w:ascii="Arial" w:hAnsi="Arial"/>
                <w:b/>
                <w:bCs w:val="0"/>
              </w:rPr>
            </w:pPr>
            <w:r w:rsidRPr="00466A33">
              <w:rPr>
                <w:rFonts w:ascii="Arial" w:hAnsi="Arial"/>
                <w:b/>
                <w:bCs w:val="0"/>
              </w:rPr>
              <w:t>Address</w:t>
            </w:r>
          </w:p>
        </w:tc>
        <w:tc>
          <w:tcPr>
            <w:tcW w:w="3520" w:type="dxa"/>
            <w:vAlign w:val="center"/>
          </w:tcPr>
          <w:p w14:paraId="75CD7A88" w14:textId="7D00EAA8" w:rsidR="000D25A1" w:rsidRPr="00466A33" w:rsidRDefault="000D25A1" w:rsidP="00450601">
            <w:pPr>
              <w:pStyle w:val="Tabletitle"/>
              <w:spacing w:before="80" w:after="80" w:line="288" w:lineRule="auto"/>
              <w:rPr>
                <w:rFonts w:ascii="Arial" w:hAnsi="Arial"/>
                <w:b/>
                <w:bCs w:val="0"/>
              </w:rPr>
            </w:pPr>
            <w:r w:rsidRPr="00466A33">
              <w:rPr>
                <w:rFonts w:ascii="Arial" w:hAnsi="Arial"/>
                <w:b/>
                <w:bCs w:val="0"/>
              </w:rPr>
              <w:t>Description Of Components</w:t>
            </w:r>
          </w:p>
        </w:tc>
      </w:tr>
      <w:tr w:rsidR="000D25A1" w:rsidRPr="00466A33" w14:paraId="2C3FA9CE" w14:textId="77777777" w:rsidTr="00F91F8C">
        <w:trPr>
          <w:cnfStyle w:val="000000100000" w:firstRow="0" w:lastRow="0" w:firstColumn="0" w:lastColumn="0" w:oddVBand="0" w:evenVBand="0" w:oddHBand="1" w:evenHBand="0" w:firstRowFirstColumn="0" w:firstRowLastColumn="0" w:lastRowFirstColumn="0" w:lastRowLastColumn="0"/>
        </w:trPr>
        <w:tc>
          <w:tcPr>
            <w:tcW w:w="3120" w:type="dxa"/>
          </w:tcPr>
          <w:p w14:paraId="1F007CCD" w14:textId="77777777" w:rsidR="000D25A1" w:rsidRPr="00466A33" w:rsidRDefault="000D25A1" w:rsidP="00450601">
            <w:pPr>
              <w:pStyle w:val="Tabletextlight"/>
              <w:spacing w:before="80" w:after="80" w:line="288" w:lineRule="auto"/>
              <w:rPr>
                <w:rFonts w:ascii="Arial" w:hAnsi="Arial" w:cs="Arial"/>
              </w:rPr>
            </w:pPr>
          </w:p>
        </w:tc>
        <w:tc>
          <w:tcPr>
            <w:tcW w:w="2720" w:type="dxa"/>
          </w:tcPr>
          <w:p w14:paraId="70C091F2" w14:textId="77777777" w:rsidR="000D25A1" w:rsidRPr="00466A33" w:rsidRDefault="000D25A1" w:rsidP="00450601">
            <w:pPr>
              <w:pStyle w:val="Tabletextlight"/>
              <w:spacing w:before="80" w:after="80" w:line="288" w:lineRule="auto"/>
              <w:rPr>
                <w:rFonts w:ascii="Arial" w:hAnsi="Arial" w:cs="Arial"/>
              </w:rPr>
            </w:pPr>
          </w:p>
        </w:tc>
        <w:tc>
          <w:tcPr>
            <w:tcW w:w="3520" w:type="dxa"/>
          </w:tcPr>
          <w:p w14:paraId="26ABEA13" w14:textId="77777777" w:rsidR="000D25A1" w:rsidRPr="00466A33" w:rsidRDefault="000D25A1" w:rsidP="00450601">
            <w:pPr>
              <w:pStyle w:val="Tabletextlight"/>
              <w:spacing w:before="80" w:after="80" w:line="288" w:lineRule="auto"/>
              <w:rPr>
                <w:rFonts w:ascii="Arial" w:hAnsi="Arial" w:cs="Arial"/>
              </w:rPr>
            </w:pPr>
          </w:p>
        </w:tc>
      </w:tr>
      <w:tr w:rsidR="000D25A1" w:rsidRPr="00466A33" w14:paraId="61147BF1" w14:textId="77777777" w:rsidTr="00F91F8C">
        <w:trPr>
          <w:cnfStyle w:val="000000010000" w:firstRow="0" w:lastRow="0" w:firstColumn="0" w:lastColumn="0" w:oddVBand="0" w:evenVBand="0" w:oddHBand="0" w:evenHBand="1" w:firstRowFirstColumn="0" w:firstRowLastColumn="0" w:lastRowFirstColumn="0" w:lastRowLastColumn="0"/>
        </w:trPr>
        <w:tc>
          <w:tcPr>
            <w:tcW w:w="3120" w:type="dxa"/>
          </w:tcPr>
          <w:p w14:paraId="21620194" w14:textId="77777777" w:rsidR="000D25A1" w:rsidRPr="00466A33" w:rsidRDefault="000D25A1" w:rsidP="00450601">
            <w:pPr>
              <w:pStyle w:val="Tabletextlight"/>
              <w:spacing w:before="80" w:after="80" w:line="288" w:lineRule="auto"/>
              <w:rPr>
                <w:rFonts w:ascii="Arial" w:hAnsi="Arial" w:cs="Arial"/>
              </w:rPr>
            </w:pPr>
          </w:p>
        </w:tc>
        <w:tc>
          <w:tcPr>
            <w:tcW w:w="2720" w:type="dxa"/>
          </w:tcPr>
          <w:p w14:paraId="47E35804" w14:textId="77777777" w:rsidR="000D25A1" w:rsidRPr="00466A33" w:rsidRDefault="000D25A1" w:rsidP="00450601">
            <w:pPr>
              <w:pStyle w:val="Tabletextlight"/>
              <w:spacing w:before="80" w:after="80" w:line="288" w:lineRule="auto"/>
              <w:rPr>
                <w:rFonts w:ascii="Arial" w:hAnsi="Arial" w:cs="Arial"/>
              </w:rPr>
            </w:pPr>
          </w:p>
        </w:tc>
        <w:tc>
          <w:tcPr>
            <w:tcW w:w="3520" w:type="dxa"/>
          </w:tcPr>
          <w:p w14:paraId="77B475B4" w14:textId="77777777" w:rsidR="000D25A1" w:rsidRPr="00466A33" w:rsidRDefault="000D25A1" w:rsidP="00450601">
            <w:pPr>
              <w:pStyle w:val="Tabletextlight"/>
              <w:spacing w:before="80" w:after="80" w:line="288" w:lineRule="auto"/>
              <w:rPr>
                <w:rFonts w:ascii="Arial" w:hAnsi="Arial" w:cs="Arial"/>
              </w:rPr>
            </w:pPr>
          </w:p>
        </w:tc>
      </w:tr>
      <w:tr w:rsidR="000D25A1" w:rsidRPr="00466A33" w14:paraId="78FB01A2" w14:textId="77777777" w:rsidTr="00F91F8C">
        <w:trPr>
          <w:cnfStyle w:val="000000100000" w:firstRow="0" w:lastRow="0" w:firstColumn="0" w:lastColumn="0" w:oddVBand="0" w:evenVBand="0" w:oddHBand="1" w:evenHBand="0" w:firstRowFirstColumn="0" w:firstRowLastColumn="0" w:lastRowFirstColumn="0" w:lastRowLastColumn="0"/>
        </w:trPr>
        <w:tc>
          <w:tcPr>
            <w:tcW w:w="3120" w:type="dxa"/>
          </w:tcPr>
          <w:p w14:paraId="69E3A8A3" w14:textId="77777777" w:rsidR="000D25A1" w:rsidRPr="00466A33" w:rsidRDefault="000D25A1" w:rsidP="00450601">
            <w:pPr>
              <w:pStyle w:val="Tabletextlight"/>
              <w:spacing w:before="80" w:after="80" w:line="288" w:lineRule="auto"/>
              <w:rPr>
                <w:rFonts w:ascii="Arial" w:hAnsi="Arial" w:cs="Arial"/>
              </w:rPr>
            </w:pPr>
          </w:p>
        </w:tc>
        <w:tc>
          <w:tcPr>
            <w:tcW w:w="2720" w:type="dxa"/>
          </w:tcPr>
          <w:p w14:paraId="5DC9581E" w14:textId="77777777" w:rsidR="000D25A1" w:rsidRPr="00466A33" w:rsidRDefault="000D25A1" w:rsidP="00450601">
            <w:pPr>
              <w:pStyle w:val="Tabletextlight"/>
              <w:spacing w:before="80" w:after="80" w:line="288" w:lineRule="auto"/>
              <w:rPr>
                <w:rFonts w:ascii="Arial" w:hAnsi="Arial" w:cs="Arial"/>
              </w:rPr>
            </w:pPr>
          </w:p>
        </w:tc>
        <w:tc>
          <w:tcPr>
            <w:tcW w:w="3520" w:type="dxa"/>
          </w:tcPr>
          <w:p w14:paraId="10466E1D" w14:textId="77777777" w:rsidR="000D25A1" w:rsidRPr="00466A33" w:rsidRDefault="000D25A1" w:rsidP="00450601">
            <w:pPr>
              <w:pStyle w:val="Tabletextlight"/>
              <w:spacing w:before="80" w:after="80" w:line="288" w:lineRule="auto"/>
              <w:rPr>
                <w:rFonts w:ascii="Arial" w:hAnsi="Arial" w:cs="Arial"/>
              </w:rPr>
            </w:pPr>
          </w:p>
        </w:tc>
      </w:tr>
    </w:tbl>
    <w:p w14:paraId="26B72854" w14:textId="77777777" w:rsidR="00F91F8C" w:rsidRPr="00466A33" w:rsidRDefault="00F91F8C" w:rsidP="00F91F8C"/>
    <w:p w14:paraId="3538DDA7" w14:textId="3607AAEB" w:rsidR="00450601" w:rsidRPr="00466A33" w:rsidRDefault="00450601" w:rsidP="00450601">
      <w:r w:rsidRPr="00466A33">
        <w:t xml:space="preserve">As verified by &lt;Insert IA Name&gt;, this assessment includes the documents listed in the </w:t>
      </w:r>
      <w:hyperlink r:id="rId22">
        <w:r w:rsidRPr="00466A33">
          <w:rPr>
            <w:rStyle w:val="Hyperlink"/>
          </w:rPr>
          <w:t>FedRAMP Initial Authorization Package Checklist</w:t>
        </w:r>
      </w:hyperlink>
      <w:r w:rsidRPr="00466A33">
        <w:t xml:space="preserve"> and this SAR Appendix </w:t>
      </w:r>
      <w:r w:rsidR="00462D14" w:rsidRPr="00466A33">
        <w:t>E</w:t>
      </w:r>
      <w:r w:rsidRPr="00466A33">
        <w:t xml:space="preserve"> - Auxiliary Documents.</w:t>
      </w:r>
    </w:p>
    <w:p w14:paraId="30292E6A" w14:textId="3A727A66" w:rsidR="00F91F8C" w:rsidRPr="00466A33" w:rsidRDefault="00F91F8C">
      <w:pPr>
        <w:pStyle w:val="Heading3"/>
      </w:pPr>
      <w:bookmarkStart w:id="21" w:name="_Toc184297593"/>
      <w:r w:rsidRPr="00466A33">
        <w:t>Controls Assessed</w:t>
      </w:r>
      <w:bookmarkEnd w:id="21"/>
    </w:p>
    <w:p w14:paraId="44757534" w14:textId="77777777" w:rsidR="00450601" w:rsidRPr="00466A33" w:rsidRDefault="00450601" w:rsidP="00450601">
      <w:r w:rsidRPr="6515EF5F">
        <w:rPr>
          <w:lang w:val="en-US"/>
        </w:rPr>
        <w:t xml:space="preserve">The security controls that were assessed are those identified in the approved &lt;Insert CSO Name&gt; SAP, </w:t>
      </w:r>
      <w:sdt>
        <w:sdtPr>
          <w:tag w:val="goog_rdk_4"/>
          <w:id w:val="-664320349"/>
        </w:sdtPr>
        <w:sdtContent/>
      </w:sdt>
      <w:r w:rsidRPr="6515EF5F">
        <w:rPr>
          <w:lang w:val="en-US"/>
        </w:rPr>
        <w:t>&lt;Insert Version X.X&gt;, dated &lt;Insert MM/DD/YYYY&gt;.</w:t>
      </w:r>
    </w:p>
    <w:p w14:paraId="0ED683F6" w14:textId="7418942E" w:rsidR="008A2F8A" w:rsidRPr="00466A33" w:rsidRDefault="00F91F8C">
      <w:pPr>
        <w:pStyle w:val="Heading1"/>
      </w:pPr>
      <w:bookmarkStart w:id="22" w:name="_Toc184297594"/>
      <w:r w:rsidRPr="00466A33">
        <w:t>System Overview</w:t>
      </w:r>
      <w:bookmarkEnd w:id="22"/>
    </w:p>
    <w:p w14:paraId="6A189552" w14:textId="56EA7B31" w:rsidR="00F91F8C" w:rsidRPr="00466A33" w:rsidRDefault="00F91F8C">
      <w:pPr>
        <w:pStyle w:val="Heading2"/>
      </w:pPr>
      <w:bookmarkStart w:id="23" w:name="_Toc184297595"/>
      <w:r w:rsidRPr="00466A33">
        <w:t>System Description</w:t>
      </w:r>
      <w:bookmarkEnd w:id="23"/>
    </w:p>
    <w:p w14:paraId="339AC564" w14:textId="77777777" w:rsidR="00450601" w:rsidRPr="00466A33" w:rsidRDefault="00450601" w:rsidP="00450601">
      <w:r w:rsidRPr="00466A33">
        <w:t>The &lt;Insert CSO Name&gt; system description and purpose are as captured in the &lt;Insert CSP Name&gt; &lt;Insert CSO Name&gt; SSP, &lt;</w:t>
      </w:r>
      <w:sdt>
        <w:sdtPr>
          <w:tag w:val="goog_rdk_5"/>
          <w:id w:val="-422336589"/>
        </w:sdtPr>
        <w:sdtContent/>
      </w:sdt>
      <w:r w:rsidRPr="00466A33">
        <w:t>Insert Version X.X&gt;, dated &lt;Insert MM/DD/YYYY&gt;.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B9299FE" w14:textId="77777777" w:rsidTr="6515EF5F">
        <w:trPr>
          <w:trHeight w:val="57"/>
        </w:trPr>
        <w:tc>
          <w:tcPr>
            <w:tcW w:w="9350" w:type="dxa"/>
            <w:shd w:val="clear" w:color="auto" w:fill="19447F" w:themeFill="accent2"/>
          </w:tcPr>
          <w:p w14:paraId="58316F9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6EC4242A" w14:textId="77777777" w:rsidTr="6515EF5F">
        <w:trPr>
          <w:trHeight w:val="57"/>
        </w:trPr>
        <w:tc>
          <w:tcPr>
            <w:tcW w:w="9350" w:type="dxa"/>
            <w:shd w:val="clear" w:color="auto" w:fill="F2F2F2" w:themeFill="background1" w:themeFillShade="F2"/>
          </w:tcPr>
          <w:p w14:paraId="422A9092" w14:textId="03720585"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Insert a significant change description below this instruction if the document is being used for significant changes. </w:t>
            </w:r>
          </w:p>
          <w:p w14:paraId="75F90F12" w14:textId="77777777" w:rsidR="00450601" w:rsidRPr="00466A33" w:rsidRDefault="00450601" w:rsidP="00D80036">
            <w:pPr>
              <w:pStyle w:val="deletioninstruction"/>
            </w:pPr>
            <w:r w:rsidRPr="00466A33">
              <w:t>Delete this and all other instructional text from your final version of this document.</w:t>
            </w:r>
          </w:p>
        </w:tc>
      </w:tr>
    </w:tbl>
    <w:p w14:paraId="6DBD5CC7" w14:textId="4AED03ED" w:rsidR="008A2F8A" w:rsidRPr="00466A33" w:rsidRDefault="00F91F8C">
      <w:pPr>
        <w:pStyle w:val="Heading1"/>
        <w:spacing w:before="480"/>
      </w:pPr>
      <w:bookmarkStart w:id="24" w:name="_Toc184297596"/>
      <w:r w:rsidRPr="00466A33">
        <w:t>Assessment Methodology</w:t>
      </w:r>
      <w:bookmarkEnd w:id="24"/>
    </w:p>
    <w:p w14:paraId="3B91E796" w14:textId="7870D380" w:rsidR="00082179" w:rsidRPr="00466A33" w:rsidRDefault="00450601" w:rsidP="0032333C">
      <w:r w:rsidRPr="6515EF5F">
        <w:rPr>
          <w:lang w:val="en-US"/>
        </w:rPr>
        <w:t xml:space="preserve">The assessment methodology is described in the &lt;Insert CSO Name&gt; SAP. &lt;Insert IA Name&gt; performed the assessment of &lt;Insert CSP Name&gt; &lt;Insert CSO Name&gt; against the &lt;Insert CSO Name&gt; environment based on the details captured in the &lt;Insert CSO Name&gt; &lt;Choose One: </w:t>
      </w:r>
      <w:r w:rsidRPr="6515EF5F">
        <w:rPr>
          <w:lang w:val="en-US"/>
        </w:rPr>
        <w:lastRenderedPageBreak/>
        <w:t>SSP/SSP and significant change documentation noted in the SAP/significant change documentation noted in the SAP&gt;. The assessment concluded on &lt;Insert MM/DD/YYYY&gt;.</w:t>
      </w:r>
      <w:r w:rsidR="00F91F8C" w:rsidRPr="6515EF5F">
        <w:rPr>
          <w:lang w:val="en-US"/>
        </w:rPr>
        <w:t> </w:t>
      </w:r>
    </w:p>
    <w:p w14:paraId="079AD9A4" w14:textId="13A7E84A" w:rsidR="00F91F8C" w:rsidRPr="00466A33" w:rsidRDefault="00F91F8C">
      <w:pPr>
        <w:pStyle w:val="Heading2"/>
        <w:rPr>
          <w:color w:val="auto"/>
          <w:sz w:val="27"/>
        </w:rPr>
      </w:pPr>
      <w:bookmarkStart w:id="25" w:name="_Toc184297597"/>
      <w:r w:rsidRPr="00466A33">
        <w:t>Deviations from the SAP</w:t>
      </w:r>
      <w:bookmarkEnd w:id="25"/>
    </w:p>
    <w:p w14:paraId="5A9C12B0" w14:textId="1588AE19" w:rsidR="00F91F8C" w:rsidRPr="00466A33" w:rsidRDefault="00450601" w:rsidP="00450601">
      <w:r w:rsidRPr="00466A33">
        <w:t xml:space="preserve">Deviations from the SAP-defined methodology are described below. </w:t>
      </w:r>
      <w:r w:rsidR="00F91F8C" w:rsidRPr="00466A33">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02792D0" w14:textId="77777777" w:rsidTr="00703332">
        <w:trPr>
          <w:trHeight w:val="57"/>
        </w:trPr>
        <w:tc>
          <w:tcPr>
            <w:tcW w:w="9350" w:type="dxa"/>
            <w:shd w:val="clear" w:color="auto" w:fill="19447F"/>
          </w:tcPr>
          <w:p w14:paraId="3F92071C"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07B4FB4F" w14:textId="77777777" w:rsidTr="00703332">
        <w:trPr>
          <w:trHeight w:val="57"/>
        </w:trPr>
        <w:tc>
          <w:tcPr>
            <w:tcW w:w="9350" w:type="dxa"/>
            <w:shd w:val="clear" w:color="auto" w:fill="F2F2F2"/>
          </w:tcPr>
          <w:p w14:paraId="69382700" w14:textId="77777777" w:rsidR="00450601" w:rsidRPr="00466A33" w:rsidRDefault="00450601" w:rsidP="00703332">
            <w:pPr>
              <w:pBdr>
                <w:top w:val="nil"/>
                <w:left w:val="nil"/>
                <w:bottom w:val="nil"/>
                <w:right w:val="nil"/>
                <w:between w:val="nil"/>
              </w:pBdr>
              <w:rPr>
                <w:i/>
                <w:color w:val="444444"/>
              </w:rPr>
            </w:pPr>
            <w:r w:rsidRPr="00466A33">
              <w:rPr>
                <w:i/>
                <w:color w:val="444444"/>
              </w:rPr>
              <w:t>If there are no deviations, this table is marked as N/A.</w:t>
            </w:r>
          </w:p>
          <w:p w14:paraId="2A3D2B5B" w14:textId="77777777" w:rsidR="00450601" w:rsidRPr="00466A33" w:rsidRDefault="00450601" w:rsidP="00D80036">
            <w:pPr>
              <w:pStyle w:val="deletioninstruction"/>
              <w:rPr>
                <w:color w:val="19447F"/>
              </w:rPr>
            </w:pPr>
            <w:r w:rsidRPr="00466A33">
              <w:t>Delete this and all other instructional text from your final version of this document.</w:t>
            </w:r>
          </w:p>
        </w:tc>
      </w:tr>
    </w:tbl>
    <w:p w14:paraId="645173D6" w14:textId="77777777" w:rsidR="00450601" w:rsidRPr="00466A33" w:rsidRDefault="00450601" w:rsidP="00450601"/>
    <w:p w14:paraId="5EBD60C8" w14:textId="7B88403F" w:rsidR="00450601" w:rsidRPr="00466A33" w:rsidRDefault="004226F2" w:rsidP="004226F2">
      <w:pPr>
        <w:pStyle w:val="Caption"/>
      </w:pPr>
      <w:r w:rsidRPr="00466A33">
        <w:t xml:space="preserve">Table </w:t>
      </w:r>
      <w:fldSimple w:instr=" STYLEREF 1 \s ">
        <w:r w:rsidRPr="00466A33">
          <w:rPr>
            <w:noProof/>
          </w:rPr>
          <w:t>4</w:t>
        </w:r>
      </w:fldSimple>
      <w:r w:rsidRPr="00466A33">
        <w:noBreakHyphen/>
      </w:r>
      <w:fldSimple w:instr=" SEQ Table \* ARABIC \s 1 ">
        <w:r w:rsidRPr="00466A33">
          <w:rPr>
            <w:noProof/>
          </w:rPr>
          <w:t>1</w:t>
        </w:r>
      </w:fldSimple>
      <w:r w:rsidRPr="00466A33">
        <w:t xml:space="preserve"> </w:t>
      </w:r>
      <w:r w:rsidR="00450601" w:rsidRPr="00466A33">
        <w:t>List of Assessment Deviations</w:t>
      </w:r>
    </w:p>
    <w:tbl>
      <w:tblPr>
        <w:tblStyle w:val="FedRAMP"/>
        <w:tblW w:w="9360" w:type="dxa"/>
        <w:tblInd w:w="5" w:type="dxa"/>
        <w:tblLayout w:type="fixed"/>
        <w:tblLook w:val="0020" w:firstRow="1" w:lastRow="0" w:firstColumn="0" w:lastColumn="0" w:noHBand="0" w:noVBand="0"/>
      </w:tblPr>
      <w:tblGrid>
        <w:gridCol w:w="3120"/>
        <w:gridCol w:w="2720"/>
        <w:gridCol w:w="3520"/>
      </w:tblGrid>
      <w:tr w:rsidR="00F91F8C" w:rsidRPr="00466A33" w14:paraId="357B0880"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120" w:type="dxa"/>
            <w:vAlign w:val="center"/>
          </w:tcPr>
          <w:p w14:paraId="3C5E82C7" w14:textId="050C149A" w:rsidR="00F91F8C" w:rsidRPr="00466A33" w:rsidRDefault="00F91F8C" w:rsidP="00450601">
            <w:pPr>
              <w:pStyle w:val="Tabletitle"/>
              <w:spacing w:before="80" w:after="80" w:line="288" w:lineRule="auto"/>
              <w:rPr>
                <w:rFonts w:ascii="Arial" w:hAnsi="Arial"/>
                <w:b/>
                <w:bCs w:val="0"/>
              </w:rPr>
            </w:pPr>
            <w:r w:rsidRPr="00466A33">
              <w:rPr>
                <w:rFonts w:ascii="Arial" w:hAnsi="Arial"/>
                <w:b/>
                <w:bCs w:val="0"/>
              </w:rPr>
              <w:t>Deviation I</w:t>
            </w:r>
            <w:r w:rsidR="004E5151" w:rsidRPr="00466A33">
              <w:rPr>
                <w:rFonts w:ascii="Arial" w:hAnsi="Arial"/>
                <w:b/>
                <w:bCs w:val="0"/>
              </w:rPr>
              <w:t>D</w:t>
            </w:r>
          </w:p>
        </w:tc>
        <w:tc>
          <w:tcPr>
            <w:tcW w:w="2720" w:type="dxa"/>
            <w:vAlign w:val="center"/>
          </w:tcPr>
          <w:p w14:paraId="10CBD50D" w14:textId="534CFD5B" w:rsidR="00F91F8C" w:rsidRPr="00466A33" w:rsidRDefault="00F91F8C" w:rsidP="00450601">
            <w:pPr>
              <w:pStyle w:val="Tabletitle"/>
              <w:spacing w:before="80" w:after="80" w:line="288" w:lineRule="auto"/>
              <w:rPr>
                <w:rFonts w:ascii="Arial" w:hAnsi="Arial"/>
                <w:b/>
                <w:bCs w:val="0"/>
              </w:rPr>
            </w:pPr>
            <w:r w:rsidRPr="00466A33">
              <w:rPr>
                <w:rFonts w:ascii="Arial" w:hAnsi="Arial"/>
                <w:b/>
                <w:bCs w:val="0"/>
              </w:rPr>
              <w:t>Deviation Description</w:t>
            </w:r>
          </w:p>
        </w:tc>
        <w:tc>
          <w:tcPr>
            <w:tcW w:w="3520" w:type="dxa"/>
            <w:vAlign w:val="center"/>
          </w:tcPr>
          <w:p w14:paraId="76B91582" w14:textId="67884B26" w:rsidR="00F91F8C" w:rsidRPr="00466A33" w:rsidRDefault="00F91F8C" w:rsidP="00450601">
            <w:pPr>
              <w:pStyle w:val="Tabletitle"/>
              <w:spacing w:before="80" w:after="80" w:line="288" w:lineRule="auto"/>
              <w:rPr>
                <w:rFonts w:ascii="Arial" w:hAnsi="Arial"/>
                <w:b/>
                <w:bCs w:val="0"/>
              </w:rPr>
            </w:pPr>
            <w:r w:rsidRPr="00466A33">
              <w:rPr>
                <w:rFonts w:ascii="Arial" w:hAnsi="Arial"/>
                <w:b/>
                <w:bCs w:val="0"/>
              </w:rPr>
              <w:t>Justification</w:t>
            </w:r>
          </w:p>
        </w:tc>
      </w:tr>
      <w:tr w:rsidR="00F91F8C" w:rsidRPr="00466A33" w14:paraId="07334EA2" w14:textId="77777777" w:rsidTr="00EA49BC">
        <w:trPr>
          <w:cnfStyle w:val="000000100000" w:firstRow="0" w:lastRow="0" w:firstColumn="0" w:lastColumn="0" w:oddVBand="0" w:evenVBand="0" w:oddHBand="1" w:evenHBand="0" w:firstRowFirstColumn="0" w:firstRowLastColumn="0" w:lastRowFirstColumn="0" w:lastRowLastColumn="0"/>
        </w:trPr>
        <w:tc>
          <w:tcPr>
            <w:tcW w:w="3120" w:type="dxa"/>
          </w:tcPr>
          <w:p w14:paraId="4C01DC1C" w14:textId="384E00C3" w:rsidR="00F91F8C" w:rsidRPr="00466A33" w:rsidRDefault="00F91F8C" w:rsidP="00450601">
            <w:pPr>
              <w:pStyle w:val="Tabletextlight"/>
              <w:spacing w:before="80" w:after="80" w:line="288" w:lineRule="auto"/>
              <w:rPr>
                <w:rFonts w:ascii="Arial" w:hAnsi="Arial" w:cs="Arial"/>
              </w:rPr>
            </w:pPr>
          </w:p>
        </w:tc>
        <w:tc>
          <w:tcPr>
            <w:tcW w:w="2720" w:type="dxa"/>
          </w:tcPr>
          <w:p w14:paraId="7E65EE31" w14:textId="77777777" w:rsidR="00F91F8C" w:rsidRPr="00466A33" w:rsidRDefault="00F91F8C" w:rsidP="00450601">
            <w:pPr>
              <w:pStyle w:val="Tabletextlight"/>
              <w:spacing w:before="80" w:after="80" w:line="288" w:lineRule="auto"/>
              <w:rPr>
                <w:rFonts w:ascii="Arial" w:hAnsi="Arial" w:cs="Arial"/>
              </w:rPr>
            </w:pPr>
          </w:p>
        </w:tc>
        <w:tc>
          <w:tcPr>
            <w:tcW w:w="3520" w:type="dxa"/>
          </w:tcPr>
          <w:p w14:paraId="276FCDB5" w14:textId="77777777" w:rsidR="00F91F8C" w:rsidRPr="00466A33" w:rsidRDefault="00F91F8C" w:rsidP="00450601">
            <w:pPr>
              <w:pStyle w:val="Tabletextlight"/>
              <w:spacing w:before="80" w:after="80" w:line="288" w:lineRule="auto"/>
              <w:rPr>
                <w:rFonts w:ascii="Arial" w:hAnsi="Arial" w:cs="Arial"/>
              </w:rPr>
            </w:pPr>
          </w:p>
        </w:tc>
      </w:tr>
      <w:tr w:rsidR="00F91F8C" w:rsidRPr="00466A33" w14:paraId="25DC33AD" w14:textId="77777777" w:rsidTr="00EA49BC">
        <w:trPr>
          <w:cnfStyle w:val="000000010000" w:firstRow="0" w:lastRow="0" w:firstColumn="0" w:lastColumn="0" w:oddVBand="0" w:evenVBand="0" w:oddHBand="0" w:evenHBand="1" w:firstRowFirstColumn="0" w:firstRowLastColumn="0" w:lastRowFirstColumn="0" w:lastRowLastColumn="0"/>
        </w:trPr>
        <w:tc>
          <w:tcPr>
            <w:tcW w:w="3120" w:type="dxa"/>
          </w:tcPr>
          <w:p w14:paraId="565C40F7" w14:textId="77777777" w:rsidR="00F91F8C" w:rsidRPr="00466A33" w:rsidRDefault="00F91F8C" w:rsidP="00450601">
            <w:pPr>
              <w:pStyle w:val="Tabletextlight"/>
              <w:spacing w:before="80" w:after="80" w:line="288" w:lineRule="auto"/>
              <w:rPr>
                <w:rFonts w:ascii="Arial" w:hAnsi="Arial" w:cs="Arial"/>
              </w:rPr>
            </w:pPr>
          </w:p>
        </w:tc>
        <w:tc>
          <w:tcPr>
            <w:tcW w:w="2720" w:type="dxa"/>
          </w:tcPr>
          <w:p w14:paraId="2C3532B3" w14:textId="77777777" w:rsidR="00F91F8C" w:rsidRPr="00466A33" w:rsidRDefault="00F91F8C" w:rsidP="00450601">
            <w:pPr>
              <w:pStyle w:val="Tabletextlight"/>
              <w:spacing w:before="80" w:after="80" w:line="288" w:lineRule="auto"/>
              <w:rPr>
                <w:rFonts w:ascii="Arial" w:hAnsi="Arial" w:cs="Arial"/>
              </w:rPr>
            </w:pPr>
          </w:p>
        </w:tc>
        <w:tc>
          <w:tcPr>
            <w:tcW w:w="3520" w:type="dxa"/>
          </w:tcPr>
          <w:p w14:paraId="0FE6D73F" w14:textId="77777777" w:rsidR="00F91F8C" w:rsidRPr="00466A33" w:rsidRDefault="00F91F8C" w:rsidP="00450601">
            <w:pPr>
              <w:pStyle w:val="Tabletextlight"/>
              <w:spacing w:before="80" w:after="80" w:line="288" w:lineRule="auto"/>
              <w:rPr>
                <w:rFonts w:ascii="Arial" w:hAnsi="Arial" w:cs="Arial"/>
              </w:rPr>
            </w:pPr>
          </w:p>
        </w:tc>
      </w:tr>
      <w:tr w:rsidR="00F91F8C" w:rsidRPr="00466A33" w14:paraId="6EBF370F" w14:textId="77777777" w:rsidTr="00EA49BC">
        <w:trPr>
          <w:cnfStyle w:val="000000100000" w:firstRow="0" w:lastRow="0" w:firstColumn="0" w:lastColumn="0" w:oddVBand="0" w:evenVBand="0" w:oddHBand="1" w:evenHBand="0" w:firstRowFirstColumn="0" w:firstRowLastColumn="0" w:lastRowFirstColumn="0" w:lastRowLastColumn="0"/>
        </w:trPr>
        <w:tc>
          <w:tcPr>
            <w:tcW w:w="3120" w:type="dxa"/>
          </w:tcPr>
          <w:p w14:paraId="0BB738A3" w14:textId="77777777" w:rsidR="00F91F8C" w:rsidRPr="00466A33" w:rsidRDefault="00F91F8C" w:rsidP="00450601">
            <w:pPr>
              <w:pStyle w:val="Tabletextlight"/>
              <w:spacing w:before="80" w:after="80" w:line="288" w:lineRule="auto"/>
              <w:rPr>
                <w:rFonts w:ascii="Arial" w:hAnsi="Arial" w:cs="Arial"/>
              </w:rPr>
            </w:pPr>
          </w:p>
        </w:tc>
        <w:tc>
          <w:tcPr>
            <w:tcW w:w="2720" w:type="dxa"/>
          </w:tcPr>
          <w:p w14:paraId="0F046EF4" w14:textId="77777777" w:rsidR="00F91F8C" w:rsidRPr="00466A33" w:rsidRDefault="00F91F8C" w:rsidP="00450601">
            <w:pPr>
              <w:pStyle w:val="Tabletextlight"/>
              <w:spacing w:before="80" w:after="80" w:line="288" w:lineRule="auto"/>
              <w:rPr>
                <w:rFonts w:ascii="Arial" w:hAnsi="Arial" w:cs="Arial"/>
              </w:rPr>
            </w:pPr>
          </w:p>
        </w:tc>
        <w:tc>
          <w:tcPr>
            <w:tcW w:w="3520" w:type="dxa"/>
          </w:tcPr>
          <w:p w14:paraId="382140C9" w14:textId="77777777" w:rsidR="00F91F8C" w:rsidRPr="00466A33" w:rsidRDefault="00F91F8C" w:rsidP="00450601">
            <w:pPr>
              <w:pStyle w:val="Tabletextlight"/>
              <w:spacing w:before="80" w:after="80" w:line="288" w:lineRule="auto"/>
              <w:rPr>
                <w:rFonts w:ascii="Arial" w:hAnsi="Arial" w:cs="Arial"/>
              </w:rPr>
            </w:pPr>
          </w:p>
        </w:tc>
      </w:tr>
    </w:tbl>
    <w:p w14:paraId="512DE05A" w14:textId="6F1FB373" w:rsidR="00F91F8C" w:rsidRPr="00466A33" w:rsidRDefault="00F91F8C" w:rsidP="00466A33">
      <w:pPr>
        <w:pStyle w:val="Heading2"/>
      </w:pPr>
      <w:bookmarkStart w:id="26" w:name="_Toc184297598"/>
      <w:r w:rsidRPr="00466A33">
        <w:t>The SRTM</w:t>
      </w:r>
      <w:bookmarkEnd w:id="26"/>
    </w:p>
    <w:p w14:paraId="46EED798" w14:textId="77777777" w:rsidR="00450601" w:rsidRPr="00466A33" w:rsidRDefault="00450601" w:rsidP="00450601">
      <w:r w:rsidRPr="00466A33">
        <w:t>Risks identified by &lt;Insert IA Name&gt; through security control testing are recorded in the &lt;Insert CSO Name&gt; Security Requirements Traceability Matrix (SRTM) workbook. </w:t>
      </w:r>
    </w:p>
    <w:p w14:paraId="184012EB" w14:textId="53D1B64A" w:rsidR="00F91F8C" w:rsidRPr="00466A33" w:rsidRDefault="00450601" w:rsidP="00450601">
      <w:r w:rsidRPr="6515EF5F">
        <w:rPr>
          <w:lang w:val="en-US"/>
        </w:rPr>
        <w:t>As described in Section 4.4 below, risks identified (i) in the SRTM, (ii) through penetration testing, (iii) through vulnerability scanning, and (iv) through manual testing criteria are documented in the RET</w:t>
      </w:r>
      <w:r w:rsidR="00F91F8C" w:rsidRPr="6515EF5F">
        <w:rPr>
          <w:color w:val="000000"/>
          <w:lang w:val="en-US"/>
        </w:rPr>
        <w:t>.</w:t>
      </w:r>
    </w:p>
    <w:p w14:paraId="6D227D9C" w14:textId="5E4FF57D" w:rsidR="00F91F8C" w:rsidRPr="00466A33" w:rsidRDefault="00F91F8C">
      <w:pPr>
        <w:pStyle w:val="Heading2"/>
      </w:pPr>
      <w:bookmarkStart w:id="27" w:name="_Toc184297599"/>
      <w:r w:rsidRPr="00466A33">
        <w:t>Consideration of Threats</w:t>
      </w:r>
      <w:bookmarkEnd w:id="27"/>
    </w:p>
    <w:p w14:paraId="45170E8B" w14:textId="484A5FAF" w:rsidR="00F91F8C" w:rsidRPr="00466A33" w:rsidRDefault="00450601" w:rsidP="00450601">
      <w:r w:rsidRPr="00466A33">
        <w:t>The Office of Management and Budget (OMB) and Cybersecurity and Infrastructure Security Agency (CISA) are working to move the U.S. government toward a zero-trust architecture where it must be presumed that anything may present a threat. Agencies must work with their CSOs to follow the CISA Zero Trust Architecture Model plans for implementing zero trust architecture</w:t>
      </w:r>
      <w:r w:rsidR="00F91F8C" w:rsidRPr="00466A33">
        <w:t>.</w:t>
      </w:r>
    </w:p>
    <w:p w14:paraId="1907D488" w14:textId="69264A89" w:rsidR="00F91F8C" w:rsidRPr="00466A33" w:rsidRDefault="00F91F8C">
      <w:pPr>
        <w:pStyle w:val="Heading2"/>
      </w:pPr>
      <w:bookmarkStart w:id="28" w:name="_Toc184297600"/>
      <w:r w:rsidRPr="00466A33">
        <w:lastRenderedPageBreak/>
        <w:t>Document Results</w:t>
      </w:r>
      <w:bookmarkEnd w:id="28"/>
    </w:p>
    <w:p w14:paraId="6EB5616E" w14:textId="11F93172" w:rsidR="00450601" w:rsidRPr="00466A33" w:rsidRDefault="00450601" w:rsidP="00450601">
      <w:r w:rsidRPr="6515EF5F">
        <w:rPr>
          <w:lang w:val="en-US"/>
        </w:rPr>
        <w:t>The SAR Appendix A, RET contains the details of the system risks identified during the assessment, including:</w:t>
      </w:r>
    </w:p>
    <w:p w14:paraId="2A25B772" w14:textId="77777777" w:rsidR="00450601" w:rsidRPr="00466A33" w:rsidRDefault="00450601">
      <w:pPr>
        <w:numPr>
          <w:ilvl w:val="0"/>
          <w:numId w:val="7"/>
        </w:numPr>
        <w:pBdr>
          <w:top w:val="nil"/>
          <w:left w:val="nil"/>
          <w:bottom w:val="nil"/>
          <w:right w:val="nil"/>
          <w:between w:val="nil"/>
        </w:pBdr>
      </w:pPr>
      <w:r w:rsidRPr="00466A33">
        <w:rPr>
          <w:color w:val="454545"/>
          <w:szCs w:val="22"/>
        </w:rPr>
        <w:t xml:space="preserve">All security controls failures noted in the SRTM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761E95E" w14:textId="77777777" w:rsidTr="6515EF5F">
        <w:trPr>
          <w:trHeight w:val="57"/>
        </w:trPr>
        <w:tc>
          <w:tcPr>
            <w:tcW w:w="9350" w:type="dxa"/>
            <w:shd w:val="clear" w:color="auto" w:fill="19447F" w:themeFill="accent2"/>
          </w:tcPr>
          <w:p w14:paraId="7F688276" w14:textId="77777777" w:rsidR="00450601" w:rsidRPr="00466A33" w:rsidRDefault="00450601" w:rsidP="00703332">
            <w:pPr>
              <w:spacing w:after="80"/>
              <w:rPr>
                <w:b/>
                <w:i/>
                <w:color w:val="FFFFFF"/>
              </w:rPr>
            </w:pPr>
            <w:r w:rsidRPr="00466A33">
              <w:rPr>
                <w:b/>
                <w:i/>
                <w:color w:val="FFFFFF"/>
              </w:rPr>
              <w:t>Instruction:</w:t>
            </w:r>
          </w:p>
        </w:tc>
      </w:tr>
      <w:tr w:rsidR="00450601" w:rsidRPr="00466A33" w14:paraId="65198212" w14:textId="77777777" w:rsidTr="6515EF5F">
        <w:trPr>
          <w:trHeight w:val="57"/>
        </w:trPr>
        <w:tc>
          <w:tcPr>
            <w:tcW w:w="9350" w:type="dxa"/>
            <w:shd w:val="clear" w:color="auto" w:fill="F2F2F2" w:themeFill="background1" w:themeFillShade="F2"/>
          </w:tcPr>
          <w:p w14:paraId="3242A8C5" w14:textId="73D8D6AB"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For SRTM: Each column must be populated for every SRTM row entry. Ensure that the SRTM “Observations / Test Results” column clearly documents what was tested, how it was tested, and the end result of the test. Ensure the SRTM “Evidence'' column is also populated appropriately. If a portion of the security control fails, the entire control fails. </w:t>
            </w:r>
            <w:r w:rsidR="00CA14AB" w:rsidRPr="6515EF5F">
              <w:rPr>
                <w:i/>
                <w:iCs/>
                <w:color w:val="444444"/>
                <w:lang w:val="en-US"/>
              </w:rPr>
              <w:t>If the end result documented in the</w:t>
            </w:r>
            <w:r w:rsidRPr="6515EF5F">
              <w:rPr>
                <w:i/>
                <w:iCs/>
                <w:color w:val="444444"/>
                <w:lang w:val="en-US"/>
              </w:rPr>
              <w:t xml:space="preserve"> “Observations / Test Results” column </w:t>
            </w:r>
            <w:r w:rsidR="00CA14AB" w:rsidRPr="6515EF5F">
              <w:rPr>
                <w:i/>
                <w:iCs/>
                <w:color w:val="444444"/>
                <w:lang w:val="en-US"/>
              </w:rPr>
              <w:t>indicates a</w:t>
            </w:r>
            <w:r w:rsidRPr="6515EF5F">
              <w:rPr>
                <w:i/>
                <w:iCs/>
                <w:color w:val="444444"/>
                <w:lang w:val="en-US"/>
              </w:rPr>
              <w:t xml:space="preserve"> control </w:t>
            </w:r>
            <w:r w:rsidR="00CA14AB" w:rsidRPr="6515EF5F">
              <w:rPr>
                <w:i/>
                <w:iCs/>
                <w:color w:val="444444"/>
                <w:lang w:val="en-US"/>
              </w:rPr>
              <w:t>failure</w:t>
            </w:r>
            <w:r w:rsidRPr="6515EF5F">
              <w:rPr>
                <w:i/>
                <w:iCs/>
                <w:color w:val="444444"/>
                <w:lang w:val="en-US"/>
              </w:rPr>
              <w:t xml:space="preserve">, the “Assessment Result” </w:t>
            </w:r>
            <w:r w:rsidR="00CA14AB" w:rsidRPr="6515EF5F">
              <w:rPr>
                <w:i/>
                <w:iCs/>
                <w:color w:val="444444"/>
                <w:lang w:val="en-US"/>
              </w:rPr>
              <w:t xml:space="preserve">must be </w:t>
            </w:r>
            <w:r w:rsidRPr="6515EF5F">
              <w:rPr>
                <w:i/>
                <w:iCs/>
                <w:color w:val="444444"/>
                <w:lang w:val="en-US"/>
              </w:rPr>
              <w:t>marked as “</w:t>
            </w:r>
            <w:r w:rsidR="00CA14AB" w:rsidRPr="6515EF5F">
              <w:rPr>
                <w:i/>
                <w:iCs/>
                <w:color w:val="444444"/>
                <w:lang w:val="en-US"/>
              </w:rPr>
              <w:t xml:space="preserve">Other than </w:t>
            </w:r>
            <w:r w:rsidRPr="6515EF5F">
              <w:rPr>
                <w:i/>
                <w:iCs/>
                <w:color w:val="444444"/>
                <w:lang w:val="en-US"/>
              </w:rPr>
              <w:t>Satisfied”.</w:t>
            </w:r>
          </w:p>
          <w:p w14:paraId="42515D71"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This guidance applies to entries in the RET regarding the SRTM to ensure all stakeholders understand.</w:t>
            </w:r>
          </w:p>
          <w:p w14:paraId="467A83A7" w14:textId="77777777" w:rsidR="00450601" w:rsidRPr="00466A33" w:rsidRDefault="00450601" w:rsidP="00D80036">
            <w:pPr>
              <w:pStyle w:val="deletioninstruction"/>
            </w:pPr>
            <w:r w:rsidRPr="00466A33">
              <w:t>Delete this and all other instructional text from your final version of this document.</w:t>
            </w:r>
          </w:p>
        </w:tc>
      </w:tr>
    </w:tbl>
    <w:p w14:paraId="26D01F4C" w14:textId="77777777" w:rsidR="00450601" w:rsidRPr="00466A33" w:rsidRDefault="00450601" w:rsidP="00450601">
      <w:pPr>
        <w:pBdr>
          <w:top w:val="nil"/>
          <w:left w:val="nil"/>
          <w:bottom w:val="nil"/>
          <w:right w:val="nil"/>
          <w:between w:val="nil"/>
        </w:pBdr>
      </w:pPr>
    </w:p>
    <w:p w14:paraId="19CFD2A5" w14:textId="3C0F0218" w:rsidR="00450601" w:rsidRPr="00466A33" w:rsidRDefault="00F91F8C">
      <w:pPr>
        <w:numPr>
          <w:ilvl w:val="0"/>
          <w:numId w:val="7"/>
        </w:numPr>
        <w:pBdr>
          <w:top w:val="nil"/>
          <w:left w:val="nil"/>
          <w:bottom w:val="nil"/>
          <w:right w:val="nil"/>
          <w:between w:val="nil"/>
        </w:pBdr>
      </w:pPr>
      <w:r w:rsidRPr="00466A33">
        <w:rPr>
          <w:color w:val="000000"/>
          <w:szCs w:val="22"/>
        </w:rPr>
        <w:t xml:space="preserve"> </w:t>
      </w:r>
      <w:r w:rsidR="00450601" w:rsidRPr="00466A33">
        <w:rPr>
          <w:color w:val="454545"/>
          <w:szCs w:val="22"/>
        </w:rPr>
        <w:t>All penetration testing failures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5B8C479" w14:textId="77777777" w:rsidTr="00703332">
        <w:trPr>
          <w:trHeight w:val="57"/>
        </w:trPr>
        <w:tc>
          <w:tcPr>
            <w:tcW w:w="9350" w:type="dxa"/>
            <w:shd w:val="clear" w:color="auto" w:fill="19447F"/>
          </w:tcPr>
          <w:p w14:paraId="1DA59E5B" w14:textId="77777777" w:rsidR="00450601" w:rsidRPr="00466A33" w:rsidRDefault="00450601" w:rsidP="00703332">
            <w:pPr>
              <w:spacing w:after="80"/>
              <w:rPr>
                <w:b/>
                <w:i/>
                <w:color w:val="FFFFFF"/>
              </w:rPr>
            </w:pPr>
            <w:r w:rsidRPr="00466A33">
              <w:rPr>
                <w:b/>
                <w:i/>
                <w:color w:val="FFFFFF"/>
              </w:rPr>
              <w:t>Instruction:</w:t>
            </w:r>
          </w:p>
        </w:tc>
      </w:tr>
      <w:tr w:rsidR="00450601" w:rsidRPr="00466A33" w14:paraId="7C3A86A8" w14:textId="77777777" w:rsidTr="00703332">
        <w:trPr>
          <w:trHeight w:val="57"/>
        </w:trPr>
        <w:tc>
          <w:tcPr>
            <w:tcW w:w="9350" w:type="dxa"/>
            <w:shd w:val="clear" w:color="auto" w:fill="F2F2F2"/>
          </w:tcPr>
          <w:p w14:paraId="4C5657BB" w14:textId="24E1EE92" w:rsidR="00450601" w:rsidRPr="00466A33" w:rsidRDefault="00450601" w:rsidP="00703332">
            <w:pPr>
              <w:pBdr>
                <w:top w:val="nil"/>
                <w:left w:val="nil"/>
                <w:bottom w:val="nil"/>
                <w:right w:val="nil"/>
                <w:between w:val="nil"/>
              </w:pBdr>
              <w:rPr>
                <w:i/>
                <w:color w:val="444444"/>
              </w:rPr>
            </w:pPr>
            <w:r w:rsidRPr="00466A33">
              <w:rPr>
                <w:i/>
                <w:color w:val="444444"/>
              </w:rPr>
              <w:t>For the penetration test results, ensure that every mandatory attack vector and every IA/CSP agreed upon attack vector(s) is/are recorded in the SAP. If any of the attack vectors are not included, explain these in the “Deviations from the SAP” section of this SAR.</w:t>
            </w:r>
          </w:p>
          <w:p w14:paraId="277091DA" w14:textId="77777777" w:rsidR="00450601" w:rsidRPr="00466A33" w:rsidRDefault="00450601" w:rsidP="00703332">
            <w:pPr>
              <w:rPr>
                <w:i/>
                <w:color w:val="444444"/>
              </w:rPr>
            </w:pPr>
            <w:r w:rsidRPr="00466A33">
              <w:rPr>
                <w:i/>
                <w:color w:val="444444"/>
              </w:rPr>
              <w:t>This guidance applies to entries in the RET to ensure that the penetration testing exercise is as complete as possible and to ensure all stakeholders understand.</w:t>
            </w:r>
          </w:p>
          <w:p w14:paraId="249827C5" w14:textId="77777777" w:rsidR="00450601" w:rsidRPr="00466A33" w:rsidRDefault="00450601" w:rsidP="00D80036">
            <w:pPr>
              <w:pStyle w:val="deletioninstruction"/>
            </w:pPr>
            <w:r w:rsidRPr="00466A33">
              <w:t>Delete this and all other instructional text from your final version of this document.</w:t>
            </w:r>
          </w:p>
        </w:tc>
      </w:tr>
    </w:tbl>
    <w:p w14:paraId="3AC038E8" w14:textId="77777777" w:rsidR="00FC4812" w:rsidRPr="00466A33" w:rsidRDefault="00FC4812" w:rsidP="00450601">
      <w:pPr>
        <w:pBdr>
          <w:top w:val="nil"/>
          <w:left w:val="nil"/>
          <w:bottom w:val="nil"/>
          <w:right w:val="nil"/>
          <w:between w:val="nil"/>
        </w:pBdr>
        <w:spacing w:before="0"/>
        <w:ind w:left="720"/>
      </w:pPr>
    </w:p>
    <w:p w14:paraId="582469C1" w14:textId="6EDFD36A" w:rsidR="00450601" w:rsidRPr="00466A33" w:rsidRDefault="00450601">
      <w:pPr>
        <w:numPr>
          <w:ilvl w:val="0"/>
          <w:numId w:val="7"/>
        </w:numPr>
        <w:pBdr>
          <w:top w:val="nil"/>
          <w:left w:val="nil"/>
          <w:bottom w:val="nil"/>
          <w:right w:val="nil"/>
          <w:between w:val="nil"/>
        </w:pBdr>
        <w:spacing w:before="0"/>
      </w:pPr>
      <w:r w:rsidRPr="00466A33">
        <w:rPr>
          <w:color w:val="454545"/>
          <w:szCs w:val="22"/>
        </w:rPr>
        <w:t>All vulnerabilities detected during scanning</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E1CC2BD" w14:textId="77777777" w:rsidTr="00703332">
        <w:trPr>
          <w:trHeight w:val="57"/>
        </w:trPr>
        <w:tc>
          <w:tcPr>
            <w:tcW w:w="9350" w:type="dxa"/>
            <w:shd w:val="clear" w:color="auto" w:fill="19447F"/>
          </w:tcPr>
          <w:p w14:paraId="661DBE5C" w14:textId="77777777" w:rsidR="00450601" w:rsidRPr="00466A33" w:rsidRDefault="00450601" w:rsidP="00703332">
            <w:pPr>
              <w:spacing w:after="80"/>
              <w:rPr>
                <w:b/>
                <w:i/>
                <w:color w:val="FFFFFF"/>
              </w:rPr>
            </w:pPr>
            <w:r w:rsidRPr="00466A33">
              <w:rPr>
                <w:b/>
                <w:i/>
                <w:color w:val="FFFFFF"/>
              </w:rPr>
              <w:t>Instruction:</w:t>
            </w:r>
          </w:p>
        </w:tc>
      </w:tr>
      <w:tr w:rsidR="00450601" w:rsidRPr="00466A33" w14:paraId="1D527CDC" w14:textId="77777777" w:rsidTr="00703332">
        <w:trPr>
          <w:trHeight w:val="57"/>
        </w:trPr>
        <w:tc>
          <w:tcPr>
            <w:tcW w:w="9350" w:type="dxa"/>
            <w:shd w:val="clear" w:color="auto" w:fill="F2F2F2"/>
          </w:tcPr>
          <w:p w14:paraId="5067950A" w14:textId="60B84367" w:rsidR="00450601" w:rsidRPr="00466A33" w:rsidRDefault="00450601" w:rsidP="00703332">
            <w:pPr>
              <w:pBdr>
                <w:top w:val="nil"/>
                <w:left w:val="nil"/>
                <w:bottom w:val="nil"/>
                <w:right w:val="nil"/>
                <w:between w:val="nil"/>
              </w:pBdr>
              <w:rPr>
                <w:i/>
                <w:color w:val="444444"/>
              </w:rPr>
            </w:pPr>
            <w:r w:rsidRPr="00466A33">
              <w:rPr>
                <w:i/>
                <w:color w:val="444444"/>
              </w:rPr>
              <w:lastRenderedPageBreak/>
              <w:t xml:space="preserve">ALL scan-related findings must be included in the RET and must match the machine-readable results, one to one. All scan-related </w:t>
            </w:r>
            <w:r w:rsidR="000B53E1" w:rsidRPr="00466A33">
              <w:rPr>
                <w:i/>
                <w:color w:val="444444"/>
              </w:rPr>
              <w:t xml:space="preserve">control </w:t>
            </w:r>
            <w:r w:rsidRPr="00466A33">
              <w:rPr>
                <w:i/>
                <w:color w:val="444444"/>
              </w:rPr>
              <w:t xml:space="preserve">findings (e.g., running unauthenticated scans) must be recorded in the RET. </w:t>
            </w:r>
          </w:p>
          <w:p w14:paraId="30CD8C4E" w14:textId="77777777" w:rsidR="00450601" w:rsidRPr="00466A33" w:rsidRDefault="00450601" w:rsidP="00703332">
            <w:pPr>
              <w:pBdr>
                <w:top w:val="nil"/>
                <w:left w:val="nil"/>
                <w:bottom w:val="nil"/>
                <w:right w:val="nil"/>
                <w:between w:val="nil"/>
              </w:pBdr>
              <w:rPr>
                <w:i/>
                <w:color w:val="444444"/>
              </w:rPr>
            </w:pPr>
            <w:r w:rsidRPr="00466A33">
              <w:rPr>
                <w:i/>
                <w:color w:val="444444"/>
              </w:rPr>
              <w:t>This guidance applies to vulnerability scan findings recorded on the RET to ensure that the authenticated vulnerability scanning exercise is as complete as possible and to ensure all stakeholders understand.</w:t>
            </w:r>
          </w:p>
          <w:p w14:paraId="588C66D9" w14:textId="77777777" w:rsidR="00450601" w:rsidRPr="00466A33" w:rsidRDefault="00450601" w:rsidP="00D80036">
            <w:pPr>
              <w:pStyle w:val="deletioninstruction"/>
            </w:pPr>
            <w:r w:rsidRPr="00466A33">
              <w:t>Delete this and all other instructional text from your final version of this document.</w:t>
            </w:r>
          </w:p>
        </w:tc>
      </w:tr>
    </w:tbl>
    <w:p w14:paraId="71A2D0E6" w14:textId="77777777" w:rsidR="00450601" w:rsidRDefault="00450601" w:rsidP="00450601">
      <w:pPr>
        <w:pBdr>
          <w:top w:val="nil"/>
          <w:left w:val="nil"/>
          <w:bottom w:val="nil"/>
          <w:right w:val="nil"/>
          <w:between w:val="nil"/>
        </w:pBdr>
        <w:spacing w:before="0" w:after="0"/>
        <w:ind w:left="720"/>
      </w:pPr>
    </w:p>
    <w:p w14:paraId="60D08104" w14:textId="77777777" w:rsidR="00FC4812" w:rsidRPr="00466A33" w:rsidRDefault="00FC4812" w:rsidP="00450601">
      <w:pPr>
        <w:pBdr>
          <w:top w:val="nil"/>
          <w:left w:val="nil"/>
          <w:bottom w:val="nil"/>
          <w:right w:val="nil"/>
          <w:between w:val="nil"/>
        </w:pBdr>
        <w:spacing w:before="0" w:after="0"/>
        <w:ind w:left="720"/>
      </w:pPr>
    </w:p>
    <w:p w14:paraId="36AF34EA" w14:textId="112FCB9C" w:rsidR="00450601" w:rsidRPr="00642239" w:rsidRDefault="00450601" w:rsidP="00FC4812">
      <w:pPr>
        <w:numPr>
          <w:ilvl w:val="0"/>
          <w:numId w:val="7"/>
        </w:numPr>
        <w:pBdr>
          <w:top w:val="nil"/>
          <w:left w:val="nil"/>
          <w:bottom w:val="nil"/>
          <w:right w:val="nil"/>
          <w:between w:val="nil"/>
        </w:pBdr>
        <w:spacing w:before="0"/>
      </w:pPr>
      <w:r w:rsidRPr="6515EF5F">
        <w:rPr>
          <w:lang w:val="en-US"/>
        </w:rPr>
        <w:t>All weaknesses identified during manual testing (other than penetration testing)</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D6F02" w:rsidRPr="00466A33" w14:paraId="1622440F" w14:textId="77777777" w:rsidTr="00190D94">
        <w:trPr>
          <w:trHeight w:val="57"/>
        </w:trPr>
        <w:tc>
          <w:tcPr>
            <w:tcW w:w="9350" w:type="dxa"/>
            <w:shd w:val="clear" w:color="auto" w:fill="19447F" w:themeFill="accent2"/>
          </w:tcPr>
          <w:p w14:paraId="39268753" w14:textId="77777777" w:rsidR="005D6F02" w:rsidRPr="00466A33" w:rsidRDefault="005D6F02" w:rsidP="00190D94">
            <w:pPr>
              <w:spacing w:after="80"/>
              <w:rPr>
                <w:b/>
                <w:i/>
                <w:color w:val="FFFFFF"/>
              </w:rPr>
            </w:pPr>
            <w:r w:rsidRPr="00466A33">
              <w:rPr>
                <w:b/>
                <w:i/>
                <w:color w:val="FFFFFF"/>
              </w:rPr>
              <w:t>Instruction:</w:t>
            </w:r>
          </w:p>
        </w:tc>
      </w:tr>
      <w:tr w:rsidR="005D6F02" w:rsidRPr="00466A33" w14:paraId="174FC2AD" w14:textId="77777777" w:rsidTr="00190D94">
        <w:trPr>
          <w:trHeight w:val="57"/>
        </w:trPr>
        <w:tc>
          <w:tcPr>
            <w:tcW w:w="9350" w:type="dxa"/>
            <w:shd w:val="clear" w:color="auto" w:fill="F2F2F2" w:themeFill="background1" w:themeFillShade="F2"/>
          </w:tcPr>
          <w:p w14:paraId="6173AB4D" w14:textId="60422CB2" w:rsidR="005D6F02" w:rsidRPr="00FC4812" w:rsidRDefault="005D6F02" w:rsidP="00190D94">
            <w:pPr>
              <w:pStyle w:val="deletioninstruction"/>
              <w:rPr>
                <w:color w:val="444444"/>
                <w:lang w:val="en"/>
              </w:rPr>
            </w:pPr>
            <w:r w:rsidRPr="00FC4812">
              <w:rPr>
                <w:color w:val="444444"/>
                <w:lang w:val="en"/>
              </w:rPr>
              <w:t>Manual testing and manual security control testing is the process where an IA must manually evaluate, test, then assess the effectiveness of security controls within a system. Manual testing may be required if the CSP has named controls in the SSP as “Alternative Implementations”. Many times</w:t>
            </w:r>
            <w:r w:rsidR="00DB3EC3" w:rsidRPr="00FC4812">
              <w:rPr>
                <w:color w:val="444444"/>
                <w:lang w:val="en"/>
              </w:rPr>
              <w:t>,</w:t>
            </w:r>
            <w:r w:rsidRPr="00FC4812">
              <w:rPr>
                <w:color w:val="444444"/>
                <w:lang w:val="en"/>
              </w:rPr>
              <w:t xml:space="preserve"> the testing procedures for these </w:t>
            </w:r>
            <w:r w:rsidR="00DB3EC3" w:rsidRPr="00FC4812">
              <w:rPr>
                <w:color w:val="444444"/>
                <w:lang w:val="en"/>
              </w:rPr>
              <w:t>Alternative Implementations requires testing additional security controls that may be named in the NIST baseline but not in the FedRAMP baseline. Other times, the IA finds that a security control is not being met in one control family and that affects several other controls in other control families. While the initial testing of the other security controls might have appeared to have been met, the presence of the non-compliant security control implementation suggests that other controls are now involved. The IA may devise manual ways to provide some credence to the failures.</w:t>
            </w:r>
          </w:p>
          <w:p w14:paraId="233A86BD" w14:textId="42A22509" w:rsidR="005D6F02" w:rsidRPr="00466A33" w:rsidRDefault="005D6F02" w:rsidP="00190D94">
            <w:pPr>
              <w:pStyle w:val="deletioninstruction"/>
            </w:pPr>
            <w:r w:rsidRPr="00466A33">
              <w:t>Delete this and all other instructional text from your final version of this document.</w:t>
            </w:r>
          </w:p>
        </w:tc>
      </w:tr>
    </w:tbl>
    <w:p w14:paraId="45EC690A" w14:textId="77777777" w:rsidR="005D6F02" w:rsidRPr="00466A33" w:rsidRDefault="005D6F02" w:rsidP="00642239">
      <w:pPr>
        <w:pBdr>
          <w:top w:val="nil"/>
          <w:left w:val="nil"/>
          <w:bottom w:val="nil"/>
          <w:right w:val="nil"/>
          <w:between w:val="nil"/>
        </w:pBdr>
        <w:spacing w:before="0" w:after="0"/>
        <w:ind w:left="360"/>
      </w:pPr>
    </w:p>
    <w:p w14:paraId="1D5D30FD" w14:textId="6171B145" w:rsidR="00082179" w:rsidRPr="00466A33" w:rsidRDefault="00EB2D65">
      <w:pPr>
        <w:pStyle w:val="Heading1"/>
      </w:pPr>
      <w:bookmarkStart w:id="29" w:name="_Toc184297601"/>
      <w:r w:rsidRPr="00466A33">
        <w:t>Risks Known for Interconnected Systems and External Services</w:t>
      </w:r>
      <w:bookmarkEnd w:id="2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1439F96" w14:textId="77777777" w:rsidTr="6515EF5F">
        <w:trPr>
          <w:trHeight w:val="57"/>
        </w:trPr>
        <w:tc>
          <w:tcPr>
            <w:tcW w:w="9350" w:type="dxa"/>
            <w:shd w:val="clear" w:color="auto" w:fill="19447F" w:themeFill="accent2"/>
          </w:tcPr>
          <w:p w14:paraId="32BBFF73" w14:textId="77777777" w:rsidR="00450601" w:rsidRPr="00466A33" w:rsidRDefault="00450601" w:rsidP="00703332">
            <w:pPr>
              <w:spacing w:after="80"/>
              <w:rPr>
                <w:b/>
                <w:i/>
                <w:color w:val="FFFFFF"/>
              </w:rPr>
            </w:pPr>
            <w:r w:rsidRPr="00466A33">
              <w:rPr>
                <w:b/>
                <w:i/>
                <w:color w:val="FFFFFF"/>
              </w:rPr>
              <w:t>Instruction:</w:t>
            </w:r>
          </w:p>
        </w:tc>
      </w:tr>
      <w:tr w:rsidR="00450601" w:rsidRPr="00466A33" w14:paraId="3903780D" w14:textId="77777777" w:rsidTr="6515EF5F">
        <w:trPr>
          <w:trHeight w:val="57"/>
        </w:trPr>
        <w:tc>
          <w:tcPr>
            <w:tcW w:w="9350" w:type="dxa"/>
            <w:shd w:val="clear" w:color="auto" w:fill="F2F2F2" w:themeFill="background1" w:themeFillShade="F2"/>
          </w:tcPr>
          <w:p w14:paraId="4A4E4244" w14:textId="05ED6BE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Relevant information is contained in the SSP tables “Leveraged FedRAMP Authorized Services” and “External Systems/Services, Interconnections, APIs, and CLIs Not Having FedRAMP Authorizations</w:t>
            </w:r>
            <w:r w:rsidR="000B53E1" w:rsidRPr="6515EF5F">
              <w:rPr>
                <w:i/>
                <w:iCs/>
                <w:color w:val="444444"/>
                <w:lang w:val="en-US"/>
              </w:rPr>
              <w:t>.</w:t>
            </w:r>
            <w:r w:rsidRPr="6515EF5F">
              <w:rPr>
                <w:i/>
                <w:iCs/>
                <w:color w:val="444444"/>
                <w:lang w:val="en-US"/>
              </w:rPr>
              <w:t xml:space="preserve">” These tables contain all “Update Sources” for services installed </w:t>
            </w:r>
            <w:r w:rsidRPr="6515EF5F">
              <w:rPr>
                <w:i/>
                <w:iCs/>
                <w:color w:val="444444"/>
                <w:lang w:val="en-US"/>
              </w:rPr>
              <w:lastRenderedPageBreak/>
              <w:t xml:space="preserve">within the system boundary that must be updated by the CSP and a summary of all interconnected systems and external services. If a product is mentioned in the SSP, the product must be listed in one of those two tables, as it logically falls into one of the above-mentioned descriptions. IAs </w:t>
            </w:r>
            <w:r w:rsidR="000B53E1" w:rsidRPr="6515EF5F">
              <w:rPr>
                <w:i/>
                <w:iCs/>
                <w:color w:val="444444"/>
                <w:lang w:val="en-US"/>
              </w:rPr>
              <w:t xml:space="preserve">must </w:t>
            </w:r>
            <w:r w:rsidRPr="6515EF5F">
              <w:rPr>
                <w:i/>
                <w:iCs/>
                <w:color w:val="444444"/>
                <w:lang w:val="en-US"/>
              </w:rPr>
              <w:t xml:space="preserve">review and validate the </w:t>
            </w:r>
            <w:r w:rsidR="002821A6" w:rsidRPr="6515EF5F">
              <w:rPr>
                <w:i/>
                <w:iCs/>
                <w:color w:val="444444"/>
                <w:lang w:val="en-US"/>
              </w:rPr>
              <w:t xml:space="preserve">leveraged and </w:t>
            </w:r>
            <w:r w:rsidRPr="6515EF5F">
              <w:rPr>
                <w:i/>
                <w:iCs/>
                <w:color w:val="444444"/>
                <w:lang w:val="en-US"/>
              </w:rPr>
              <w:t>external services captured in the aforementioned tables.</w:t>
            </w:r>
          </w:p>
          <w:p w14:paraId="3750FF73"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If a CSO is leveraging an external service in a way that does not comply with FedRAMP requirements, including the FedRAMP Authorization Boundary Guidance, this is a finding that must be captured in the RET.</w:t>
            </w:r>
          </w:p>
          <w:p w14:paraId="3964A2F6" w14:textId="070CB5CE"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Per the above, “External Systems/Services, Interconnections, APIs, and CLIs Not Having FedRAMP Authorizations”, </w:t>
            </w:r>
            <w:r w:rsidR="002821A6" w:rsidRPr="6515EF5F">
              <w:rPr>
                <w:i/>
                <w:iCs/>
                <w:color w:val="444444"/>
                <w:lang w:val="en-US"/>
              </w:rPr>
              <w:t xml:space="preserve">agency customers </w:t>
            </w:r>
            <w:r w:rsidRPr="6515EF5F">
              <w:rPr>
                <w:i/>
                <w:iCs/>
                <w:color w:val="444444"/>
                <w:lang w:val="en-US"/>
              </w:rPr>
              <w:t xml:space="preserve">must understand </w:t>
            </w:r>
            <w:r w:rsidR="002821A6" w:rsidRPr="6515EF5F">
              <w:rPr>
                <w:i/>
                <w:iCs/>
                <w:color w:val="444444"/>
                <w:lang w:val="en-US"/>
              </w:rPr>
              <w:t xml:space="preserve">that </w:t>
            </w:r>
            <w:r w:rsidR="000B53E1" w:rsidRPr="6515EF5F">
              <w:rPr>
                <w:i/>
                <w:iCs/>
                <w:color w:val="444444"/>
                <w:lang w:val="en-US"/>
              </w:rPr>
              <w:t xml:space="preserve">non-authorized </w:t>
            </w:r>
            <w:r w:rsidRPr="6515EF5F">
              <w:rPr>
                <w:i/>
                <w:iCs/>
                <w:color w:val="444444"/>
                <w:lang w:val="en-US"/>
              </w:rPr>
              <w:t xml:space="preserve">services </w:t>
            </w:r>
            <w:r w:rsidR="000B53E1" w:rsidRPr="6515EF5F">
              <w:rPr>
                <w:i/>
                <w:iCs/>
                <w:color w:val="444444"/>
                <w:lang w:val="en-US"/>
              </w:rPr>
              <w:t xml:space="preserve">have not been assessed and </w:t>
            </w:r>
            <w:r w:rsidRPr="6515EF5F">
              <w:rPr>
                <w:i/>
                <w:iCs/>
                <w:color w:val="444444"/>
                <w:lang w:val="en-US"/>
              </w:rPr>
              <w:t>represent unknown risk.</w:t>
            </w:r>
            <w:r w:rsidR="00E73F9B">
              <w:rPr>
                <w:i/>
                <w:iCs/>
                <w:color w:val="444444"/>
                <w:lang w:val="en-US"/>
              </w:rPr>
              <w:t xml:space="preserve"> </w:t>
            </w:r>
            <w:r w:rsidRPr="6515EF5F">
              <w:rPr>
                <w:i/>
                <w:iCs/>
                <w:color w:val="444444"/>
                <w:lang w:val="en-US"/>
              </w:rPr>
              <w:t xml:space="preserve">Agency customers must understand how their data is interacting with such services and must assess and accept risk for the use of these external services, especially those services that provide critical security functionality. </w:t>
            </w:r>
            <w:r w:rsidR="002821A6" w:rsidRPr="6515EF5F">
              <w:rPr>
                <w:i/>
                <w:iCs/>
                <w:color w:val="444444"/>
                <w:lang w:val="en-US"/>
              </w:rPr>
              <w:t>Therefore, r</w:t>
            </w:r>
            <w:r w:rsidRPr="6515EF5F">
              <w:rPr>
                <w:i/>
                <w:iCs/>
                <w:color w:val="444444"/>
                <w:lang w:val="en-US"/>
              </w:rPr>
              <w:t xml:space="preserve">isks associated with the use of </w:t>
            </w:r>
            <w:r w:rsidR="002821A6" w:rsidRPr="6515EF5F">
              <w:rPr>
                <w:i/>
                <w:iCs/>
                <w:color w:val="444444"/>
                <w:lang w:val="en-US"/>
              </w:rPr>
              <w:t xml:space="preserve">non-authorized </w:t>
            </w:r>
            <w:r w:rsidRPr="6515EF5F">
              <w:rPr>
                <w:i/>
                <w:iCs/>
                <w:color w:val="444444"/>
                <w:lang w:val="en-US"/>
              </w:rPr>
              <w:t xml:space="preserve">external systems/services, interconnections, APIs, and CLIs (listed in this table) must be captured in the RET. </w:t>
            </w:r>
          </w:p>
          <w:p w14:paraId="5F1E9F08" w14:textId="626AF7D2" w:rsidR="002821A6" w:rsidRPr="00466A33" w:rsidRDefault="002821A6" w:rsidP="00703332">
            <w:pPr>
              <w:pBdr>
                <w:top w:val="nil"/>
                <w:left w:val="nil"/>
                <w:bottom w:val="nil"/>
                <w:right w:val="nil"/>
                <w:between w:val="nil"/>
              </w:pBdr>
              <w:rPr>
                <w:i/>
                <w:color w:val="444444"/>
              </w:rPr>
            </w:pPr>
            <w:r w:rsidRPr="00466A33">
              <w:rPr>
                <w:i/>
                <w:color w:val="444444"/>
              </w:rPr>
              <w:t>In addition, external systems/services that are used by a CSO, but not mentioned in the “Leveraged and External Services” tables, must be captured in the RET.</w:t>
            </w:r>
          </w:p>
          <w:p w14:paraId="64CC9C72" w14:textId="77777777" w:rsidR="00450601" w:rsidRPr="00466A33" w:rsidRDefault="00450601" w:rsidP="00703332">
            <w:pPr>
              <w:pBdr>
                <w:top w:val="nil"/>
                <w:left w:val="nil"/>
                <w:bottom w:val="nil"/>
                <w:right w:val="nil"/>
                <w:between w:val="nil"/>
              </w:pBdr>
              <w:rPr>
                <w:i/>
                <w:color w:val="444444"/>
              </w:rPr>
            </w:pPr>
            <w:r w:rsidRPr="00466A33">
              <w:rPr>
                <w:i/>
                <w:color w:val="444444"/>
              </w:rPr>
              <w:t>Conversely, for the “Leveraged FedRAMP Authorized Services” risk, this is a non-finding that is the responsibility of FedRAMP Authorized service providers to remediate. These are not a customer’s responsibility to remediate and should not appear on the leveraging CSO POA&amp;M.</w:t>
            </w:r>
          </w:p>
          <w:p w14:paraId="7E73BC15" w14:textId="77777777" w:rsidR="00450601" w:rsidRPr="00466A33" w:rsidRDefault="00450601" w:rsidP="00D80036">
            <w:pPr>
              <w:pStyle w:val="deletioninstruction"/>
            </w:pPr>
            <w:r w:rsidRPr="00466A33">
              <w:t>Delete this and all other instructional text from your final version of this document.</w:t>
            </w:r>
          </w:p>
        </w:tc>
      </w:tr>
    </w:tbl>
    <w:p w14:paraId="5135602A" w14:textId="77777777" w:rsidR="00450601" w:rsidRPr="00466A33" w:rsidRDefault="00450601" w:rsidP="00B82699"/>
    <w:p w14:paraId="6A61029A" w14:textId="07B6FAB0" w:rsidR="00B82699" w:rsidRPr="00466A33" w:rsidRDefault="00450601" w:rsidP="00B82699">
      <w:r w:rsidRPr="6515EF5F">
        <w:rPr>
          <w:lang w:val="en-US"/>
        </w:rPr>
        <w:t>Inherent relationships between &lt;Insert CSO Name&gt; and other interconnected systems may impact the overall system security posture. External services that are used to provide functionality to &lt;Insert CSO Name&gt; or used to manage and operate &lt;Insert CSO Name&gt; may also impact the overall system security posture (e.g. the extent to which data/metadata contained in the external service might be leveraged to exploit the main cloud service offering). Risks associated with interconnected systems, external systems/services, interconnections, APIs, and CLIs are documented in the RET.</w:t>
      </w:r>
    </w:p>
    <w:p w14:paraId="3002ED6D" w14:textId="2DA398D8" w:rsidR="003373DC" w:rsidRPr="00466A33" w:rsidRDefault="00EB2D65" w:rsidP="00863D98">
      <w:pPr>
        <w:pStyle w:val="Appendix1"/>
      </w:pPr>
      <w:bookmarkStart w:id="30" w:name="_Toc184297602"/>
      <w:r w:rsidRPr="00466A33">
        <w:lastRenderedPageBreak/>
        <w:t>Risk Exposure Table</w:t>
      </w:r>
      <w:bookmarkEnd w:id="30"/>
    </w:p>
    <w:p w14:paraId="78DB7227" w14:textId="5C6C38B5" w:rsidR="00015B5C" w:rsidRPr="008F37B2" w:rsidRDefault="00450601" w:rsidP="00ED13B4">
      <w:pPr>
        <w:rPr>
          <w:lang w:val="en-US"/>
        </w:rPr>
      </w:pPr>
      <w:r w:rsidRPr="00466A33">
        <w:t xml:space="preserve">The Risk Exposure Table (RET) captures all security risks identified during this assessment. This workbook also captures all risks that were validated by </w:t>
      </w:r>
      <w:r w:rsidR="002821A6" w:rsidRPr="00466A33">
        <w:t xml:space="preserve">&lt;Insert </w:t>
      </w:r>
      <w:r w:rsidRPr="00466A33">
        <w:t xml:space="preserve">IA </w:t>
      </w:r>
      <w:r w:rsidR="002821A6" w:rsidRPr="00466A33">
        <w:t xml:space="preserve">Name&gt; </w:t>
      </w:r>
      <w:r w:rsidRPr="00466A33">
        <w:t>as closed during testing</w:t>
      </w:r>
      <w:r w:rsidRPr="00E73F9B">
        <w:t>.</w:t>
      </w:r>
      <w:r w:rsidR="00015B5C" w:rsidRPr="00E73F9B">
        <w:t xml:space="preserve"> Beginning in this Revision 5 Report, FedRAMP would like any </w:t>
      </w:r>
      <w:r w:rsidR="00015B5C" w:rsidRPr="00E73F9B">
        <w:rPr>
          <w:lang w:val="en-US"/>
        </w:rPr>
        <w:t>Configuration Findings, “CM-6 findings” tracked as follows: one finding in the RET as a CM-6 failure (multiple findings wrapped into one) and then </w:t>
      </w:r>
      <w:r w:rsidR="00015B5C" w:rsidRPr="00E73F9B">
        <w:rPr>
          <w:b/>
          <w:bCs/>
          <w:u w:val="single"/>
          <w:lang w:val="en-US"/>
        </w:rPr>
        <w:t>all </w:t>
      </w:r>
      <w:r w:rsidR="00015B5C" w:rsidRPr="00E73F9B">
        <w:rPr>
          <w:lang w:val="en-US"/>
        </w:rPr>
        <w:t>findings detailed out on the Configuration Findings tab. The CSP must record the same in their POA&amp;M, on their POA&amp;M Configuration Findings tab.</w:t>
      </w:r>
    </w:p>
    <w:p w14:paraId="614D0C5D" w14:textId="77777777" w:rsidR="00450601" w:rsidRPr="00466A33" w:rsidRDefault="00450601" w:rsidP="00FC4812">
      <w:pPr>
        <w:pStyle w:val="Appendix1"/>
        <w:ind w:left="0" w:firstLine="0"/>
      </w:pPr>
      <w:bookmarkStart w:id="31" w:name="_Toc184297603"/>
      <w:r w:rsidRPr="00466A33">
        <w:t>Security Requirements Traceability Matrix (SRTM) Workbook</w:t>
      </w:r>
      <w:bookmarkEnd w:id="31"/>
    </w:p>
    <w:p w14:paraId="524617A0" w14:textId="67481D74" w:rsidR="004226F2" w:rsidRPr="0065636A" w:rsidRDefault="00EB2D65" w:rsidP="00EB2D65">
      <w:pPr>
        <w:rPr>
          <w:lang w:val="en-US"/>
        </w:rPr>
      </w:pPr>
      <w:r w:rsidRPr="00466A33">
        <w:t>The SRTM captures the results of the security controls testing</w:t>
      </w:r>
      <w:r w:rsidR="0065636A">
        <w:t>.</w:t>
      </w:r>
      <w:r w:rsidR="00015B5C">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304E61B" w14:textId="77777777" w:rsidTr="6515EF5F">
        <w:trPr>
          <w:trHeight w:val="57"/>
        </w:trPr>
        <w:tc>
          <w:tcPr>
            <w:tcW w:w="9350" w:type="dxa"/>
            <w:shd w:val="clear" w:color="auto" w:fill="19447F" w:themeFill="accent2"/>
          </w:tcPr>
          <w:p w14:paraId="50825508" w14:textId="77777777" w:rsidR="00450601" w:rsidRPr="00466A33" w:rsidRDefault="00450601" w:rsidP="00703332">
            <w:pPr>
              <w:pBdr>
                <w:top w:val="nil"/>
                <w:left w:val="nil"/>
                <w:bottom w:val="nil"/>
                <w:right w:val="nil"/>
                <w:between w:val="nil"/>
              </w:pBdr>
              <w:spacing w:after="80"/>
              <w:rPr>
                <w:b/>
                <w:i/>
                <w:color w:val="FFFFFF"/>
              </w:rPr>
            </w:pPr>
            <w:r w:rsidRPr="00466A33">
              <w:rPr>
                <w:b/>
                <w:i/>
                <w:color w:val="FFFFFF"/>
              </w:rPr>
              <w:t>Instructions:</w:t>
            </w:r>
          </w:p>
        </w:tc>
      </w:tr>
      <w:tr w:rsidR="00450601" w:rsidRPr="00466A33" w14:paraId="1E4C70FF" w14:textId="77777777" w:rsidTr="6515EF5F">
        <w:trPr>
          <w:trHeight w:val="57"/>
        </w:trPr>
        <w:tc>
          <w:tcPr>
            <w:tcW w:w="9350" w:type="dxa"/>
            <w:shd w:val="clear" w:color="auto" w:fill="F2F2F2" w:themeFill="background1" w:themeFillShade="F2"/>
          </w:tcPr>
          <w:p w14:paraId="5DFC5740"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An IA must examine the CSO POA&amp;M spreadsheet (required for CSOs with a FedRAMP authorization) to ensure that the IA has captured all findings that are still open. Sometimes an IA determines that a few POA&amp;M items have closed based on remediations completed during the assessment.</w:t>
            </w:r>
          </w:p>
          <w:p w14:paraId="34AC09FE" w14:textId="1D8BFC1F"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The SRTM templates for High, Moderate, Low impact systems are available on th</w:t>
            </w:r>
            <w:r w:rsidR="008C3E03">
              <w:rPr>
                <w:i/>
                <w:iCs/>
                <w:color w:val="444444"/>
                <w:lang w:val="en-US"/>
              </w:rPr>
              <w:t xml:space="preserve">e </w:t>
            </w:r>
            <w:hyperlink r:id="rId23">
              <w:r w:rsidRPr="6515EF5F">
                <w:rPr>
                  <w:rStyle w:val="Hyperlink"/>
                  <w:lang w:val="en-US"/>
                </w:rPr>
                <w:t>FedRAMP Documents and Templates webpage</w:t>
              </w:r>
            </w:hyperlink>
            <w:r w:rsidRPr="6515EF5F">
              <w:rPr>
                <w:rStyle w:val="Hyperlink"/>
                <w:lang w:val="en-US"/>
              </w:rPr>
              <w:t xml:space="preserve">. </w:t>
            </w:r>
          </w:p>
          <w:p w14:paraId="470823A6" w14:textId="77777777" w:rsidR="00450601" w:rsidRPr="00466A33" w:rsidRDefault="00450601" w:rsidP="00D80036">
            <w:pPr>
              <w:pStyle w:val="deletioninstruction"/>
              <w:rPr>
                <w:color w:val="19447F"/>
              </w:rPr>
            </w:pPr>
            <w:r w:rsidRPr="00466A33">
              <w:t>Delete this and all other instructional text from your final version of this document.</w:t>
            </w:r>
          </w:p>
        </w:tc>
      </w:tr>
    </w:tbl>
    <w:p w14:paraId="44902FDD" w14:textId="322D7EA7" w:rsidR="007D1877" w:rsidRPr="00466A33" w:rsidRDefault="00EB2D65" w:rsidP="00863D98">
      <w:pPr>
        <w:pStyle w:val="Appendix1"/>
      </w:pPr>
      <w:bookmarkStart w:id="32" w:name="_Toc184297604"/>
      <w:r w:rsidRPr="00466A33">
        <w:t>Vulnerability Scan Results</w:t>
      </w:r>
      <w:bookmarkEnd w:id="3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AA6F1A1" w14:textId="77777777" w:rsidTr="6515EF5F">
        <w:trPr>
          <w:trHeight w:val="57"/>
        </w:trPr>
        <w:tc>
          <w:tcPr>
            <w:tcW w:w="9350" w:type="dxa"/>
            <w:shd w:val="clear" w:color="auto" w:fill="19447F" w:themeFill="accent2"/>
          </w:tcPr>
          <w:p w14:paraId="1594059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DFA325A" w14:textId="77777777" w:rsidTr="6515EF5F">
        <w:trPr>
          <w:trHeight w:val="57"/>
        </w:trPr>
        <w:tc>
          <w:tcPr>
            <w:tcW w:w="9350" w:type="dxa"/>
            <w:shd w:val="clear" w:color="auto" w:fill="F2F2F2" w:themeFill="background1" w:themeFillShade="F2"/>
          </w:tcPr>
          <w:p w14:paraId="219098CA" w14:textId="5785489C" w:rsidR="00450601" w:rsidRDefault="00450601" w:rsidP="6515EF5F">
            <w:pPr>
              <w:pBdr>
                <w:top w:val="nil"/>
                <w:left w:val="nil"/>
                <w:bottom w:val="nil"/>
                <w:right w:val="nil"/>
                <w:between w:val="nil"/>
              </w:pBdr>
              <w:rPr>
                <w:i/>
                <w:iCs/>
                <w:color w:val="444444"/>
                <w:lang w:val="en-US"/>
              </w:rPr>
            </w:pPr>
            <w:r w:rsidRPr="6515EF5F">
              <w:rPr>
                <w:i/>
                <w:iCs/>
                <w:color w:val="444444"/>
                <w:lang w:val="en-US"/>
              </w:rPr>
              <w:t xml:space="preserve">Ensure both the raw, authenticated scan files and the human readable scan files are included for OS/infrastructure, containers, databases, and </w:t>
            </w:r>
            <w:r w:rsidR="00A4361D">
              <w:rPr>
                <w:i/>
                <w:iCs/>
                <w:color w:val="444444"/>
                <w:lang w:val="en-US"/>
              </w:rPr>
              <w:t>w</w:t>
            </w:r>
            <w:r w:rsidRPr="6515EF5F">
              <w:rPr>
                <w:i/>
                <w:iCs/>
                <w:color w:val="444444"/>
                <w:lang w:val="en-US"/>
              </w:rPr>
              <w:t xml:space="preserve">eb applications. Do not submit this SAR without all scan files and results accompanying this package. </w:t>
            </w:r>
            <w:r w:rsidR="00A71953" w:rsidRPr="6515EF5F">
              <w:rPr>
                <w:i/>
                <w:iCs/>
                <w:color w:val="444444"/>
                <w:lang w:val="en-US"/>
              </w:rPr>
              <w:t>The</w:t>
            </w:r>
            <w:r w:rsidR="00A4361D">
              <w:rPr>
                <w:i/>
                <w:iCs/>
                <w:color w:val="444444"/>
                <w:lang w:val="en-US"/>
              </w:rPr>
              <w:t xml:space="preserve"> IA</w:t>
            </w:r>
            <w:r w:rsidR="00A71953" w:rsidRPr="6515EF5F">
              <w:rPr>
                <w:i/>
                <w:iCs/>
                <w:color w:val="444444"/>
                <w:lang w:val="en-US"/>
              </w:rPr>
              <w:t xml:space="preserve"> is responsible for ensuring that the CSP is capturing all inventory items in the FedRAMP Integrated Inventory </w:t>
            </w:r>
            <w:r w:rsidR="00A71953" w:rsidRPr="6515EF5F">
              <w:rPr>
                <w:i/>
                <w:iCs/>
                <w:color w:val="444444"/>
                <w:lang w:val="en-US"/>
              </w:rPr>
              <w:lastRenderedPageBreak/>
              <w:t>Workboo</w:t>
            </w:r>
            <w:r w:rsidR="00095CBE">
              <w:rPr>
                <w:i/>
                <w:iCs/>
                <w:color w:val="444444"/>
                <w:lang w:val="en-US"/>
              </w:rPr>
              <w:t>k; t</w:t>
            </w:r>
            <w:r w:rsidR="00A71953" w:rsidRPr="6515EF5F">
              <w:rPr>
                <w:i/>
                <w:iCs/>
                <w:color w:val="444444"/>
                <w:lang w:val="en-US"/>
              </w:rPr>
              <w:t>he scanning exercise must validate the inventory at this specific point in time.</w:t>
            </w:r>
            <w:r w:rsidR="00095CBE">
              <w:rPr>
                <w:i/>
                <w:iCs/>
                <w:color w:val="444444"/>
                <w:lang w:val="en-US"/>
              </w:rPr>
              <w:t xml:space="preserve"> T</w:t>
            </w:r>
            <w:r w:rsidR="00A71953" w:rsidRPr="6515EF5F">
              <w:rPr>
                <w:i/>
                <w:iCs/>
                <w:color w:val="444444"/>
                <w:lang w:val="en-US"/>
              </w:rPr>
              <w:t xml:space="preserve">he inventory </w:t>
            </w:r>
            <w:r w:rsidR="00095CBE">
              <w:rPr>
                <w:i/>
                <w:iCs/>
                <w:color w:val="444444"/>
                <w:lang w:val="en-US"/>
              </w:rPr>
              <w:t xml:space="preserve">should be </w:t>
            </w:r>
            <w:r w:rsidR="00A71953" w:rsidRPr="6515EF5F">
              <w:rPr>
                <w:i/>
                <w:iCs/>
                <w:color w:val="444444"/>
                <w:lang w:val="en-US"/>
              </w:rPr>
              <w:t>captured as follows:</w:t>
            </w:r>
          </w:p>
          <w:p w14:paraId="25818C34" w14:textId="58322C07" w:rsidR="00A71953" w:rsidRPr="00095CBE" w:rsidRDefault="00A71953" w:rsidP="00A71953">
            <w:pPr>
              <w:numPr>
                <w:ilvl w:val="0"/>
                <w:numId w:val="10"/>
              </w:numPr>
              <w:pBdr>
                <w:top w:val="nil"/>
                <w:left w:val="nil"/>
                <w:bottom w:val="nil"/>
                <w:right w:val="nil"/>
                <w:between w:val="nil"/>
              </w:pBdr>
              <w:rPr>
                <w:i/>
                <w:color w:val="444444"/>
                <w:lang w:val="en-US"/>
              </w:rPr>
            </w:pPr>
            <w:r w:rsidRPr="00095CBE">
              <w:rPr>
                <w:i/>
                <w:color w:val="444444"/>
                <w:lang w:val="en-US"/>
              </w:rPr>
              <w:t>Containers: There needs to be an identifiable string in the scans that map</w:t>
            </w:r>
            <w:r w:rsidR="00095CBE">
              <w:rPr>
                <w:i/>
                <w:color w:val="444444"/>
                <w:lang w:val="en-US"/>
              </w:rPr>
              <w:t>s</w:t>
            </w:r>
            <w:r w:rsidRPr="00095CBE">
              <w:rPr>
                <w:i/>
                <w:color w:val="444444"/>
                <w:lang w:val="en-US"/>
              </w:rPr>
              <w:t xml:space="preserve"> back to that image name/version in use</w:t>
            </w:r>
            <w:r w:rsidR="00095CBE">
              <w:rPr>
                <w:i/>
                <w:color w:val="444444"/>
                <w:lang w:val="en-US"/>
              </w:rPr>
              <w:t>; this is typically</w:t>
            </w:r>
            <w:r w:rsidRPr="00095CBE">
              <w:rPr>
                <w:i/>
                <w:color w:val="444444"/>
                <w:lang w:val="en-US"/>
              </w:rPr>
              <w:t xml:space="preserve"> the repository/image/version# or can be represented as a hash. </w:t>
            </w:r>
          </w:p>
          <w:p w14:paraId="75EC6275" w14:textId="4CF60DF4" w:rsidR="00A71953" w:rsidRPr="00095CBE" w:rsidRDefault="00A71953" w:rsidP="00A71953">
            <w:pPr>
              <w:numPr>
                <w:ilvl w:val="1"/>
                <w:numId w:val="10"/>
              </w:numPr>
              <w:pBdr>
                <w:top w:val="nil"/>
                <w:left w:val="nil"/>
                <w:bottom w:val="nil"/>
                <w:right w:val="nil"/>
                <w:between w:val="nil"/>
              </w:pBdr>
              <w:rPr>
                <w:i/>
                <w:color w:val="444444"/>
                <w:lang w:val="en-US"/>
              </w:rPr>
            </w:pPr>
            <w:r w:rsidRPr="00095CBE">
              <w:rPr>
                <w:i/>
                <w:color w:val="444444"/>
                <w:lang w:val="en-US"/>
              </w:rPr>
              <w:t>For the inventory:</w:t>
            </w:r>
          </w:p>
          <w:p w14:paraId="088A0BDB" w14:textId="36D0D0CD" w:rsidR="00A71953" w:rsidRPr="00095CBE" w:rsidRDefault="00A71953" w:rsidP="00A71953">
            <w:pPr>
              <w:numPr>
                <w:ilvl w:val="2"/>
                <w:numId w:val="10"/>
              </w:numPr>
              <w:pBdr>
                <w:top w:val="nil"/>
                <w:left w:val="nil"/>
                <w:bottom w:val="nil"/>
                <w:right w:val="nil"/>
                <w:between w:val="nil"/>
              </w:pBdr>
              <w:rPr>
                <w:i/>
                <w:color w:val="444444"/>
                <w:lang w:val="en-US"/>
              </w:rPr>
            </w:pPr>
            <w:r w:rsidRPr="00095CBE">
              <w:rPr>
                <w:i/>
                <w:color w:val="444444"/>
                <w:lang w:val="en-US"/>
              </w:rPr>
              <w:t> Column</w:t>
            </w:r>
            <w:r w:rsidR="00095CBE">
              <w:rPr>
                <w:i/>
                <w:color w:val="444444"/>
                <w:lang w:val="en-US"/>
              </w:rPr>
              <w:t xml:space="preserve"> A should contain t</w:t>
            </w:r>
            <w:r w:rsidRPr="00095CBE">
              <w:rPr>
                <w:i/>
                <w:color w:val="444444"/>
                <w:lang w:val="en-US"/>
              </w:rPr>
              <w:t>he Repository/Image Name/Version# (CSP Defined). </w:t>
            </w:r>
          </w:p>
          <w:p w14:paraId="32F59305" w14:textId="2C265CA5" w:rsidR="00A71953" w:rsidRPr="00095CBE" w:rsidRDefault="00A71953" w:rsidP="00A71953">
            <w:pPr>
              <w:numPr>
                <w:ilvl w:val="2"/>
                <w:numId w:val="10"/>
              </w:numPr>
              <w:pBdr>
                <w:top w:val="nil"/>
                <w:left w:val="nil"/>
                <w:bottom w:val="nil"/>
                <w:right w:val="nil"/>
                <w:between w:val="nil"/>
              </w:pBdr>
              <w:rPr>
                <w:i/>
                <w:color w:val="444444"/>
                <w:lang w:val="en-US"/>
              </w:rPr>
            </w:pPr>
            <w:r w:rsidRPr="00095CBE">
              <w:rPr>
                <w:i/>
                <w:color w:val="444444"/>
                <w:lang w:val="en-US"/>
              </w:rPr>
              <w:t xml:space="preserve">Column B should contain the individual hash of the container in the registry for each of the containers in production that align to </w:t>
            </w:r>
            <w:r w:rsidR="00095CBE">
              <w:rPr>
                <w:i/>
                <w:color w:val="444444"/>
                <w:lang w:val="en-US"/>
              </w:rPr>
              <w:t>the</w:t>
            </w:r>
            <w:r w:rsidRPr="00095CBE">
              <w:rPr>
                <w:i/>
                <w:color w:val="444444"/>
                <w:lang w:val="en-US"/>
              </w:rPr>
              <w:t xml:space="preserve"> </w:t>
            </w:r>
            <w:r w:rsidR="00095CBE">
              <w:rPr>
                <w:i/>
                <w:color w:val="444444"/>
                <w:lang w:val="en-US"/>
              </w:rPr>
              <w:t>Repository/I</w:t>
            </w:r>
            <w:r w:rsidRPr="00095CBE">
              <w:rPr>
                <w:i/>
                <w:color w:val="444444"/>
                <w:lang w:val="en-US"/>
              </w:rPr>
              <w:t xml:space="preserve">mage </w:t>
            </w:r>
            <w:r w:rsidR="00095CBE">
              <w:rPr>
                <w:i/>
                <w:color w:val="444444"/>
                <w:lang w:val="en-US"/>
              </w:rPr>
              <w:t>N</w:t>
            </w:r>
            <w:r w:rsidRPr="00095CBE">
              <w:rPr>
                <w:i/>
                <w:color w:val="444444"/>
                <w:lang w:val="en-US"/>
              </w:rPr>
              <w:t>ame/</w:t>
            </w:r>
            <w:r w:rsidR="00095CBE">
              <w:rPr>
                <w:i/>
                <w:color w:val="444444"/>
                <w:lang w:val="en-US"/>
              </w:rPr>
              <w:t>V</w:t>
            </w:r>
            <w:r w:rsidRPr="00095CBE">
              <w:rPr>
                <w:i/>
                <w:color w:val="444444"/>
                <w:lang w:val="en-US"/>
              </w:rPr>
              <w:t>ersion</w:t>
            </w:r>
            <w:r w:rsidR="00095CBE">
              <w:rPr>
                <w:i/>
                <w:color w:val="444444"/>
                <w:lang w:val="en-US"/>
              </w:rPr>
              <w:t>#</w:t>
            </w:r>
            <w:r w:rsidRPr="00095CBE">
              <w:rPr>
                <w:i/>
                <w:color w:val="444444"/>
                <w:lang w:val="en-US"/>
              </w:rPr>
              <w:t>.</w:t>
            </w:r>
          </w:p>
          <w:p w14:paraId="12160514" w14:textId="7C90D4B4" w:rsidR="00A71953" w:rsidRPr="00095CBE" w:rsidRDefault="00A71953" w:rsidP="00A71953">
            <w:pPr>
              <w:numPr>
                <w:ilvl w:val="0"/>
                <w:numId w:val="10"/>
              </w:numPr>
              <w:pBdr>
                <w:top w:val="nil"/>
                <w:left w:val="nil"/>
                <w:bottom w:val="nil"/>
                <w:right w:val="nil"/>
                <w:between w:val="nil"/>
              </w:pBdr>
              <w:rPr>
                <w:i/>
                <w:color w:val="444444"/>
                <w:lang w:val="en-US"/>
              </w:rPr>
            </w:pPr>
            <w:r w:rsidRPr="00095CBE">
              <w:rPr>
                <w:i/>
                <w:color w:val="444444"/>
                <w:lang w:val="en-US"/>
              </w:rPr>
              <w:t>For any scanned inventory item that is not a container</w:t>
            </w:r>
            <w:r w:rsidR="00095CBE">
              <w:rPr>
                <w:i/>
                <w:color w:val="444444"/>
                <w:lang w:val="en-US"/>
              </w:rPr>
              <w:t>,</w:t>
            </w:r>
            <w:r w:rsidRPr="00095CBE">
              <w:rPr>
                <w:i/>
                <w:color w:val="444444"/>
                <w:lang w:val="en-US"/>
              </w:rPr>
              <w:t xml:space="preserve"> the identifier (</w:t>
            </w:r>
            <w:r w:rsidR="00095CBE">
              <w:rPr>
                <w:i/>
                <w:color w:val="444444"/>
                <w:lang w:val="en-US"/>
              </w:rPr>
              <w:t xml:space="preserve">e.g., the </w:t>
            </w:r>
            <w:r w:rsidRPr="00095CBE">
              <w:rPr>
                <w:i/>
                <w:color w:val="444444"/>
                <w:lang w:val="en-US"/>
              </w:rPr>
              <w:t xml:space="preserve">hostname, IP, or URL for web) </w:t>
            </w:r>
            <w:r w:rsidR="00095CBE">
              <w:rPr>
                <w:i/>
                <w:color w:val="444444"/>
                <w:lang w:val="en-US"/>
              </w:rPr>
              <w:t>should</w:t>
            </w:r>
            <w:r w:rsidRPr="00095CBE">
              <w:rPr>
                <w:i/>
                <w:color w:val="444444"/>
                <w:lang w:val="en-US"/>
              </w:rPr>
              <w:t xml:space="preserve"> align to th</w:t>
            </w:r>
            <w:r w:rsidR="00095CBE">
              <w:rPr>
                <w:i/>
                <w:color w:val="444444"/>
                <w:lang w:val="en-US"/>
              </w:rPr>
              <w:t>e</w:t>
            </w:r>
            <w:r w:rsidRPr="00095CBE">
              <w:rPr>
                <w:i/>
                <w:color w:val="444444"/>
                <w:lang w:val="en-US"/>
              </w:rPr>
              <w:t xml:space="preserve"> asset and </w:t>
            </w:r>
            <w:r w:rsidR="00095CBE">
              <w:rPr>
                <w:i/>
                <w:color w:val="444444"/>
                <w:lang w:val="en-US"/>
              </w:rPr>
              <w:t xml:space="preserve">should </w:t>
            </w:r>
            <w:r w:rsidRPr="00095CBE">
              <w:rPr>
                <w:i/>
                <w:color w:val="444444"/>
                <w:lang w:val="en-US"/>
              </w:rPr>
              <w:t>be verified</w:t>
            </w:r>
            <w:r w:rsidR="00095CBE">
              <w:rPr>
                <w:i/>
                <w:color w:val="444444"/>
                <w:lang w:val="en-US"/>
              </w:rPr>
              <w:t>/</w:t>
            </w:r>
            <w:r w:rsidRPr="00095CBE">
              <w:rPr>
                <w:i/>
                <w:color w:val="444444"/>
                <w:lang w:val="en-US"/>
              </w:rPr>
              <w:t>found within the scans provided by the CSP/</w:t>
            </w:r>
            <w:r w:rsidR="00095CBE">
              <w:rPr>
                <w:i/>
                <w:color w:val="444444"/>
                <w:lang w:val="en-US"/>
              </w:rPr>
              <w:t>IA</w:t>
            </w:r>
            <w:r w:rsidRPr="00095CBE">
              <w:rPr>
                <w:i/>
                <w:color w:val="444444"/>
                <w:lang w:val="en-US"/>
              </w:rPr>
              <w:t>. </w:t>
            </w:r>
          </w:p>
          <w:p w14:paraId="452F5BA3" w14:textId="06B1F92F" w:rsidR="00A71953" w:rsidRPr="009165C1" w:rsidRDefault="00A71953" w:rsidP="00703332">
            <w:pPr>
              <w:numPr>
                <w:ilvl w:val="0"/>
                <w:numId w:val="10"/>
              </w:numPr>
              <w:pBdr>
                <w:top w:val="nil"/>
                <w:left w:val="nil"/>
                <w:bottom w:val="nil"/>
                <w:right w:val="nil"/>
                <w:between w:val="nil"/>
              </w:pBdr>
              <w:rPr>
                <w:i/>
                <w:color w:val="444444"/>
                <w:lang w:val="en-US"/>
              </w:rPr>
            </w:pPr>
            <w:r w:rsidRPr="00095CBE">
              <w:rPr>
                <w:i/>
                <w:color w:val="444444"/>
                <w:lang w:val="en-US"/>
              </w:rPr>
              <w:t>A hash used as a unique identifier (</w:t>
            </w:r>
            <w:r w:rsidR="009165C1">
              <w:rPr>
                <w:i/>
                <w:color w:val="444444"/>
                <w:lang w:val="en-US"/>
              </w:rPr>
              <w:t>c</w:t>
            </w:r>
            <w:r w:rsidRPr="00095CBE">
              <w:rPr>
                <w:i/>
                <w:color w:val="444444"/>
                <w:lang w:val="en-US"/>
              </w:rPr>
              <w:t>olumn A) for any asset that is internal only to the CSP and not found on the scans is not useful as it cannot be verified outside of the CSP through the delivered monthly/yearly scans.</w:t>
            </w:r>
          </w:p>
          <w:p w14:paraId="4342350E" w14:textId="77777777" w:rsidR="00450601" w:rsidRPr="00466A33" w:rsidRDefault="00450601" w:rsidP="00D80036">
            <w:pPr>
              <w:pStyle w:val="deletioninstruction"/>
            </w:pPr>
            <w:r w:rsidRPr="00466A33">
              <w:t>Delete this and all other instructional text from your final version of this document.</w:t>
            </w:r>
          </w:p>
        </w:tc>
      </w:tr>
    </w:tbl>
    <w:p w14:paraId="18E66988" w14:textId="16609E6B" w:rsidR="00EB2D65" w:rsidRPr="00466A33" w:rsidRDefault="00EB2D65" w:rsidP="00466A33">
      <w:pPr>
        <w:pStyle w:val="Appendix2"/>
      </w:pPr>
      <w:r w:rsidRPr="00466A33">
        <w:lastRenderedPageBreak/>
        <w:t>Infrastructure Scan Results</w:t>
      </w:r>
    </w:p>
    <w:p w14:paraId="41997FDC" w14:textId="0F5003FA" w:rsidR="00450601" w:rsidRPr="00466A33" w:rsidRDefault="00450601" w:rsidP="00450601">
      <w:r w:rsidRPr="00466A33">
        <w:t>Infrastructure scanning includes servers, storage, networking, virtualization software, services and management tools that support the computing requirements of a cloud computing model. Cloud infrastructure also includes a layer of programming (hardware abstraction layer or HAL) that allows a computer operating system to interact with a hardware device at a general or abstract level rather than at a detailed hardware level. HAL virtualizes and logically presents resources and services to users through application programming interfaces (APIs) and API-enabled command-line or graphical interfaces. An API is code that allows two software</w:t>
      </w:r>
      <w:r w:rsidR="00E73F9B">
        <w:t xml:space="preserve"> </w:t>
      </w:r>
      <w:r w:rsidRPr="00466A33">
        <w:t>programs to communicate with each other.</w:t>
      </w:r>
    </w:p>
    <w:p w14:paraId="6297B6BB" w14:textId="38CAE5A0" w:rsidR="00EB2D65" w:rsidRPr="00466A33" w:rsidRDefault="00450601" w:rsidP="00450601">
      <w:r w:rsidRPr="00466A33">
        <w:t xml:space="preserve">&lt;Insert Scanner Name, Vendor, and </w:t>
      </w:r>
      <w:sdt>
        <w:sdtPr>
          <w:tag w:val="goog_rdk_8"/>
          <w:id w:val="-1908981618"/>
        </w:sdtPr>
        <w:sdtContent/>
      </w:sdt>
      <w:r w:rsidRPr="00466A33">
        <w:t xml:space="preserve">Version X.X&gt; was used to scan the &lt;Insert CSO Name&gt; infrastructure. &lt;Insert Percentage&gt;% of the inventory was scanned. &lt;Include the following if true&gt; For the remaining inventory, the &lt;Insert IA Name&gt; performed a manual review of configuration files to analyze for existing vulnerabilities. Both the authenticated raw scan results </w:t>
      </w:r>
      <w:r w:rsidRPr="00466A33">
        <w:lastRenderedPageBreak/>
        <w:t>and the human-readable version(s) are provided as a Zip file with this SAR. Infrastructure scan vulnerabilities are documented in the RET</w:t>
      </w:r>
      <w:r w:rsidR="00EB2D65" w:rsidRPr="00466A33">
        <w:t>.  </w:t>
      </w:r>
    </w:p>
    <w:p w14:paraId="0EB8648E" w14:textId="77777777" w:rsidR="00450601" w:rsidRPr="00466A33" w:rsidRDefault="00450601" w:rsidP="00450601">
      <w:pPr>
        <w:pStyle w:val="Appendix3"/>
      </w:pPr>
      <w:r w:rsidRPr="00466A33">
        <w:t>Infrastructure Scans: Inventory of Items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7661BF9" w14:textId="77777777" w:rsidTr="6515EF5F">
        <w:trPr>
          <w:trHeight w:val="57"/>
        </w:trPr>
        <w:tc>
          <w:tcPr>
            <w:tcW w:w="9350" w:type="dxa"/>
            <w:shd w:val="clear" w:color="auto" w:fill="19447F" w:themeFill="accent2"/>
          </w:tcPr>
          <w:p w14:paraId="2DFA539B"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35B77EBC" w14:textId="77777777" w:rsidTr="6515EF5F">
        <w:trPr>
          <w:trHeight w:val="57"/>
        </w:trPr>
        <w:tc>
          <w:tcPr>
            <w:tcW w:w="9350" w:type="dxa"/>
            <w:shd w:val="clear" w:color="auto" w:fill="F2F2F2" w:themeFill="background1" w:themeFillShade="F2"/>
          </w:tcPr>
          <w:p w14:paraId="234C2847" w14:textId="69874F5D"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The infrastructure scans must match the SSP Integrated Inventory Workbook exactly. If the scanning reveals system components that are not recorded in the Integrated Inventory Workbook, note this as a finding or deviation, or perhaps several findings/deviations if the discrepancy is based on several components. If a discrepancy exists provide the reasons why in this section.</w:t>
            </w:r>
          </w:p>
          <w:p w14:paraId="3BB1F958" w14:textId="77777777" w:rsidR="00450601" w:rsidRPr="00466A33" w:rsidRDefault="00450601" w:rsidP="00D80036">
            <w:pPr>
              <w:pStyle w:val="deletioninstruction"/>
            </w:pPr>
            <w:r w:rsidRPr="00466A33">
              <w:t>Delete this and all other instructional text from your final version of this document.</w:t>
            </w:r>
          </w:p>
        </w:tc>
      </w:tr>
    </w:tbl>
    <w:p w14:paraId="7E9EC23A" w14:textId="77777777" w:rsidR="00450601" w:rsidRPr="00466A33" w:rsidRDefault="00450601" w:rsidP="00450601"/>
    <w:p w14:paraId="2D377915" w14:textId="0BB55980" w:rsidR="00EB2D65" w:rsidRPr="00466A33" w:rsidRDefault="00450601" w:rsidP="00EB2D65">
      <w:r w:rsidRPr="00466A33">
        <w:t>&lt;Choose One: There were no discrepancies found between the scanned and documented inventory/discrepancies with the scanned inventory and the documented inventory have been recorded in the RET. The discrepancies were due to &lt;Describe Reasons Here&gt;&gt;.</w:t>
      </w:r>
    </w:p>
    <w:p w14:paraId="442CD4D9" w14:textId="08F247A8" w:rsidR="00EB2D65" w:rsidRPr="00466A33" w:rsidRDefault="00EB2D65" w:rsidP="00450601">
      <w:pPr>
        <w:pStyle w:val="Appendix3"/>
      </w:pPr>
      <w:r w:rsidRPr="00466A33">
        <w:t>Infrastructure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4A5193C" w14:textId="77777777" w:rsidTr="6515EF5F">
        <w:trPr>
          <w:trHeight w:val="57"/>
        </w:trPr>
        <w:tc>
          <w:tcPr>
            <w:tcW w:w="9350" w:type="dxa"/>
            <w:shd w:val="clear" w:color="auto" w:fill="19447F" w:themeFill="accent2"/>
          </w:tcPr>
          <w:p w14:paraId="321EDA2F"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08693476" w14:textId="77777777" w:rsidTr="6515EF5F">
        <w:trPr>
          <w:trHeight w:val="57"/>
        </w:trPr>
        <w:tc>
          <w:tcPr>
            <w:tcW w:w="9350" w:type="dxa"/>
            <w:shd w:val="clear" w:color="auto" w:fill="F2F2F2" w:themeFill="background1" w:themeFillShade="F2"/>
          </w:tcPr>
          <w:p w14:paraId="2CC5FCAC" w14:textId="13616055"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The filenames of the raw scan results must be provided below and must accompany this SAR. If the raw results files are too large</w:t>
            </w:r>
            <w:r w:rsidR="00847F11" w:rsidRPr="6515EF5F">
              <w:rPr>
                <w:i/>
                <w:iCs/>
                <w:color w:val="444444"/>
                <w:lang w:val="en-US"/>
              </w:rPr>
              <w:t xml:space="preserve"> to embed in this document</w:t>
            </w:r>
            <w:r w:rsidRPr="6515EF5F">
              <w:rPr>
                <w:i/>
                <w:iCs/>
                <w:color w:val="444444"/>
                <w:lang w:val="en-US"/>
              </w:rPr>
              <w:t xml:space="preserve">, </w:t>
            </w:r>
            <w:r w:rsidR="00847F11" w:rsidRPr="6515EF5F">
              <w:rPr>
                <w:i/>
                <w:iCs/>
                <w:color w:val="444444"/>
                <w:lang w:val="en-US"/>
              </w:rPr>
              <w:t>provide the scans as an attachment to the</w:t>
            </w:r>
            <w:r w:rsidRPr="6515EF5F">
              <w:rPr>
                <w:i/>
                <w:iCs/>
                <w:color w:val="444444"/>
                <w:lang w:val="en-US"/>
              </w:rPr>
              <w:t xml:space="preserve"> SAR. </w:t>
            </w:r>
            <w:r w:rsidR="00847F11" w:rsidRPr="6515EF5F">
              <w:rPr>
                <w:i/>
                <w:iCs/>
                <w:color w:val="444444"/>
                <w:lang w:val="en-US"/>
              </w:rPr>
              <w:t>Whether embedded or provided as a separate attachment, zip</w:t>
            </w:r>
            <w:r w:rsidRPr="6515EF5F">
              <w:rPr>
                <w:i/>
                <w:iCs/>
                <w:color w:val="444444"/>
                <w:lang w:val="en-US"/>
              </w:rPr>
              <w:t xml:space="preserve"> the raw scan files into one Zip file. In this section, provide the name of the Zip file along with the names of the raw scan files that the Zip file contains.</w:t>
            </w:r>
          </w:p>
          <w:p w14:paraId="427B1F36" w14:textId="77777777" w:rsidR="00450601" w:rsidRPr="00466A33" w:rsidRDefault="00450601" w:rsidP="00D80036">
            <w:pPr>
              <w:pStyle w:val="deletioninstruction"/>
            </w:pPr>
            <w:r w:rsidRPr="00466A33">
              <w:t>Delete this and all other instructional text from your final version of this document.</w:t>
            </w:r>
          </w:p>
        </w:tc>
      </w:tr>
    </w:tbl>
    <w:p w14:paraId="100DA589" w14:textId="77777777" w:rsidR="00450601" w:rsidRPr="00466A33" w:rsidRDefault="00450601" w:rsidP="00450601"/>
    <w:p w14:paraId="6F991BA3" w14:textId="18E6D8A2" w:rsidR="00450601" w:rsidRPr="00466A33" w:rsidRDefault="00450601" w:rsidP="00450601">
      <w:r w:rsidRPr="6515EF5F">
        <w:rPr>
          <w:lang w:val="en-US"/>
        </w:rPr>
        <w:t>The table below includes raw infrastructure scan files from this assessment. Any new vulnerabilities introduced in remediation scan files, included in the table below and detected as of &lt;Insert MM/DD/YYYY&gt;</w:t>
      </w:r>
      <w:r w:rsidR="00E73F9B">
        <w:rPr>
          <w:lang w:val="en-US"/>
        </w:rPr>
        <w:t>,</w:t>
      </w:r>
      <w:r w:rsidRPr="6515EF5F">
        <w:rPr>
          <w:lang w:val="en-US"/>
        </w:rPr>
        <w:t xml:space="preserve"> are outside the scope of this assessment. These new findings must be captured in a CSP's POA&amp;M, for monthly continuous monitoring, in accordance with FedRAMP’s POA&amp;M guidance.</w:t>
      </w:r>
    </w:p>
    <w:p w14:paraId="15B22DF0" w14:textId="77777777" w:rsidR="00450601" w:rsidRPr="00466A33" w:rsidRDefault="00450601" w:rsidP="00827619">
      <w:pPr>
        <w:pStyle w:val="Caption"/>
      </w:pPr>
    </w:p>
    <w:p w14:paraId="406279E5" w14:textId="77777777" w:rsidR="00450601" w:rsidRPr="00466A33" w:rsidRDefault="00450601" w:rsidP="00450601">
      <w:pPr>
        <w:pStyle w:val="Caption"/>
      </w:pPr>
      <w:r w:rsidRPr="00466A33">
        <w:lastRenderedPageBreak/>
        <w:t>Table C-1 Infrastructure Scans: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1508A" w:rsidRPr="00466A33" w14:paraId="5F9A2D6E"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04B234BF" w14:textId="2D930CED"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439E41CD" w14:textId="749C2C78"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1508A" w:rsidRPr="00466A33" w14:paraId="21808A61" w14:textId="77777777" w:rsidTr="0081508A">
        <w:trPr>
          <w:cnfStyle w:val="000000100000" w:firstRow="0" w:lastRow="0" w:firstColumn="0" w:lastColumn="0" w:oddVBand="0" w:evenVBand="0" w:oddHBand="1" w:evenHBand="0" w:firstRowFirstColumn="0" w:firstRowLastColumn="0" w:lastRowFirstColumn="0" w:lastRowLastColumn="0"/>
        </w:trPr>
        <w:tc>
          <w:tcPr>
            <w:tcW w:w="4675" w:type="dxa"/>
          </w:tcPr>
          <w:p w14:paraId="38CDB385"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466CD7FF"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301C5561" w14:textId="77777777" w:rsidTr="0081508A">
        <w:trPr>
          <w:cnfStyle w:val="000000010000" w:firstRow="0" w:lastRow="0" w:firstColumn="0" w:lastColumn="0" w:oddVBand="0" w:evenVBand="0" w:oddHBand="0" w:evenHBand="1" w:firstRowFirstColumn="0" w:firstRowLastColumn="0" w:lastRowFirstColumn="0" w:lastRowLastColumn="0"/>
        </w:trPr>
        <w:tc>
          <w:tcPr>
            <w:tcW w:w="4675" w:type="dxa"/>
          </w:tcPr>
          <w:p w14:paraId="5B497F4E"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2DA5CBE6"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315240F8" w14:textId="77777777" w:rsidTr="0081508A">
        <w:trPr>
          <w:cnfStyle w:val="000000100000" w:firstRow="0" w:lastRow="0" w:firstColumn="0" w:lastColumn="0" w:oddVBand="0" w:evenVBand="0" w:oddHBand="1" w:evenHBand="0" w:firstRowFirstColumn="0" w:firstRowLastColumn="0" w:lastRowFirstColumn="0" w:lastRowLastColumn="0"/>
        </w:trPr>
        <w:tc>
          <w:tcPr>
            <w:tcW w:w="4675" w:type="dxa"/>
          </w:tcPr>
          <w:p w14:paraId="4A04389D"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1EFCB8BA" w14:textId="77777777" w:rsidR="0081508A" w:rsidRPr="00466A33" w:rsidRDefault="0081508A" w:rsidP="00450601">
            <w:pPr>
              <w:pStyle w:val="Tabletextlight"/>
              <w:spacing w:before="80" w:after="80" w:line="288" w:lineRule="auto"/>
              <w:rPr>
                <w:rFonts w:ascii="Arial" w:hAnsi="Arial" w:cs="Arial"/>
              </w:rPr>
            </w:pPr>
          </w:p>
        </w:tc>
      </w:tr>
    </w:tbl>
    <w:p w14:paraId="2FC3F625" w14:textId="51B3B4DF" w:rsidR="00EB2D65" w:rsidRPr="00466A33" w:rsidRDefault="0081508A" w:rsidP="00450601">
      <w:pPr>
        <w:pStyle w:val="Appendix3"/>
      </w:pPr>
      <w:r w:rsidRPr="00466A33">
        <w:t>Infrastructure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4AEAF0B" w14:textId="77777777" w:rsidTr="6515EF5F">
        <w:trPr>
          <w:trHeight w:val="57"/>
        </w:trPr>
        <w:tc>
          <w:tcPr>
            <w:tcW w:w="9350" w:type="dxa"/>
            <w:shd w:val="clear" w:color="auto" w:fill="19447F" w:themeFill="accent2"/>
          </w:tcPr>
          <w:p w14:paraId="7DB7F13D"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D90A421" w14:textId="77777777" w:rsidTr="6515EF5F">
        <w:trPr>
          <w:trHeight w:val="57"/>
        </w:trPr>
        <w:tc>
          <w:tcPr>
            <w:tcW w:w="9350" w:type="dxa"/>
            <w:shd w:val="clear" w:color="auto" w:fill="F2F2F2" w:themeFill="background1" w:themeFillShade="F2"/>
          </w:tcPr>
          <w:p w14:paraId="0C7DF278" w14:textId="38518614" w:rsidR="00450601" w:rsidRPr="00466A33" w:rsidRDefault="0022001B" w:rsidP="6515EF5F">
            <w:pPr>
              <w:pBdr>
                <w:top w:val="nil"/>
                <w:left w:val="nil"/>
                <w:bottom w:val="nil"/>
                <w:right w:val="nil"/>
                <w:between w:val="nil"/>
              </w:pBdr>
              <w:rPr>
                <w:i/>
                <w:iCs/>
                <w:color w:val="444444"/>
                <w:lang w:val="en-US"/>
              </w:rPr>
            </w:pPr>
            <w:r w:rsidRPr="6515EF5F">
              <w:rPr>
                <w:i/>
                <w:iCs/>
                <w:color w:val="444444"/>
                <w:lang w:val="en-US"/>
              </w:rPr>
              <w:t>V</w:t>
            </w:r>
            <w:r w:rsidR="00450601" w:rsidRPr="6515EF5F">
              <w:rPr>
                <w:i/>
                <w:iCs/>
                <w:color w:val="444444"/>
                <w:lang w:val="en-US"/>
              </w:rPr>
              <w:t xml:space="preserve">alidate all false positives (FPs) identified. Once </w:t>
            </w:r>
            <w:r w:rsidRPr="6515EF5F">
              <w:rPr>
                <w:i/>
                <w:iCs/>
                <w:color w:val="444444"/>
                <w:lang w:val="en-US"/>
              </w:rPr>
              <w:t>validated</w:t>
            </w:r>
            <w:r w:rsidR="00450601" w:rsidRPr="6515EF5F">
              <w:rPr>
                <w:i/>
                <w:iCs/>
                <w:color w:val="444444"/>
                <w:lang w:val="en-US"/>
              </w:rPr>
              <w:t xml:space="preserve">, </w:t>
            </w:r>
            <w:r w:rsidRPr="6515EF5F">
              <w:rPr>
                <w:i/>
                <w:iCs/>
                <w:color w:val="444444"/>
                <w:lang w:val="en-US"/>
              </w:rPr>
              <w:t xml:space="preserve">the FPs </w:t>
            </w:r>
            <w:r w:rsidR="00450601" w:rsidRPr="6515EF5F">
              <w:rPr>
                <w:i/>
                <w:iCs/>
                <w:color w:val="444444"/>
                <w:lang w:val="en-US"/>
              </w:rPr>
              <w:t>are then considered closed and are recorded appropriately in the “Risks Corrected During Testing” tab of the RET.</w:t>
            </w:r>
          </w:p>
          <w:p w14:paraId="56CBA548" w14:textId="77777777" w:rsidR="00450601" w:rsidRPr="00466A33" w:rsidRDefault="00450601" w:rsidP="00D80036">
            <w:pPr>
              <w:pStyle w:val="deletioninstruction"/>
            </w:pPr>
            <w:r w:rsidRPr="00466A33">
              <w:t>Delete this and all other instructional text from your final version of this document.</w:t>
            </w:r>
          </w:p>
        </w:tc>
      </w:tr>
    </w:tbl>
    <w:p w14:paraId="0E6FA1B7" w14:textId="77777777" w:rsidR="00450601" w:rsidRPr="00466A33" w:rsidRDefault="00450601" w:rsidP="00450601"/>
    <w:p w14:paraId="47750507" w14:textId="6059C826" w:rsidR="0081508A" w:rsidRPr="00466A33" w:rsidRDefault="00450601" w:rsidP="0081508A">
      <w:r w:rsidRPr="6515EF5F">
        <w:rPr>
          <w:lang w:val="en-US"/>
        </w:rPr>
        <w:t>&lt;Insert IA Name&gt; has validated all false positives (FPs) identified. While a validated FP confirms that there was no weakness present to correct, validated FPs are documented in the “Risks Corrected During Testing” tab of the RET as a convenient way to track FPs.</w:t>
      </w:r>
    </w:p>
    <w:p w14:paraId="02B1190F" w14:textId="2C3E63A1" w:rsidR="00450601" w:rsidRPr="00466A33" w:rsidRDefault="0081508A" w:rsidP="00450601">
      <w:pPr>
        <w:pStyle w:val="Appendix2"/>
      </w:pPr>
      <w:r w:rsidRPr="00466A33">
        <w:t>Database Scan Results</w:t>
      </w:r>
    </w:p>
    <w:p w14:paraId="065C26D1" w14:textId="1C9CB379" w:rsidR="0081508A" w:rsidRPr="00466A33" w:rsidRDefault="00450601" w:rsidP="00450601">
      <w:r w:rsidRPr="00466A33">
        <w:t xml:space="preserve">&lt;Insert Scanner Name, Vendor, and </w:t>
      </w:r>
      <w:sdt>
        <w:sdtPr>
          <w:tag w:val="goog_rdk_9"/>
          <w:id w:val="1789007582"/>
        </w:sdtPr>
        <w:sdtContent/>
      </w:sdt>
      <w:r w:rsidRPr="00466A33">
        <w:t>Version X.X&gt; was used to scan the &lt;Insert CSO Name&gt; databases. &lt;Insert Percentage&gt;% of all databases were scanned. &lt;Include the Following if True&gt; For the remaining inventory, the &lt;Insert IA Name&gt; performed a manual review of configuration files to analyze for existing vulnerabilities. Both the authenticated raw scan results and the human-readable version(s) are provided as an attachment to this SAR. Database scan vulnerabilities are documented in the RET.</w:t>
      </w:r>
    </w:p>
    <w:p w14:paraId="08710E0D" w14:textId="5E1FF832" w:rsidR="00450601" w:rsidRPr="00466A33" w:rsidRDefault="00450601" w:rsidP="00450601">
      <w:pPr>
        <w:pStyle w:val="Appendix3"/>
      </w:pPr>
      <w:r w:rsidRPr="00466A33">
        <w:t>Database Scans: Inventory of Databases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4F2E3C3" w14:textId="77777777" w:rsidTr="6515EF5F">
        <w:trPr>
          <w:trHeight w:val="57"/>
        </w:trPr>
        <w:tc>
          <w:tcPr>
            <w:tcW w:w="9350" w:type="dxa"/>
            <w:shd w:val="clear" w:color="auto" w:fill="19447F" w:themeFill="accent2"/>
          </w:tcPr>
          <w:p w14:paraId="1F64B14F"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7737F948" w14:textId="77777777" w:rsidTr="6515EF5F">
        <w:trPr>
          <w:trHeight w:val="57"/>
        </w:trPr>
        <w:tc>
          <w:tcPr>
            <w:tcW w:w="9350" w:type="dxa"/>
            <w:shd w:val="clear" w:color="auto" w:fill="F2F2F2" w:themeFill="background1" w:themeFillShade="F2"/>
          </w:tcPr>
          <w:p w14:paraId="2518954B" w14:textId="23472C44"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The database scans must match the </w:t>
            </w:r>
            <w:hyperlink r:id="rId24">
              <w:r w:rsidRPr="6515EF5F">
                <w:rPr>
                  <w:rStyle w:val="Hyperlink"/>
                  <w:lang w:val="en-US"/>
                </w:rPr>
                <w:t>FedRAMP SSP Integrated Inventory Workbook</w:t>
              </w:r>
            </w:hyperlink>
            <w:r w:rsidRPr="6515EF5F">
              <w:rPr>
                <w:i/>
                <w:iCs/>
                <w:color w:val="444444"/>
                <w:lang w:val="en-US"/>
              </w:rPr>
              <w:t xml:space="preserve"> exactly. If the scanning reveals database components that are not recorded in the integrated inventory </w:t>
            </w:r>
            <w:r w:rsidRPr="6515EF5F">
              <w:rPr>
                <w:i/>
                <w:iCs/>
                <w:color w:val="444444"/>
                <w:lang w:val="en-US"/>
              </w:rPr>
              <w:lastRenderedPageBreak/>
              <w:t>workbook, note this as a finding or deviation or perhaps several findings/deviations if the discrepancy is based on several components. If a discrepancy exists</w:t>
            </w:r>
            <w:r w:rsidR="00E73F9B">
              <w:rPr>
                <w:i/>
                <w:iCs/>
                <w:color w:val="444444"/>
                <w:lang w:val="en-US"/>
              </w:rPr>
              <w:t>,</w:t>
            </w:r>
            <w:r w:rsidRPr="6515EF5F">
              <w:rPr>
                <w:i/>
                <w:iCs/>
                <w:color w:val="444444"/>
                <w:lang w:val="en-US"/>
              </w:rPr>
              <w:t xml:space="preserve"> provide the reasons why in this section.</w:t>
            </w:r>
          </w:p>
          <w:p w14:paraId="3B2435FD" w14:textId="77777777" w:rsidR="00450601" w:rsidRPr="00466A33" w:rsidRDefault="00450601" w:rsidP="00D80036">
            <w:pPr>
              <w:pStyle w:val="deletioninstruction"/>
            </w:pPr>
            <w:r w:rsidRPr="00466A33">
              <w:t>Delete this and all other instructional text from your final version of this document.</w:t>
            </w:r>
          </w:p>
        </w:tc>
      </w:tr>
    </w:tbl>
    <w:p w14:paraId="796C2137" w14:textId="77777777" w:rsidR="00450601" w:rsidRPr="00466A33" w:rsidRDefault="00450601" w:rsidP="0081508A"/>
    <w:p w14:paraId="174A5185" w14:textId="20F6DFEC" w:rsidR="0081508A" w:rsidRPr="00466A33" w:rsidRDefault="00450601" w:rsidP="0081508A">
      <w:r w:rsidRPr="00466A33">
        <w:t>&lt;Choose One: There were no discrepancies found between the scanned and documented inventory/discrepancies with the scanned inventory and the documented inventory have been recorded in the RET. The discrepancies were due to &lt;Describe Reasons Here&gt;&gt;.</w:t>
      </w:r>
    </w:p>
    <w:p w14:paraId="192628DF" w14:textId="5D164EA2" w:rsidR="0081508A" w:rsidRPr="00466A33" w:rsidRDefault="0081508A" w:rsidP="00450601">
      <w:pPr>
        <w:pStyle w:val="Appendix3"/>
      </w:pPr>
      <w:r w:rsidRPr="00466A33">
        <w:t>Database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2C46366D" w14:textId="77777777" w:rsidTr="6515EF5F">
        <w:trPr>
          <w:trHeight w:val="57"/>
        </w:trPr>
        <w:tc>
          <w:tcPr>
            <w:tcW w:w="9350" w:type="dxa"/>
            <w:shd w:val="clear" w:color="auto" w:fill="19447F" w:themeFill="accent2"/>
          </w:tcPr>
          <w:p w14:paraId="7E981AB9"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7A5FFE3C" w14:textId="77777777" w:rsidTr="6515EF5F">
        <w:trPr>
          <w:trHeight w:val="57"/>
        </w:trPr>
        <w:tc>
          <w:tcPr>
            <w:tcW w:w="9350" w:type="dxa"/>
            <w:shd w:val="clear" w:color="auto" w:fill="F2F2F2" w:themeFill="background1" w:themeFillShade="F2"/>
          </w:tcPr>
          <w:p w14:paraId="1CA2B9F5" w14:textId="28DC89A8"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The filenames of the raw scan results must be provided below and must accompany this SAR. </w:t>
            </w:r>
            <w:r w:rsidR="00847F11" w:rsidRPr="6515EF5F">
              <w:rPr>
                <w:i/>
                <w:iCs/>
                <w:color w:val="444444"/>
                <w:lang w:val="en-US"/>
              </w:rPr>
              <w:t>If the raw results files are too large to embed in this document, provide the scans as an attachment to the SAR. Whether embedded or provided as a separate attachment, zip the raw scan files into one Zip file</w:t>
            </w:r>
            <w:r w:rsidRPr="6515EF5F">
              <w:rPr>
                <w:i/>
                <w:iCs/>
                <w:color w:val="444444"/>
                <w:lang w:val="en-US"/>
              </w:rPr>
              <w:t>. In this section, provide the name of the Zip file along with the names of the raw scan files that the Zip file contains.</w:t>
            </w:r>
          </w:p>
          <w:p w14:paraId="29C4B4FC" w14:textId="77777777" w:rsidR="00450601" w:rsidRPr="00466A33" w:rsidRDefault="00450601" w:rsidP="00D80036">
            <w:pPr>
              <w:pStyle w:val="deletioninstruction"/>
            </w:pPr>
            <w:r w:rsidRPr="00466A33">
              <w:t>Delete this and all other instructional text from your final version of this document.</w:t>
            </w:r>
          </w:p>
        </w:tc>
      </w:tr>
    </w:tbl>
    <w:p w14:paraId="1F681085" w14:textId="77777777" w:rsidR="00450601" w:rsidRPr="00466A33" w:rsidRDefault="00450601" w:rsidP="00827619">
      <w:pPr>
        <w:pStyle w:val="Caption"/>
      </w:pPr>
    </w:p>
    <w:p w14:paraId="73CB1211" w14:textId="00160C58" w:rsidR="00450601" w:rsidRPr="00466A33" w:rsidRDefault="00450601" w:rsidP="00450601">
      <w:r w:rsidRPr="00466A33">
        <w:t>The table below includes raw database scan files from this assessment. Any new vulnerabilities introduced in remediation scan files, included in the table below and detected as of &lt;Insert MM/DD/YYYY&gt;</w:t>
      </w:r>
      <w:r w:rsidR="00E73F9B">
        <w:t>,</w:t>
      </w:r>
      <w:r w:rsidRPr="00466A33">
        <w:t xml:space="preserve"> are outside the scope of this assessment. These new findings must be captured in a CSP's POA&amp;M, for monthly continuous monitoring, in accordance with FedRAMP’s POA&amp;M guidance.</w:t>
      </w:r>
    </w:p>
    <w:p w14:paraId="47DC919D" w14:textId="77777777" w:rsidR="00450601" w:rsidRPr="00466A33" w:rsidRDefault="00450601" w:rsidP="00827619">
      <w:pPr>
        <w:pStyle w:val="Caption"/>
      </w:pPr>
    </w:p>
    <w:p w14:paraId="0E805BD0" w14:textId="77777777" w:rsidR="00450601" w:rsidRPr="00466A33" w:rsidRDefault="00450601" w:rsidP="00450601">
      <w:pPr>
        <w:pStyle w:val="Caption"/>
      </w:pPr>
      <w:r w:rsidRPr="00466A33">
        <w:t>Table C-2 Database Scans: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1508A" w:rsidRPr="00466A33" w14:paraId="06096C46"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474CCC50"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6846FA9E"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1508A" w:rsidRPr="00466A33" w14:paraId="7112354B"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328B69FC"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296DB700"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7288D64D" w14:textId="77777777" w:rsidTr="00EA49BC">
        <w:trPr>
          <w:cnfStyle w:val="000000010000" w:firstRow="0" w:lastRow="0" w:firstColumn="0" w:lastColumn="0" w:oddVBand="0" w:evenVBand="0" w:oddHBand="0" w:evenHBand="1" w:firstRowFirstColumn="0" w:firstRowLastColumn="0" w:lastRowFirstColumn="0" w:lastRowLastColumn="0"/>
        </w:trPr>
        <w:tc>
          <w:tcPr>
            <w:tcW w:w="4675" w:type="dxa"/>
          </w:tcPr>
          <w:p w14:paraId="62936439"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4B78C0CA"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20C2B775"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06924EC6"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35E4ACB7" w14:textId="77777777" w:rsidR="0081508A" w:rsidRPr="00466A33" w:rsidRDefault="0081508A" w:rsidP="00450601">
            <w:pPr>
              <w:pStyle w:val="Tabletextlight"/>
              <w:spacing w:before="80" w:after="80" w:line="288" w:lineRule="auto"/>
              <w:rPr>
                <w:rFonts w:ascii="Arial" w:hAnsi="Arial" w:cs="Arial"/>
              </w:rPr>
            </w:pPr>
          </w:p>
        </w:tc>
      </w:tr>
    </w:tbl>
    <w:p w14:paraId="7781AF1B" w14:textId="3BD38AC6" w:rsidR="0081508A" w:rsidRPr="00466A33" w:rsidRDefault="0081508A" w:rsidP="00450601">
      <w:pPr>
        <w:pStyle w:val="Appendix3"/>
      </w:pPr>
      <w:r w:rsidRPr="00466A33">
        <w:lastRenderedPageBreak/>
        <w:t>Database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5DB888BE" w14:textId="77777777" w:rsidTr="00703332">
        <w:trPr>
          <w:trHeight w:val="57"/>
        </w:trPr>
        <w:tc>
          <w:tcPr>
            <w:tcW w:w="9350" w:type="dxa"/>
            <w:shd w:val="clear" w:color="auto" w:fill="19447F"/>
          </w:tcPr>
          <w:p w14:paraId="547D15C2"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5C329D0" w14:textId="77777777" w:rsidTr="00703332">
        <w:trPr>
          <w:trHeight w:val="57"/>
        </w:trPr>
        <w:tc>
          <w:tcPr>
            <w:tcW w:w="9350" w:type="dxa"/>
            <w:shd w:val="clear" w:color="auto" w:fill="F2F2F2"/>
          </w:tcPr>
          <w:p w14:paraId="0B62D5FD" w14:textId="1BAA890D" w:rsidR="00450601" w:rsidRPr="00466A33" w:rsidRDefault="00B6045A" w:rsidP="00703332">
            <w:pPr>
              <w:pBdr>
                <w:top w:val="nil"/>
                <w:left w:val="nil"/>
                <w:bottom w:val="nil"/>
                <w:right w:val="nil"/>
                <w:between w:val="nil"/>
              </w:pBdr>
              <w:rPr>
                <w:i/>
                <w:color w:val="444444"/>
              </w:rPr>
            </w:pPr>
            <w:r w:rsidRPr="00466A33">
              <w:rPr>
                <w:i/>
                <w:color w:val="444444"/>
              </w:rPr>
              <w:t>V</w:t>
            </w:r>
            <w:r w:rsidR="00450601" w:rsidRPr="00466A33">
              <w:rPr>
                <w:i/>
                <w:color w:val="444444"/>
              </w:rPr>
              <w:t xml:space="preserve">alidate all FPs identified. Once </w:t>
            </w:r>
            <w:r w:rsidRPr="00466A33">
              <w:rPr>
                <w:i/>
                <w:color w:val="444444"/>
              </w:rPr>
              <w:t>validated</w:t>
            </w:r>
            <w:r w:rsidR="00450601" w:rsidRPr="00466A33">
              <w:rPr>
                <w:i/>
                <w:color w:val="444444"/>
              </w:rPr>
              <w:t xml:space="preserve">, </w:t>
            </w:r>
            <w:r w:rsidRPr="00466A33">
              <w:rPr>
                <w:i/>
                <w:color w:val="444444"/>
              </w:rPr>
              <w:t xml:space="preserve">the FPs </w:t>
            </w:r>
            <w:r w:rsidR="00450601" w:rsidRPr="00466A33">
              <w:rPr>
                <w:i/>
                <w:color w:val="444444"/>
              </w:rPr>
              <w:t>are then considered closed and are recorded appropriately on the “Risks Corrected During Testing” tab of the RET.</w:t>
            </w:r>
          </w:p>
          <w:p w14:paraId="69B81324" w14:textId="77777777" w:rsidR="00450601" w:rsidRPr="00466A33" w:rsidRDefault="00450601" w:rsidP="00D80036">
            <w:pPr>
              <w:pStyle w:val="deletioninstruction"/>
            </w:pPr>
            <w:r w:rsidRPr="00466A33">
              <w:t>Delete this and all other instructional text from your final version of this document.</w:t>
            </w:r>
          </w:p>
        </w:tc>
      </w:tr>
    </w:tbl>
    <w:p w14:paraId="0035151A" w14:textId="77777777" w:rsidR="00450601" w:rsidRPr="00466A33" w:rsidRDefault="00450601" w:rsidP="0081508A"/>
    <w:p w14:paraId="4D52C9FA" w14:textId="036CABD8" w:rsidR="0081508A" w:rsidRPr="00466A33" w:rsidRDefault="00450601" w:rsidP="0081508A">
      <w:r w:rsidRPr="6515EF5F">
        <w:rPr>
          <w:lang w:val="en-US"/>
        </w:rPr>
        <w:t xml:space="preserve">&lt;Insert IA Name&gt; has validated all FPs identified. While a validated FP confirms that there was no weakness present to correct, validated FPs are documented in the “Risks Corrected During Testing” tab of the RET as a convenient way to track FPs. </w:t>
      </w:r>
    </w:p>
    <w:p w14:paraId="649D69A4" w14:textId="3D7F9350" w:rsidR="0081508A" w:rsidRPr="00466A33" w:rsidRDefault="0081508A" w:rsidP="00450601">
      <w:pPr>
        <w:pStyle w:val="Appendix2"/>
      </w:pPr>
      <w:r w:rsidRPr="00466A33">
        <w:t>Web Scan Results</w:t>
      </w:r>
    </w:p>
    <w:p w14:paraId="7337078A" w14:textId="1DD324E3" w:rsidR="00450601" w:rsidRPr="00466A33" w:rsidRDefault="00450601" w:rsidP="0032333C">
      <w:r w:rsidRPr="6515EF5F">
        <w:rPr>
          <w:lang w:val="en-US"/>
        </w:rPr>
        <w:t xml:space="preserve">&lt;Insert Scanner Name, Vendor, and </w:t>
      </w:r>
      <w:sdt>
        <w:sdtPr>
          <w:tag w:val="goog_rdk_10"/>
          <w:id w:val="955994630"/>
        </w:sdtPr>
        <w:sdtContent/>
      </w:sdt>
      <w:r w:rsidRPr="6515EF5F">
        <w:rPr>
          <w:lang w:val="en-US"/>
        </w:rPr>
        <w:t>Version X.X&gt; was used to scan the &lt;Insert CSO Name&gt; Web applications. This includes all external APIs. &lt;Insert Percentage&gt;% of all Web applications were scanned. &lt;Insert Percentage&gt;% of all APIs were scanned.</w:t>
      </w:r>
      <w:r w:rsidR="511C1990" w:rsidRPr="6515EF5F">
        <w:rPr>
          <w:lang w:val="en-US"/>
        </w:rPr>
        <w:t xml:space="preserve"> </w:t>
      </w:r>
      <w:r w:rsidRPr="6515EF5F">
        <w:rPr>
          <w:lang w:val="en-US"/>
        </w:rPr>
        <w:t xml:space="preserve">&lt;Include the Following if True&gt; For the remaining inventory, the &lt;Insert IA Name&gt; performed a manual review of configuration files to analyze for existing vulnerabilities. Both the authenticated, raw scan results and the human-readable version(s) are provided as a Zip file with this SAR. Web application scan vulnerabilities are documented in the RET. </w:t>
      </w:r>
    </w:p>
    <w:p w14:paraId="1362F764" w14:textId="77777777" w:rsidR="004226F2" w:rsidRPr="00466A33" w:rsidRDefault="004226F2" w:rsidP="0032333C"/>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790482E" w14:textId="77777777" w:rsidTr="6515EF5F">
        <w:trPr>
          <w:trHeight w:val="57"/>
        </w:trPr>
        <w:tc>
          <w:tcPr>
            <w:tcW w:w="9350" w:type="dxa"/>
            <w:shd w:val="clear" w:color="auto" w:fill="19447F" w:themeFill="accent2"/>
          </w:tcPr>
          <w:p w14:paraId="45BCD04F"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890430D" w14:textId="77777777" w:rsidTr="6515EF5F">
        <w:trPr>
          <w:trHeight w:val="57"/>
        </w:trPr>
        <w:tc>
          <w:tcPr>
            <w:tcW w:w="9350" w:type="dxa"/>
            <w:shd w:val="clear" w:color="auto" w:fill="F2F2F2" w:themeFill="background1" w:themeFillShade="F2"/>
          </w:tcPr>
          <w:p w14:paraId="752DF29C" w14:textId="75A78F4D"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The Web application scans must match the </w:t>
            </w:r>
            <w:hyperlink r:id="rId25">
              <w:r w:rsidRPr="6515EF5F">
                <w:rPr>
                  <w:rStyle w:val="Hyperlink"/>
                  <w:lang w:val="en-US"/>
                </w:rPr>
                <w:t>FedRAMP SSP Integrated Inventory Workbook</w:t>
              </w:r>
            </w:hyperlink>
            <w:r w:rsidRPr="6515EF5F">
              <w:rPr>
                <w:i/>
                <w:iCs/>
                <w:color w:val="444444"/>
                <w:lang w:val="en-US"/>
              </w:rPr>
              <w:t xml:space="preserve"> exactly. If the scanning reveals components that are not recorded in the integrated inventory workbook, note this as a finding or deviation or perhaps several findings/deviations if the discrepancy is based on several components. If a discrepancy exists</w:t>
            </w:r>
            <w:r w:rsidR="00E73F9B">
              <w:rPr>
                <w:i/>
                <w:iCs/>
                <w:color w:val="444444"/>
                <w:lang w:val="en-US"/>
              </w:rPr>
              <w:t>,</w:t>
            </w:r>
            <w:r w:rsidRPr="6515EF5F">
              <w:rPr>
                <w:i/>
                <w:iCs/>
                <w:color w:val="444444"/>
                <w:lang w:val="en-US"/>
              </w:rPr>
              <w:t xml:space="preserve"> provide the reasons why in this section.</w:t>
            </w:r>
          </w:p>
          <w:p w14:paraId="7EC14C12" w14:textId="77777777" w:rsidR="00450601" w:rsidRPr="00466A33" w:rsidRDefault="00450601" w:rsidP="00450601">
            <w:pPr>
              <w:pStyle w:val="deletioninstruction"/>
            </w:pPr>
            <w:r w:rsidRPr="00466A33">
              <w:t>Delete this and all other instructional text from your final version of this document.</w:t>
            </w:r>
          </w:p>
        </w:tc>
      </w:tr>
    </w:tbl>
    <w:p w14:paraId="6E53332F" w14:textId="77777777" w:rsidR="00E73F9B" w:rsidRDefault="00E73F9B" w:rsidP="0081508A"/>
    <w:p w14:paraId="52EFBA85" w14:textId="1EB05901" w:rsidR="0081508A" w:rsidRPr="00466A33" w:rsidRDefault="00450601" w:rsidP="0081508A">
      <w:r w:rsidRPr="00466A33">
        <w:t>&lt;Choose One: There were no discrepancies found between the scanned and documented inventory/discrepancies with the scanned inventory and the documented inventory have been recorded in the RET. The discrepancies were due to &lt;Describe Reasons Here&gt;&gt;.</w:t>
      </w:r>
    </w:p>
    <w:p w14:paraId="51D37461" w14:textId="6243458B" w:rsidR="0081508A" w:rsidRPr="00466A33" w:rsidRDefault="0081508A" w:rsidP="00450601">
      <w:pPr>
        <w:pStyle w:val="Appendix3"/>
      </w:pPr>
      <w:r w:rsidRPr="00466A33">
        <w:lastRenderedPageBreak/>
        <w:t>Web Applications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0D490580" w14:textId="77777777" w:rsidTr="6515EF5F">
        <w:trPr>
          <w:trHeight w:val="57"/>
        </w:trPr>
        <w:tc>
          <w:tcPr>
            <w:tcW w:w="9350" w:type="dxa"/>
            <w:shd w:val="clear" w:color="auto" w:fill="19447F" w:themeFill="accent2"/>
          </w:tcPr>
          <w:p w14:paraId="5C60EBF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1C29356C" w14:textId="77777777" w:rsidTr="6515EF5F">
        <w:trPr>
          <w:trHeight w:val="57"/>
        </w:trPr>
        <w:tc>
          <w:tcPr>
            <w:tcW w:w="9350" w:type="dxa"/>
            <w:shd w:val="clear" w:color="auto" w:fill="F2F2F2" w:themeFill="background1" w:themeFillShade="F2"/>
          </w:tcPr>
          <w:p w14:paraId="4564BDC4" w14:textId="4F0DFD45"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The filenames of the raw scan results must be provided below and must accompany this SAR. </w:t>
            </w:r>
            <w:r w:rsidR="00847F11" w:rsidRPr="6515EF5F">
              <w:rPr>
                <w:i/>
                <w:iCs/>
                <w:color w:val="444444"/>
                <w:lang w:val="en-US"/>
              </w:rPr>
              <w:t>If the raw results files are too large to embed in this document, provide the scans as an attachment to the SAR. Whether embedded or provided as a separate attachment, zip the raw scan files into one Zip file</w:t>
            </w:r>
            <w:r w:rsidRPr="6515EF5F">
              <w:rPr>
                <w:i/>
                <w:iCs/>
                <w:color w:val="444444"/>
                <w:lang w:val="en-US"/>
              </w:rPr>
              <w:t>. In this section, provide the name of the Zip file along with the names of the raw scan files that the Zip file contains.</w:t>
            </w:r>
          </w:p>
          <w:p w14:paraId="44D0DFDF" w14:textId="77777777" w:rsidR="00450601" w:rsidRPr="00466A33" w:rsidRDefault="00450601" w:rsidP="00D80036">
            <w:pPr>
              <w:pStyle w:val="deletioninstruction"/>
              <w:rPr>
                <w:color w:val="19447F"/>
              </w:rPr>
            </w:pPr>
            <w:r w:rsidRPr="00466A33">
              <w:t>Delete this and all other instructional text from your final version of this document.</w:t>
            </w:r>
          </w:p>
        </w:tc>
      </w:tr>
    </w:tbl>
    <w:p w14:paraId="3441E6BE" w14:textId="77777777" w:rsidR="00450601" w:rsidRPr="00466A33" w:rsidRDefault="00450601" w:rsidP="00450601"/>
    <w:p w14:paraId="5F7EE486" w14:textId="7B7A5233" w:rsidR="00450601" w:rsidRPr="00466A33" w:rsidRDefault="00450601" w:rsidP="0081508A">
      <w:r w:rsidRPr="6515EF5F">
        <w:rPr>
          <w:lang w:val="en-US"/>
        </w:rPr>
        <w:t>The table below includes the raw Web application scan files from this assessment. Any new vulnerabilities introduced in remediation scan files, included in the table below and detected as of &lt;Insert MM/DD/YYYY&gt;</w:t>
      </w:r>
      <w:r w:rsidR="00E73F9B">
        <w:rPr>
          <w:lang w:val="en-US"/>
        </w:rPr>
        <w:t>,</w:t>
      </w:r>
      <w:r w:rsidRPr="6515EF5F">
        <w:rPr>
          <w:lang w:val="en-US"/>
        </w:rPr>
        <w:t xml:space="preserve"> are outside the scope of this assessment. These new findings must be captured in a CSP's POA&amp;M, for monthly continuous monitoring, in accordance with FedRAMP POA&amp;M guidance.</w:t>
      </w:r>
    </w:p>
    <w:p w14:paraId="04B1139F" w14:textId="77777777" w:rsidR="00450601" w:rsidRPr="00466A33" w:rsidRDefault="00450601" w:rsidP="0081508A"/>
    <w:p w14:paraId="209C4041" w14:textId="6259BE65" w:rsidR="00450601" w:rsidRPr="00466A33" w:rsidRDefault="00450601" w:rsidP="00450601">
      <w:pPr>
        <w:pStyle w:val="Caption"/>
      </w:pPr>
      <w:r w:rsidRPr="00466A33">
        <w:t>Table C-3 Web Application Scan</w:t>
      </w:r>
      <w:r w:rsidR="00B6045A" w:rsidRPr="00466A33">
        <w:t>s:</w:t>
      </w:r>
      <w:r w:rsidRPr="00466A33">
        <w:t xml:space="preserve">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1508A" w:rsidRPr="00466A33" w14:paraId="35B0D5E6"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3AFD7D07"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29B23BE7"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1508A" w:rsidRPr="00466A33" w14:paraId="7ABCCFC3"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5C0AAF3F"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20F1E3CC"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732A0E2D" w14:textId="77777777" w:rsidTr="00EA49BC">
        <w:trPr>
          <w:cnfStyle w:val="000000010000" w:firstRow="0" w:lastRow="0" w:firstColumn="0" w:lastColumn="0" w:oddVBand="0" w:evenVBand="0" w:oddHBand="0" w:evenHBand="1" w:firstRowFirstColumn="0" w:firstRowLastColumn="0" w:lastRowFirstColumn="0" w:lastRowLastColumn="0"/>
        </w:trPr>
        <w:tc>
          <w:tcPr>
            <w:tcW w:w="4675" w:type="dxa"/>
          </w:tcPr>
          <w:p w14:paraId="387B770F"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739340CE"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01FADCD4"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2F6ED18E"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4969FC24" w14:textId="77777777" w:rsidR="0081508A" w:rsidRPr="00466A33" w:rsidRDefault="0081508A" w:rsidP="00450601">
            <w:pPr>
              <w:pStyle w:val="Tabletextlight"/>
              <w:spacing w:before="80" w:after="80" w:line="288" w:lineRule="auto"/>
              <w:rPr>
                <w:rFonts w:ascii="Arial" w:hAnsi="Arial" w:cs="Arial"/>
              </w:rPr>
            </w:pPr>
          </w:p>
        </w:tc>
      </w:tr>
    </w:tbl>
    <w:p w14:paraId="7B9F3A41" w14:textId="49CFCB66" w:rsidR="0081508A" w:rsidRPr="00466A33" w:rsidRDefault="0081508A" w:rsidP="00450601">
      <w:pPr>
        <w:pStyle w:val="Appendix3"/>
      </w:pPr>
      <w:r w:rsidRPr="00466A33">
        <w:t>Web Applications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5D1EB371" w14:textId="77777777" w:rsidTr="6515EF5F">
        <w:trPr>
          <w:trHeight w:val="57"/>
        </w:trPr>
        <w:tc>
          <w:tcPr>
            <w:tcW w:w="9350" w:type="dxa"/>
            <w:shd w:val="clear" w:color="auto" w:fill="19447F" w:themeFill="accent2"/>
          </w:tcPr>
          <w:p w14:paraId="226022AB"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203293FD" w14:textId="77777777" w:rsidTr="6515EF5F">
        <w:trPr>
          <w:trHeight w:val="57"/>
        </w:trPr>
        <w:tc>
          <w:tcPr>
            <w:tcW w:w="9350" w:type="dxa"/>
            <w:shd w:val="clear" w:color="auto" w:fill="F2F2F2" w:themeFill="background1" w:themeFillShade="F2"/>
          </w:tcPr>
          <w:p w14:paraId="7DD6E52A" w14:textId="015CADB4" w:rsidR="00450601" w:rsidRPr="00466A33" w:rsidRDefault="00B6045A" w:rsidP="6515EF5F">
            <w:pPr>
              <w:pBdr>
                <w:top w:val="nil"/>
                <w:left w:val="nil"/>
                <w:bottom w:val="nil"/>
                <w:right w:val="nil"/>
                <w:between w:val="nil"/>
              </w:pBdr>
              <w:rPr>
                <w:i/>
                <w:iCs/>
                <w:color w:val="444444"/>
                <w:lang w:val="en-US"/>
              </w:rPr>
            </w:pPr>
            <w:r w:rsidRPr="6515EF5F">
              <w:rPr>
                <w:i/>
                <w:iCs/>
                <w:color w:val="444444"/>
                <w:lang w:val="en-US"/>
              </w:rPr>
              <w:t>V</w:t>
            </w:r>
            <w:r w:rsidR="00450601" w:rsidRPr="6515EF5F">
              <w:rPr>
                <w:i/>
                <w:iCs/>
                <w:color w:val="444444"/>
                <w:lang w:val="en-US"/>
              </w:rPr>
              <w:t xml:space="preserve">alidate all FPs identified. Once </w:t>
            </w:r>
            <w:r w:rsidRPr="6515EF5F">
              <w:rPr>
                <w:i/>
                <w:iCs/>
                <w:color w:val="444444"/>
                <w:lang w:val="en-US"/>
              </w:rPr>
              <w:t>validated</w:t>
            </w:r>
            <w:r w:rsidR="00450601" w:rsidRPr="6515EF5F">
              <w:rPr>
                <w:i/>
                <w:iCs/>
                <w:color w:val="444444"/>
                <w:lang w:val="en-US"/>
              </w:rPr>
              <w:t xml:space="preserve">, </w:t>
            </w:r>
            <w:r w:rsidRPr="6515EF5F">
              <w:rPr>
                <w:i/>
                <w:iCs/>
                <w:color w:val="444444"/>
                <w:lang w:val="en-US"/>
              </w:rPr>
              <w:t xml:space="preserve">the FPs </w:t>
            </w:r>
            <w:r w:rsidR="00450601" w:rsidRPr="6515EF5F">
              <w:rPr>
                <w:i/>
                <w:iCs/>
                <w:color w:val="444444"/>
                <w:lang w:val="en-US"/>
              </w:rPr>
              <w:t>are then considered closed and are recorded appropriately in the “Risks Corrected During Testing” tab of the RET.</w:t>
            </w:r>
          </w:p>
          <w:p w14:paraId="38228AC6" w14:textId="77777777" w:rsidR="00450601" w:rsidRPr="00466A33" w:rsidRDefault="00450601" w:rsidP="00D80036">
            <w:pPr>
              <w:pStyle w:val="deletioninstruction"/>
            </w:pPr>
            <w:r w:rsidRPr="00466A33">
              <w:t>Delete this and all other instructional text from your final version of this document.</w:t>
            </w:r>
          </w:p>
        </w:tc>
      </w:tr>
    </w:tbl>
    <w:p w14:paraId="6CC2FF5C" w14:textId="77777777" w:rsidR="00450601" w:rsidRPr="00466A33" w:rsidRDefault="00450601" w:rsidP="00450601"/>
    <w:p w14:paraId="0A450610" w14:textId="428E6B9B" w:rsidR="00450601" w:rsidRPr="00466A33" w:rsidRDefault="00450601" w:rsidP="00450601">
      <w:r w:rsidRPr="6515EF5F">
        <w:rPr>
          <w:lang w:val="en-US"/>
        </w:rPr>
        <w:lastRenderedPageBreak/>
        <w:t>&lt;Insert IA Name&gt; has validated all FPs identified. While a validated FP confirms that there was no weakness present to correct, validated FPs are documented in the “Risks Corrected During Testing” tab of the RET as a convenient way to track FPs.</w:t>
      </w:r>
    </w:p>
    <w:p w14:paraId="119C9391" w14:textId="43BAE318" w:rsidR="0081508A" w:rsidRPr="00466A33" w:rsidRDefault="0081508A" w:rsidP="00450601">
      <w:pPr>
        <w:pStyle w:val="Appendix2"/>
      </w:pPr>
      <w:r w:rsidRPr="00466A33">
        <w:t>Container Scan Results</w:t>
      </w:r>
    </w:p>
    <w:p w14:paraId="3ED5E244" w14:textId="4BE15BB5" w:rsidR="0081508A" w:rsidRPr="00466A33" w:rsidRDefault="00450601" w:rsidP="0032333C">
      <w:r w:rsidRPr="00466A33">
        <w:t xml:space="preserve">&lt;Insert Scanner Name, Vendor, and </w:t>
      </w:r>
      <w:sdt>
        <w:sdtPr>
          <w:tag w:val="goog_rdk_11"/>
          <w:id w:val="431549088"/>
        </w:sdtPr>
        <w:sdtContent/>
      </w:sdt>
      <w:r w:rsidRPr="00466A33">
        <w:t>Version X.X&gt; was used to scan the &lt;Insert CSO Name&gt; containers. &lt;Insert Percentage&gt;% of all container images were scanned. &lt;Include the Following if True&gt; For the remaining container inventory, the &lt;Insert IA Name&gt; performed a manual review of configuration files to analyze for existing vulnerabilities. Both the authenticated, raw scan results and the human-readable version(s) are zipped and associated with this SAR. Container vulnerabilities are documented in the RET.</w:t>
      </w:r>
    </w:p>
    <w:p w14:paraId="2E561436" w14:textId="73A6DDCB" w:rsidR="0081508A" w:rsidRPr="00466A33" w:rsidRDefault="0081508A" w:rsidP="00450601">
      <w:pPr>
        <w:pStyle w:val="Appendix3"/>
      </w:pPr>
      <w:r w:rsidRPr="00466A33">
        <w:t>Container Scans: Inventory of Container Images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D842278" w14:textId="77777777" w:rsidTr="6515EF5F">
        <w:trPr>
          <w:trHeight w:val="57"/>
        </w:trPr>
        <w:tc>
          <w:tcPr>
            <w:tcW w:w="9350" w:type="dxa"/>
            <w:shd w:val="clear" w:color="auto" w:fill="19447F" w:themeFill="accent2"/>
          </w:tcPr>
          <w:p w14:paraId="53271602"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6A3163C0" w14:textId="77777777" w:rsidTr="6515EF5F">
        <w:trPr>
          <w:trHeight w:val="57"/>
        </w:trPr>
        <w:tc>
          <w:tcPr>
            <w:tcW w:w="9350" w:type="dxa"/>
            <w:shd w:val="clear" w:color="auto" w:fill="F2F2F2" w:themeFill="background1" w:themeFillShade="F2"/>
          </w:tcPr>
          <w:p w14:paraId="712B23F7" w14:textId="7B29B0FD" w:rsidR="00450601" w:rsidRPr="00466A33" w:rsidRDefault="00450601" w:rsidP="00703332">
            <w:pPr>
              <w:pBdr>
                <w:top w:val="nil"/>
                <w:left w:val="nil"/>
                <w:bottom w:val="nil"/>
                <w:right w:val="nil"/>
                <w:between w:val="nil"/>
              </w:pBdr>
              <w:rPr>
                <w:i/>
                <w:color w:val="444444"/>
              </w:rPr>
            </w:pPr>
            <w:r w:rsidRPr="00466A33">
              <w:rPr>
                <w:i/>
                <w:color w:val="444444"/>
              </w:rPr>
              <w:t>Container scans must align with</w:t>
            </w:r>
            <w:r w:rsidR="00E73F9B">
              <w:rPr>
                <w:i/>
                <w:color w:val="444444"/>
              </w:rPr>
              <w:t xml:space="preserve"> the </w:t>
            </w:r>
            <w:hyperlink r:id="rId26">
              <w:r w:rsidRPr="00466A33">
                <w:rPr>
                  <w:rStyle w:val="Hyperlink"/>
                </w:rPr>
                <w:t>FedRAMP Vulnerability Scanning Requirements for Containers</w:t>
              </w:r>
            </w:hyperlink>
            <w:r w:rsidRPr="00466A33">
              <w:rPr>
                <w:i/>
                <w:color w:val="444444"/>
              </w:rPr>
              <w:t xml:space="preserve"> document.</w:t>
            </w:r>
          </w:p>
          <w:p w14:paraId="1F0FBAC9"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"While individually deployed instances of containers should be tracked internally by the CSP, they do not need to be included as part of the FedRAMP Integrated Inventory Workbook Template, unless they are specifically the target of a scan performed by a security sensor." </w:t>
            </w:r>
          </w:p>
          <w:p w14:paraId="397D74D5" w14:textId="32928D2C"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If the scanning reveals components that are not recorded in the integrated inventory workbook, note this as a finding or deviation or perhaps several findings/deviations if the discrepancy is based on several components. If a discrepancy exists</w:t>
            </w:r>
            <w:r w:rsidR="00E73F9B">
              <w:rPr>
                <w:i/>
                <w:iCs/>
                <w:color w:val="444444"/>
                <w:lang w:val="en-US"/>
              </w:rPr>
              <w:t>,</w:t>
            </w:r>
            <w:r w:rsidRPr="6515EF5F">
              <w:rPr>
                <w:i/>
                <w:iCs/>
                <w:color w:val="444444"/>
                <w:lang w:val="en-US"/>
              </w:rPr>
              <w:t xml:space="preserve"> provide the reasons why in this section.</w:t>
            </w:r>
          </w:p>
          <w:p w14:paraId="1CF7D19E" w14:textId="77777777" w:rsidR="00450601" w:rsidRPr="00466A33" w:rsidRDefault="00450601" w:rsidP="00D80036">
            <w:pPr>
              <w:pStyle w:val="deletioninstruction"/>
            </w:pPr>
            <w:r w:rsidRPr="00466A33">
              <w:t>Delete this and all other instructional text from your final version of this document.</w:t>
            </w:r>
          </w:p>
        </w:tc>
      </w:tr>
    </w:tbl>
    <w:p w14:paraId="124660DA" w14:textId="77777777" w:rsidR="00450601" w:rsidRPr="00466A33" w:rsidRDefault="00450601" w:rsidP="00833E3E"/>
    <w:p w14:paraId="626F81C4" w14:textId="3B3EA2F5" w:rsidR="00833E3E" w:rsidRPr="00466A33" w:rsidRDefault="00450601" w:rsidP="00833E3E">
      <w:r w:rsidRPr="00466A33">
        <w:t>&lt;Choose One: There were no discrepancies found between the scanned and documented inventory/discrepancies with the scanned inventory and the documented inventory have been recorded in the RET. The discrepancies were due to &lt;Describe Reasons Here&gt;&gt;.</w:t>
      </w:r>
    </w:p>
    <w:p w14:paraId="6AD22B9F" w14:textId="639798EC" w:rsidR="00833E3E" w:rsidRPr="00466A33" w:rsidRDefault="00833E3E" w:rsidP="00450601">
      <w:pPr>
        <w:pStyle w:val="Appendix3"/>
      </w:pPr>
      <w:r w:rsidRPr="00466A33">
        <w:lastRenderedPageBreak/>
        <w:t>Container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1B47859" w14:textId="77777777" w:rsidTr="6515EF5F">
        <w:trPr>
          <w:trHeight w:val="57"/>
        </w:trPr>
        <w:tc>
          <w:tcPr>
            <w:tcW w:w="9350" w:type="dxa"/>
            <w:shd w:val="clear" w:color="auto" w:fill="19447F" w:themeFill="accent2"/>
          </w:tcPr>
          <w:p w14:paraId="152B1AEB"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247E8E41" w14:textId="77777777" w:rsidTr="6515EF5F">
        <w:trPr>
          <w:trHeight w:val="57"/>
        </w:trPr>
        <w:tc>
          <w:tcPr>
            <w:tcW w:w="9350" w:type="dxa"/>
            <w:shd w:val="clear" w:color="auto" w:fill="F2F2F2" w:themeFill="background1" w:themeFillShade="F2"/>
          </w:tcPr>
          <w:p w14:paraId="7379B30A" w14:textId="095703C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 xml:space="preserve">The filenames, of the raw scan results, must be provided below and must accompany this SAR. </w:t>
            </w:r>
            <w:r w:rsidR="00847F11" w:rsidRPr="6515EF5F">
              <w:rPr>
                <w:i/>
                <w:iCs/>
                <w:color w:val="444444"/>
                <w:lang w:val="en-US"/>
              </w:rPr>
              <w:t>If the raw results files are too large to embed in this document, provide the scans as an attachment to the SAR. Whether embedded or provided as a separate attachment, zip the raw scan files into one Zip file</w:t>
            </w:r>
            <w:r w:rsidRPr="6515EF5F">
              <w:rPr>
                <w:i/>
                <w:iCs/>
                <w:color w:val="444444"/>
                <w:lang w:val="en-US"/>
              </w:rPr>
              <w:t>. In this section, provide the name of the Zip file along with the names of the raw scan files that the Zip file contains.</w:t>
            </w:r>
          </w:p>
          <w:p w14:paraId="1ED67621" w14:textId="77777777" w:rsidR="00450601" w:rsidRPr="00466A33" w:rsidRDefault="00450601" w:rsidP="00D80036">
            <w:pPr>
              <w:pStyle w:val="deletioninstruction"/>
            </w:pPr>
            <w:r w:rsidRPr="00466A33">
              <w:t>Delete this and all other instructional text from your final version of this document.</w:t>
            </w:r>
          </w:p>
        </w:tc>
      </w:tr>
    </w:tbl>
    <w:p w14:paraId="37E06082" w14:textId="77777777" w:rsidR="00450601" w:rsidRPr="00466A33" w:rsidRDefault="00450601" w:rsidP="00450601"/>
    <w:p w14:paraId="0AEC27A0" w14:textId="174C1B5B" w:rsidR="00450601" w:rsidRPr="00466A33" w:rsidRDefault="00450601" w:rsidP="00450601">
      <w:r w:rsidRPr="6515EF5F">
        <w:rPr>
          <w:lang w:val="en-US"/>
        </w:rPr>
        <w:t>The table below includes the raw container scan files from this assessment. Any new vulnerabilities introduced in remediation scan files, included in the table below and detected as of &lt;Insert MM/DD/YYYY&gt;</w:t>
      </w:r>
      <w:r w:rsidR="00E73F9B">
        <w:rPr>
          <w:lang w:val="en-US"/>
        </w:rPr>
        <w:t>,</w:t>
      </w:r>
      <w:r w:rsidRPr="6515EF5F">
        <w:rPr>
          <w:lang w:val="en-US"/>
        </w:rPr>
        <w:t xml:space="preserve"> are outside the scope of this assessment. These new findings must be captured in a CSP's POA&amp;M, for monthly continuous monitoring, in accordance with FedRAMP’s POA&amp;M guidance.</w:t>
      </w:r>
    </w:p>
    <w:p w14:paraId="6999F1C9" w14:textId="77777777" w:rsidR="00450601" w:rsidRPr="00466A33" w:rsidRDefault="00450601" w:rsidP="00827619">
      <w:pPr>
        <w:pStyle w:val="Caption"/>
      </w:pPr>
    </w:p>
    <w:p w14:paraId="3725D682" w14:textId="4B29FECE" w:rsidR="00450601" w:rsidRPr="00466A33" w:rsidRDefault="00450601" w:rsidP="00450601">
      <w:pPr>
        <w:pStyle w:val="Caption"/>
      </w:pPr>
      <w:r w:rsidRPr="00466A33">
        <w:t>Table C-4 Container Scan</w:t>
      </w:r>
      <w:r w:rsidR="00B6045A" w:rsidRPr="00466A33">
        <w:t>s:</w:t>
      </w:r>
      <w:r w:rsidRPr="00466A33">
        <w:t xml:space="preserve">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33E3E" w:rsidRPr="00466A33" w14:paraId="72BBB24B"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2A1C48B0"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1A1D57BD"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33E3E" w:rsidRPr="00466A33" w14:paraId="10DA5797"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25B3CFC6"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7E36A163"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6AFEC32F" w14:textId="77777777" w:rsidTr="00EA49BC">
        <w:trPr>
          <w:cnfStyle w:val="000000010000" w:firstRow="0" w:lastRow="0" w:firstColumn="0" w:lastColumn="0" w:oddVBand="0" w:evenVBand="0" w:oddHBand="0" w:evenHBand="1" w:firstRowFirstColumn="0" w:firstRowLastColumn="0" w:lastRowFirstColumn="0" w:lastRowLastColumn="0"/>
        </w:trPr>
        <w:tc>
          <w:tcPr>
            <w:tcW w:w="4675" w:type="dxa"/>
          </w:tcPr>
          <w:p w14:paraId="235F02D1"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0EFBBFEE"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1CA3E660"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4A92C4FB"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7B9BA207" w14:textId="77777777" w:rsidR="00833E3E" w:rsidRPr="00466A33" w:rsidRDefault="00833E3E" w:rsidP="00450601">
            <w:pPr>
              <w:pStyle w:val="Tabletextlight"/>
              <w:spacing w:before="80" w:after="80" w:line="288" w:lineRule="auto"/>
              <w:rPr>
                <w:rFonts w:ascii="Arial" w:hAnsi="Arial" w:cs="Arial"/>
              </w:rPr>
            </w:pPr>
          </w:p>
        </w:tc>
      </w:tr>
    </w:tbl>
    <w:p w14:paraId="71ECF267" w14:textId="77777777" w:rsidR="00833E3E" w:rsidRPr="00466A33" w:rsidRDefault="00833E3E" w:rsidP="00833E3E"/>
    <w:p w14:paraId="36A13809" w14:textId="49D29064" w:rsidR="00833E3E" w:rsidRPr="00466A33" w:rsidRDefault="00833E3E" w:rsidP="00450601">
      <w:pPr>
        <w:pStyle w:val="Appendix3"/>
      </w:pPr>
      <w:r w:rsidRPr="00466A33">
        <w:t>Container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0C3622D8" w14:textId="77777777" w:rsidTr="6515EF5F">
        <w:trPr>
          <w:trHeight w:val="57"/>
        </w:trPr>
        <w:tc>
          <w:tcPr>
            <w:tcW w:w="9350" w:type="dxa"/>
            <w:shd w:val="clear" w:color="auto" w:fill="19447F" w:themeFill="accent2"/>
          </w:tcPr>
          <w:p w14:paraId="04034336"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38A1C819" w14:textId="77777777" w:rsidTr="6515EF5F">
        <w:trPr>
          <w:trHeight w:val="57"/>
        </w:trPr>
        <w:tc>
          <w:tcPr>
            <w:tcW w:w="9350" w:type="dxa"/>
            <w:shd w:val="clear" w:color="auto" w:fill="F2F2F2" w:themeFill="background1" w:themeFillShade="F2"/>
          </w:tcPr>
          <w:p w14:paraId="13E3831A" w14:textId="1C17BFB4" w:rsidR="00450601" w:rsidRPr="00466A33" w:rsidRDefault="00B6045A" w:rsidP="6515EF5F">
            <w:pPr>
              <w:pBdr>
                <w:top w:val="nil"/>
                <w:left w:val="nil"/>
                <w:bottom w:val="nil"/>
                <w:right w:val="nil"/>
                <w:between w:val="nil"/>
              </w:pBdr>
              <w:rPr>
                <w:i/>
                <w:iCs/>
                <w:color w:val="444444"/>
                <w:lang w:val="en-US"/>
              </w:rPr>
            </w:pPr>
            <w:r w:rsidRPr="6515EF5F">
              <w:rPr>
                <w:i/>
                <w:iCs/>
                <w:color w:val="444444"/>
                <w:lang w:val="en-US"/>
              </w:rPr>
              <w:t>V</w:t>
            </w:r>
            <w:r w:rsidR="00450601" w:rsidRPr="6515EF5F">
              <w:rPr>
                <w:i/>
                <w:iCs/>
                <w:color w:val="444444"/>
                <w:lang w:val="en-US"/>
              </w:rPr>
              <w:t xml:space="preserve">alidate all FPs identified. Once </w:t>
            </w:r>
            <w:r w:rsidRPr="6515EF5F">
              <w:rPr>
                <w:i/>
                <w:iCs/>
                <w:color w:val="444444"/>
                <w:lang w:val="en-US"/>
              </w:rPr>
              <w:t>validated</w:t>
            </w:r>
            <w:r w:rsidR="00450601" w:rsidRPr="6515EF5F">
              <w:rPr>
                <w:i/>
                <w:iCs/>
                <w:color w:val="444444"/>
                <w:lang w:val="en-US"/>
              </w:rPr>
              <w:t xml:space="preserve">, </w:t>
            </w:r>
            <w:r w:rsidRPr="6515EF5F">
              <w:rPr>
                <w:i/>
                <w:iCs/>
                <w:color w:val="444444"/>
                <w:lang w:val="en-US"/>
              </w:rPr>
              <w:t xml:space="preserve">the FPs </w:t>
            </w:r>
            <w:r w:rsidR="00450601" w:rsidRPr="6515EF5F">
              <w:rPr>
                <w:i/>
                <w:iCs/>
                <w:color w:val="444444"/>
                <w:lang w:val="en-US"/>
              </w:rPr>
              <w:t xml:space="preserve">are then considered closed and could be recorded appropriately on the </w:t>
            </w:r>
            <w:r w:rsidR="00E73F9B">
              <w:rPr>
                <w:i/>
                <w:iCs/>
                <w:color w:val="444444"/>
                <w:lang w:val="en-US"/>
              </w:rPr>
              <w:t>“</w:t>
            </w:r>
            <w:r w:rsidR="00450601" w:rsidRPr="6515EF5F">
              <w:rPr>
                <w:i/>
                <w:iCs/>
                <w:color w:val="444444"/>
                <w:lang w:val="en-US"/>
              </w:rPr>
              <w:t>Risks Corrected During Testing</w:t>
            </w:r>
            <w:r w:rsidR="00E73F9B">
              <w:rPr>
                <w:i/>
                <w:iCs/>
                <w:color w:val="444444"/>
                <w:lang w:val="en-US"/>
              </w:rPr>
              <w:t>”</w:t>
            </w:r>
            <w:r w:rsidR="00450601" w:rsidRPr="6515EF5F">
              <w:rPr>
                <w:i/>
                <w:iCs/>
                <w:color w:val="444444"/>
                <w:lang w:val="en-US"/>
              </w:rPr>
              <w:t xml:space="preserve"> tab of the RET, </w:t>
            </w:r>
            <w:proofErr w:type="gramStart"/>
            <w:r w:rsidR="00450601" w:rsidRPr="6515EF5F">
              <w:rPr>
                <w:i/>
                <w:iCs/>
                <w:color w:val="444444"/>
                <w:lang w:val="en-US"/>
              </w:rPr>
              <w:t>in order to</w:t>
            </w:r>
            <w:proofErr w:type="gramEnd"/>
            <w:r w:rsidR="00450601" w:rsidRPr="6515EF5F">
              <w:rPr>
                <w:i/>
                <w:iCs/>
                <w:color w:val="444444"/>
                <w:lang w:val="en-US"/>
              </w:rPr>
              <w:t xml:space="preserve"> keep documented affirmation.</w:t>
            </w:r>
          </w:p>
          <w:p w14:paraId="1A292CA0" w14:textId="77777777" w:rsidR="00450601" w:rsidRPr="00466A33" w:rsidRDefault="00450601" w:rsidP="00D80036">
            <w:pPr>
              <w:pStyle w:val="deletioninstruction"/>
            </w:pPr>
            <w:r w:rsidRPr="00466A33">
              <w:t>Delete this and all other instructions from your final version of this document.</w:t>
            </w:r>
          </w:p>
        </w:tc>
      </w:tr>
    </w:tbl>
    <w:p w14:paraId="74CD1D8C" w14:textId="77777777" w:rsidR="00E73F9B" w:rsidRDefault="00E73F9B" w:rsidP="00833E3E">
      <w:pPr>
        <w:rPr>
          <w:lang w:val="en-US"/>
        </w:rPr>
      </w:pPr>
    </w:p>
    <w:p w14:paraId="2B8A9C89" w14:textId="562216AF" w:rsidR="0081508A" w:rsidRPr="00466A33" w:rsidRDefault="00450601" w:rsidP="00833E3E">
      <w:r w:rsidRPr="6515EF5F">
        <w:rPr>
          <w:lang w:val="en-US"/>
        </w:rPr>
        <w:t>&lt;IA Name&gt; has validated all FPs identified. While a validated FP confirms that there was no weakness present to correct, validated FPs are documented in the Risks Corrected During Testing tab of the RET as a convenient way to track FPs.</w:t>
      </w:r>
    </w:p>
    <w:p w14:paraId="072ADF55" w14:textId="2DFA336E" w:rsidR="00833E3E" w:rsidRPr="00466A33" w:rsidRDefault="00833E3E" w:rsidP="00450601">
      <w:pPr>
        <w:pStyle w:val="Appendix2"/>
      </w:pPr>
      <w:r w:rsidRPr="00466A33">
        <w:t>Other Automated and Miscellaneous Tool Results: Tools Used</w:t>
      </w:r>
    </w:p>
    <w:p w14:paraId="12C67023" w14:textId="7293DA66" w:rsidR="00833E3E" w:rsidRPr="00466A33" w:rsidRDefault="00833E3E" w:rsidP="00450601">
      <w:pPr>
        <w:pStyle w:val="Appendix3"/>
      </w:pPr>
      <w:r w:rsidRPr="00466A33">
        <w:t>Other Automated and Miscellaneous Tool Results: Inventory of Items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469ABEF2" w14:textId="77777777" w:rsidTr="00703332">
        <w:trPr>
          <w:trHeight w:val="57"/>
        </w:trPr>
        <w:tc>
          <w:tcPr>
            <w:tcW w:w="9350" w:type="dxa"/>
            <w:shd w:val="clear" w:color="auto" w:fill="19447F"/>
          </w:tcPr>
          <w:p w14:paraId="2951EA6A"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45A5FCF6" w14:textId="77777777" w:rsidTr="00703332">
        <w:trPr>
          <w:trHeight w:val="57"/>
        </w:trPr>
        <w:tc>
          <w:tcPr>
            <w:tcW w:w="9350" w:type="dxa"/>
            <w:shd w:val="clear" w:color="auto" w:fill="F2F2F2"/>
          </w:tcPr>
          <w:p w14:paraId="399C2CF8" w14:textId="77777777" w:rsidR="00450601" w:rsidRPr="00466A33" w:rsidRDefault="00450601" w:rsidP="00703332">
            <w:pPr>
              <w:pBdr>
                <w:top w:val="nil"/>
                <w:left w:val="nil"/>
                <w:bottom w:val="nil"/>
                <w:right w:val="nil"/>
                <w:between w:val="nil"/>
              </w:pBdr>
              <w:rPr>
                <w:i/>
                <w:color w:val="444444"/>
              </w:rPr>
            </w:pPr>
            <w:r w:rsidRPr="00466A33">
              <w:rPr>
                <w:i/>
                <w:color w:val="444444"/>
              </w:rPr>
              <w:t>Follow the same instructions noted in the OS/Infrastructure, Database, Web Application, and Containers sections. If there are no other tools used, mark this section as “Not Applicable”.</w:t>
            </w:r>
          </w:p>
          <w:p w14:paraId="377604E1" w14:textId="77777777" w:rsidR="00450601" w:rsidRPr="00466A33" w:rsidRDefault="00450601" w:rsidP="00D80036">
            <w:pPr>
              <w:pStyle w:val="deletioninstruction"/>
            </w:pPr>
            <w:r w:rsidRPr="00466A33">
              <w:t>Delete this and all other instructional text from your final version of this document.</w:t>
            </w:r>
          </w:p>
        </w:tc>
      </w:tr>
    </w:tbl>
    <w:p w14:paraId="10899DE7" w14:textId="2D2E7A49" w:rsidR="00833E3E" w:rsidRPr="00466A33" w:rsidRDefault="00833E3E" w:rsidP="00450601">
      <w:pPr>
        <w:pStyle w:val="Appendix3"/>
      </w:pPr>
      <w:r w:rsidRPr="00466A33">
        <w:t>Other Automated and Miscellaneous Tool Results: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7B9AE4D" w14:textId="77777777" w:rsidTr="6515EF5F">
        <w:trPr>
          <w:trHeight w:val="57"/>
        </w:trPr>
        <w:tc>
          <w:tcPr>
            <w:tcW w:w="9350" w:type="dxa"/>
            <w:shd w:val="clear" w:color="auto" w:fill="19447F" w:themeFill="accent2"/>
          </w:tcPr>
          <w:p w14:paraId="2B1DF7D7"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1436865" w14:textId="77777777" w:rsidTr="6515EF5F">
        <w:trPr>
          <w:trHeight w:val="57"/>
        </w:trPr>
        <w:tc>
          <w:tcPr>
            <w:tcW w:w="9350" w:type="dxa"/>
            <w:shd w:val="clear" w:color="auto" w:fill="F2F2F2" w:themeFill="background1" w:themeFillShade="F2"/>
          </w:tcPr>
          <w:p w14:paraId="6960867A"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Follow the same instructions noted in the OS/Infrastructure, Database, Web Application, Containers sections. </w:t>
            </w:r>
          </w:p>
          <w:p w14:paraId="3713F39A" w14:textId="77777777" w:rsidR="00450601" w:rsidRPr="00466A33" w:rsidRDefault="00450601" w:rsidP="00703332">
            <w:pPr>
              <w:pBdr>
                <w:top w:val="nil"/>
                <w:left w:val="nil"/>
                <w:bottom w:val="nil"/>
                <w:right w:val="nil"/>
                <w:between w:val="nil"/>
              </w:pBdr>
              <w:rPr>
                <w:i/>
                <w:color w:val="444444"/>
              </w:rPr>
            </w:pPr>
            <w:r w:rsidRPr="00466A33">
              <w:rPr>
                <w:i/>
                <w:color w:val="444444"/>
              </w:rPr>
              <w:t>Examples:</w:t>
            </w:r>
          </w:p>
          <w:p w14:paraId="13752966" w14:textId="77777777" w:rsidR="00450601" w:rsidRPr="00466A33" w:rsidRDefault="00450601" w:rsidP="00703332">
            <w:pPr>
              <w:pBdr>
                <w:top w:val="nil"/>
                <w:left w:val="nil"/>
                <w:bottom w:val="nil"/>
                <w:right w:val="nil"/>
                <w:between w:val="nil"/>
              </w:pBdr>
              <w:rPr>
                <w:i/>
                <w:color w:val="444444"/>
              </w:rPr>
            </w:pPr>
            <w:r w:rsidRPr="00466A33">
              <w:rPr>
                <w:i/>
                <w:color w:val="444444"/>
              </w:rPr>
              <w:t>Static code analysis</w:t>
            </w:r>
          </w:p>
          <w:p w14:paraId="10C1E85A" w14:textId="77777777" w:rsidR="00450601" w:rsidRPr="00466A33" w:rsidRDefault="00450601" w:rsidP="00703332">
            <w:pPr>
              <w:pBdr>
                <w:top w:val="nil"/>
                <w:left w:val="nil"/>
                <w:bottom w:val="nil"/>
                <w:right w:val="nil"/>
                <w:between w:val="nil"/>
              </w:pBdr>
              <w:rPr>
                <w:i/>
                <w:color w:val="444444"/>
              </w:rPr>
            </w:pPr>
            <w:r w:rsidRPr="00466A33">
              <w:rPr>
                <w:i/>
                <w:color w:val="444444"/>
              </w:rPr>
              <w:t>Dynamic code analysis</w:t>
            </w:r>
          </w:p>
          <w:p w14:paraId="79FB844E" w14:textId="77777777" w:rsidR="00450601" w:rsidRPr="00466A33" w:rsidRDefault="00450601" w:rsidP="00703332">
            <w:pPr>
              <w:pBdr>
                <w:top w:val="nil"/>
                <w:left w:val="nil"/>
                <w:bottom w:val="nil"/>
                <w:right w:val="nil"/>
                <w:between w:val="nil"/>
              </w:pBdr>
              <w:rPr>
                <w:i/>
                <w:color w:val="444444"/>
              </w:rPr>
            </w:pPr>
            <w:r w:rsidRPr="00466A33">
              <w:rPr>
                <w:i/>
                <w:color w:val="444444"/>
              </w:rPr>
              <w:t>Configuration scan tool (CM-6)</w:t>
            </w:r>
          </w:p>
          <w:p w14:paraId="410FACB5" w14:textId="77777777" w:rsidR="00450601" w:rsidRPr="00466A33" w:rsidRDefault="00450601" w:rsidP="6515EF5F">
            <w:pPr>
              <w:pBdr>
                <w:top w:val="nil"/>
                <w:left w:val="nil"/>
                <w:bottom w:val="nil"/>
                <w:right w:val="nil"/>
                <w:between w:val="nil"/>
              </w:pBdr>
              <w:rPr>
                <w:i/>
                <w:iCs/>
                <w:color w:val="444444"/>
                <w:lang w:val="en-US"/>
              </w:rPr>
            </w:pPr>
            <w:proofErr w:type="gramStart"/>
            <w:r w:rsidRPr="6515EF5F">
              <w:rPr>
                <w:i/>
                <w:iCs/>
                <w:color w:val="444444"/>
                <w:lang w:val="en-US"/>
              </w:rPr>
              <w:t>Open source</w:t>
            </w:r>
            <w:proofErr w:type="gramEnd"/>
            <w:r w:rsidRPr="6515EF5F">
              <w:rPr>
                <w:i/>
                <w:iCs/>
                <w:color w:val="444444"/>
                <w:lang w:val="en-US"/>
              </w:rPr>
              <w:t xml:space="preserve"> scan tools (if applicable)</w:t>
            </w:r>
          </w:p>
          <w:p w14:paraId="116165B6" w14:textId="77777777" w:rsidR="00450601" w:rsidRPr="00466A33" w:rsidRDefault="00450601" w:rsidP="6515EF5F">
            <w:pPr>
              <w:pBdr>
                <w:top w:val="nil"/>
                <w:left w:val="nil"/>
                <w:bottom w:val="nil"/>
                <w:right w:val="nil"/>
                <w:between w:val="nil"/>
              </w:pBdr>
              <w:rPr>
                <w:i/>
                <w:iCs/>
                <w:color w:val="444444"/>
                <w:lang w:val="en-US"/>
              </w:rPr>
            </w:pPr>
            <w:r w:rsidRPr="6515EF5F">
              <w:rPr>
                <w:i/>
                <w:iCs/>
                <w:color w:val="444444"/>
                <w:lang w:val="en-US"/>
              </w:rPr>
              <w:t>If there are no other tools used, mark this section as “Not Applicable”.</w:t>
            </w:r>
          </w:p>
          <w:p w14:paraId="6087B54E" w14:textId="77777777" w:rsidR="00450601" w:rsidRPr="00466A33" w:rsidRDefault="00450601" w:rsidP="00D80036">
            <w:pPr>
              <w:pStyle w:val="deletioninstruction"/>
            </w:pPr>
            <w:r w:rsidRPr="00466A33">
              <w:t>Delete this and all other instructional text from your final version of this document.</w:t>
            </w:r>
          </w:p>
        </w:tc>
      </w:tr>
    </w:tbl>
    <w:p w14:paraId="0B791CB0" w14:textId="77777777" w:rsidR="00450601" w:rsidRPr="00466A33" w:rsidRDefault="00450601" w:rsidP="00450601"/>
    <w:p w14:paraId="71D5387F" w14:textId="49577D63" w:rsidR="00450601" w:rsidRPr="00466A33" w:rsidRDefault="00450601" w:rsidP="00450601">
      <w:r w:rsidRPr="6515EF5F">
        <w:rPr>
          <w:lang w:val="en-US"/>
        </w:rPr>
        <w:t xml:space="preserve">The table below includes both the authenticated raw scan files and the human-readable version(s) from this assessment. Any new vulnerabilities introduced in remediation scan files, </w:t>
      </w:r>
      <w:r w:rsidRPr="6515EF5F">
        <w:rPr>
          <w:lang w:val="en-US"/>
        </w:rPr>
        <w:lastRenderedPageBreak/>
        <w:t>included in the table below and detected as of &lt;Insert MM/DD/YYYY&gt;</w:t>
      </w:r>
      <w:r w:rsidR="00E73F9B">
        <w:rPr>
          <w:lang w:val="en-US"/>
        </w:rPr>
        <w:t>,</w:t>
      </w:r>
      <w:r w:rsidRPr="6515EF5F">
        <w:rPr>
          <w:lang w:val="en-US"/>
        </w:rPr>
        <w:t xml:space="preserve"> are outside the scope of this assessment. These new findings must be captured in a CSP's POA&amp;M, for monthly continuous monitoring, in accordance with FedRAMP’s POA&amp;M guidance.</w:t>
      </w:r>
    </w:p>
    <w:p w14:paraId="0C3189D5" w14:textId="77777777" w:rsidR="00450601" w:rsidRPr="00466A33" w:rsidRDefault="00450601" w:rsidP="00450601">
      <w:pPr>
        <w:pStyle w:val="Caption"/>
      </w:pPr>
    </w:p>
    <w:p w14:paraId="3219C237" w14:textId="5C322E92" w:rsidR="00450601" w:rsidRPr="00466A33" w:rsidRDefault="00450601" w:rsidP="00450601">
      <w:pPr>
        <w:pStyle w:val="Caption"/>
      </w:pPr>
      <w:r w:rsidRPr="00466A33">
        <w:t>Table C-5 Other Automated and Miscellaneous Tool Results: List of Raw Scan Result Files</w:t>
      </w:r>
    </w:p>
    <w:tbl>
      <w:tblPr>
        <w:tblStyle w:val="FedRAMP"/>
        <w:tblW w:w="9350" w:type="dxa"/>
        <w:tblLayout w:type="fixed"/>
        <w:tblLook w:val="0020" w:firstRow="1" w:lastRow="0" w:firstColumn="0" w:lastColumn="0" w:noHBand="0" w:noVBand="0"/>
      </w:tblPr>
      <w:tblGrid>
        <w:gridCol w:w="4675"/>
        <w:gridCol w:w="4675"/>
      </w:tblGrid>
      <w:tr w:rsidR="00833E3E" w:rsidRPr="00466A33" w14:paraId="0178666F"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tcPr>
          <w:p w14:paraId="4832FC0E"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tcPr>
          <w:p w14:paraId="66FC8B49"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33E3E" w:rsidRPr="00466A33" w14:paraId="1D542492" w14:textId="77777777" w:rsidTr="006167FB">
        <w:trPr>
          <w:cnfStyle w:val="000000100000" w:firstRow="0" w:lastRow="0" w:firstColumn="0" w:lastColumn="0" w:oddVBand="0" w:evenVBand="0" w:oddHBand="1" w:evenHBand="0" w:firstRowFirstColumn="0" w:firstRowLastColumn="0" w:lastRowFirstColumn="0" w:lastRowLastColumn="0"/>
        </w:trPr>
        <w:tc>
          <w:tcPr>
            <w:tcW w:w="4675" w:type="dxa"/>
          </w:tcPr>
          <w:p w14:paraId="02FE6DEB"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75CB8FAF"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25A6E7B0" w14:textId="77777777" w:rsidTr="006167FB">
        <w:trPr>
          <w:cnfStyle w:val="000000010000" w:firstRow="0" w:lastRow="0" w:firstColumn="0" w:lastColumn="0" w:oddVBand="0" w:evenVBand="0" w:oddHBand="0" w:evenHBand="1" w:firstRowFirstColumn="0" w:firstRowLastColumn="0" w:lastRowFirstColumn="0" w:lastRowLastColumn="0"/>
        </w:trPr>
        <w:tc>
          <w:tcPr>
            <w:tcW w:w="4675" w:type="dxa"/>
          </w:tcPr>
          <w:p w14:paraId="400BC73C"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1EE72C9B"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39670ED9" w14:textId="77777777" w:rsidTr="006167FB">
        <w:trPr>
          <w:cnfStyle w:val="000000100000" w:firstRow="0" w:lastRow="0" w:firstColumn="0" w:lastColumn="0" w:oddVBand="0" w:evenVBand="0" w:oddHBand="1" w:evenHBand="0" w:firstRowFirstColumn="0" w:firstRowLastColumn="0" w:lastRowFirstColumn="0" w:lastRowLastColumn="0"/>
        </w:trPr>
        <w:tc>
          <w:tcPr>
            <w:tcW w:w="4675" w:type="dxa"/>
          </w:tcPr>
          <w:p w14:paraId="0F131951"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6ABEEBC0" w14:textId="77777777" w:rsidR="00833E3E" w:rsidRPr="00466A33" w:rsidRDefault="00833E3E" w:rsidP="00450601">
            <w:pPr>
              <w:pStyle w:val="Tabletextlight"/>
              <w:spacing w:before="80" w:after="80" w:line="288" w:lineRule="auto"/>
              <w:rPr>
                <w:rFonts w:ascii="Arial" w:hAnsi="Arial" w:cs="Arial"/>
              </w:rPr>
            </w:pPr>
          </w:p>
        </w:tc>
      </w:tr>
    </w:tbl>
    <w:p w14:paraId="78B180D2" w14:textId="36A23BB4" w:rsidR="00450601" w:rsidRPr="00466A33" w:rsidRDefault="00833E3E" w:rsidP="00450601">
      <w:pPr>
        <w:pStyle w:val="Appendix3"/>
      </w:pPr>
      <w:r w:rsidRPr="00466A33">
        <w:t>Other Automated and Miscellaneous Tool Results: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67A3F75" w14:textId="77777777" w:rsidTr="00703332">
        <w:trPr>
          <w:trHeight w:val="57"/>
        </w:trPr>
        <w:tc>
          <w:tcPr>
            <w:tcW w:w="9350" w:type="dxa"/>
            <w:shd w:val="clear" w:color="auto" w:fill="19447F"/>
          </w:tcPr>
          <w:p w14:paraId="0AD3B2AD"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78D3F9B0" w14:textId="77777777" w:rsidTr="00703332">
        <w:trPr>
          <w:trHeight w:val="57"/>
        </w:trPr>
        <w:tc>
          <w:tcPr>
            <w:tcW w:w="9350" w:type="dxa"/>
            <w:shd w:val="clear" w:color="auto" w:fill="F2F2F2"/>
          </w:tcPr>
          <w:p w14:paraId="4AE15693" w14:textId="77777777" w:rsidR="00450601" w:rsidRPr="00466A33" w:rsidRDefault="00450601" w:rsidP="00703332">
            <w:pPr>
              <w:pBdr>
                <w:top w:val="nil"/>
                <w:left w:val="nil"/>
                <w:bottom w:val="nil"/>
                <w:right w:val="nil"/>
                <w:between w:val="nil"/>
              </w:pBdr>
              <w:rPr>
                <w:i/>
                <w:color w:val="444444"/>
              </w:rPr>
            </w:pPr>
            <w:r w:rsidRPr="00466A33">
              <w:rPr>
                <w:i/>
                <w:color w:val="444444"/>
              </w:rPr>
              <w:t>Follow the same instructions noted in the OS/Infrastructure, Database, Web Application, Containers sections. If there are no other tools used, mark this section as “Not Applicable.”</w:t>
            </w:r>
          </w:p>
          <w:p w14:paraId="41C334F9" w14:textId="77777777" w:rsidR="00450601" w:rsidRPr="00466A33" w:rsidRDefault="00450601" w:rsidP="00D80036">
            <w:pPr>
              <w:pStyle w:val="deletioninstruction"/>
            </w:pPr>
            <w:r w:rsidRPr="00466A33">
              <w:t>Delete this and all other instructional text from your final version of this document.</w:t>
            </w:r>
          </w:p>
        </w:tc>
      </w:tr>
    </w:tbl>
    <w:p w14:paraId="01CC55E4" w14:textId="77777777" w:rsidR="00E73F9B" w:rsidRDefault="00E73F9B" w:rsidP="00450601">
      <w:pPr>
        <w:rPr>
          <w:lang w:val="en-US"/>
        </w:rPr>
      </w:pPr>
    </w:p>
    <w:p w14:paraId="52CC833E" w14:textId="3C722398" w:rsidR="00450601" w:rsidRPr="00466A33" w:rsidRDefault="00450601" w:rsidP="00450601">
      <w:r w:rsidRPr="6515EF5F">
        <w:rPr>
          <w:lang w:val="en-US"/>
        </w:rPr>
        <w:t>&lt;Insert IA Name&gt; has validated all FPs identified. While a validated FP confirms that there was no weakness present to correct, validated FPs are documented in the “Risks Corrected During Testing” tab of the RET as a convenient way to track FPs.</w:t>
      </w:r>
    </w:p>
    <w:p w14:paraId="1B4A0A5D" w14:textId="027C43EB" w:rsidR="00450601" w:rsidRPr="00466A33" w:rsidRDefault="00450601" w:rsidP="00450601">
      <w:pPr>
        <w:pStyle w:val="Appendix2"/>
      </w:pPr>
      <w:r w:rsidRPr="00466A33">
        <w:t>Unauthenticated Scans</w:t>
      </w:r>
    </w:p>
    <w:p w14:paraId="36FCFB09" w14:textId="1707ACE0" w:rsidR="00833E3E" w:rsidRPr="00466A33" w:rsidRDefault="00450601" w:rsidP="00450601">
      <w:r w:rsidRPr="6515EF5F">
        <w:rPr>
          <w:lang w:val="en-US"/>
        </w:rPr>
        <w:t xml:space="preserve">FedRAMP defines the thresholds for unauthenticated scans, where authenticated scans are possible under different circumstances (e.g., proper account configuration), in the </w:t>
      </w:r>
      <w:hyperlink r:id="rId27">
        <w:r w:rsidRPr="6515EF5F">
          <w:rPr>
            <w:rStyle w:val="Hyperlink"/>
            <w:lang w:val="en-US"/>
          </w:rPr>
          <w:t>FedRAMP Continuous Monitoring Performance Management Guide</w:t>
        </w:r>
      </w:hyperlink>
      <w:r w:rsidRPr="6515EF5F">
        <w:rPr>
          <w:lang w:val="en-US"/>
        </w:rPr>
        <w:t>. Non-compliance with this threshold is documented as an open finding in the RET. Where authenticated scans are not possible, under any circumstances, &lt;Insert IA Name&gt; has documented the component, rationale</w:t>
      </w:r>
      <w:r w:rsidR="00E73F9B">
        <w:rPr>
          <w:lang w:val="en-US"/>
        </w:rPr>
        <w:t>,</w:t>
      </w:r>
      <w:r w:rsidRPr="6515EF5F">
        <w:rPr>
          <w:lang w:val="en-US"/>
        </w:rPr>
        <w:t xml:space="preserve"> and the alternative assessment performed in Table C-7</w:t>
      </w:r>
      <w:r w:rsidR="0085299D">
        <w:rPr>
          <w:lang w:val="en-US"/>
        </w:rPr>
        <w:t xml:space="preserve"> </w:t>
      </w:r>
      <w:r w:rsidRPr="6515EF5F">
        <w:rPr>
          <w:lang w:val="en-US"/>
        </w:rPr>
        <w:t>below</w:t>
      </w:r>
      <w:r w:rsidR="00833E3E" w:rsidRPr="6515EF5F">
        <w:rPr>
          <w:lang w:val="en-US"/>
        </w:rPr>
        <w:t>.</w:t>
      </w:r>
    </w:p>
    <w:p w14:paraId="07DB69FB" w14:textId="77777777" w:rsidR="00450601" w:rsidRPr="00466A33" w:rsidRDefault="00450601" w:rsidP="00450601">
      <w:pPr>
        <w:pStyle w:val="Caption"/>
      </w:pPr>
    </w:p>
    <w:p w14:paraId="36EED58F" w14:textId="6AB39EAE" w:rsidR="00450601" w:rsidRPr="00466A33" w:rsidRDefault="00450601" w:rsidP="00450601">
      <w:pPr>
        <w:pStyle w:val="Caption"/>
      </w:pPr>
      <w:r w:rsidRPr="00466A33">
        <w:t>Table C-6 Summary of Unauthenticated Scans</w:t>
      </w:r>
    </w:p>
    <w:tbl>
      <w:tblPr>
        <w:tblStyle w:val="FedRAMP"/>
        <w:tblW w:w="9360" w:type="dxa"/>
        <w:tblLayout w:type="fixed"/>
        <w:tblLook w:val="0020" w:firstRow="1" w:lastRow="0" w:firstColumn="0" w:lastColumn="0" w:noHBand="0" w:noVBand="0"/>
      </w:tblPr>
      <w:tblGrid>
        <w:gridCol w:w="2340"/>
        <w:gridCol w:w="2340"/>
        <w:gridCol w:w="2340"/>
        <w:gridCol w:w="2340"/>
      </w:tblGrid>
      <w:tr w:rsidR="00450601" w:rsidRPr="00466A33" w14:paraId="3C1B25EF"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2340" w:type="dxa"/>
          </w:tcPr>
          <w:p w14:paraId="2F08511F" w14:textId="77777777" w:rsidR="00450601" w:rsidRPr="00466A33" w:rsidRDefault="00450601" w:rsidP="00450601">
            <w:pPr>
              <w:pBdr>
                <w:top w:val="nil"/>
                <w:left w:val="nil"/>
                <w:bottom w:val="nil"/>
                <w:right w:val="nil"/>
                <w:between w:val="nil"/>
              </w:pBdr>
              <w:spacing w:before="80" w:after="80" w:line="288" w:lineRule="auto"/>
              <w:rPr>
                <w:rFonts w:ascii="Arial" w:hAnsi="Arial"/>
                <w:color w:val="454545"/>
              </w:rPr>
            </w:pPr>
            <w:r w:rsidRPr="00466A33">
              <w:rPr>
                <w:rFonts w:ascii="Arial" w:hAnsi="Arial"/>
                <w:color w:val="454545"/>
                <w:szCs w:val="22"/>
              </w:rPr>
              <w:lastRenderedPageBreak/>
              <w:t>Identifier</w:t>
            </w:r>
          </w:p>
        </w:tc>
        <w:tc>
          <w:tcPr>
            <w:tcW w:w="2340" w:type="dxa"/>
          </w:tcPr>
          <w:p w14:paraId="6D1CE56E" w14:textId="77777777" w:rsidR="00450601" w:rsidRPr="00466A33" w:rsidRDefault="00450601" w:rsidP="00450601">
            <w:pPr>
              <w:pBdr>
                <w:top w:val="nil"/>
                <w:left w:val="nil"/>
                <w:bottom w:val="nil"/>
                <w:right w:val="nil"/>
                <w:between w:val="nil"/>
              </w:pBdr>
              <w:spacing w:before="80" w:after="80" w:line="288" w:lineRule="auto"/>
              <w:rPr>
                <w:rFonts w:ascii="Arial" w:hAnsi="Arial"/>
                <w:color w:val="454545"/>
              </w:rPr>
            </w:pPr>
            <w:r w:rsidRPr="00466A33">
              <w:rPr>
                <w:rFonts w:ascii="Arial" w:hAnsi="Arial"/>
                <w:color w:val="454545"/>
                <w:szCs w:val="22"/>
              </w:rPr>
              <w:t>Product/Embedded Component Description</w:t>
            </w:r>
          </w:p>
        </w:tc>
        <w:tc>
          <w:tcPr>
            <w:tcW w:w="2340" w:type="dxa"/>
          </w:tcPr>
          <w:p w14:paraId="089A9EA2" w14:textId="77777777" w:rsidR="00450601" w:rsidRPr="00466A33" w:rsidRDefault="00450601" w:rsidP="00450601">
            <w:pPr>
              <w:pBdr>
                <w:top w:val="nil"/>
                <w:left w:val="nil"/>
                <w:bottom w:val="nil"/>
                <w:right w:val="nil"/>
                <w:between w:val="nil"/>
              </w:pBdr>
              <w:tabs>
                <w:tab w:val="left" w:pos="9423"/>
              </w:tabs>
              <w:spacing w:before="80" w:after="80" w:line="288" w:lineRule="auto"/>
              <w:rPr>
                <w:rFonts w:ascii="Arial" w:hAnsi="Arial"/>
                <w:color w:val="454545"/>
              </w:rPr>
            </w:pPr>
            <w:r w:rsidRPr="00466A33">
              <w:rPr>
                <w:rFonts w:ascii="Arial" w:hAnsi="Arial"/>
                <w:color w:val="454545"/>
                <w:szCs w:val="22"/>
              </w:rPr>
              <w:t>Rationale</w:t>
            </w:r>
          </w:p>
        </w:tc>
        <w:tc>
          <w:tcPr>
            <w:tcW w:w="2340" w:type="dxa"/>
          </w:tcPr>
          <w:p w14:paraId="2EC44F18" w14:textId="77777777" w:rsidR="00450601" w:rsidRPr="00466A33" w:rsidRDefault="00450601" w:rsidP="00450601">
            <w:pPr>
              <w:pBdr>
                <w:top w:val="nil"/>
                <w:left w:val="nil"/>
                <w:bottom w:val="nil"/>
                <w:right w:val="nil"/>
                <w:between w:val="nil"/>
              </w:pBdr>
              <w:spacing w:before="80" w:after="80" w:line="288" w:lineRule="auto"/>
              <w:rPr>
                <w:rFonts w:ascii="Arial" w:hAnsi="Arial"/>
                <w:color w:val="454545"/>
              </w:rPr>
            </w:pPr>
            <w:r w:rsidRPr="00466A33">
              <w:rPr>
                <w:rFonts w:ascii="Arial" w:hAnsi="Arial"/>
                <w:color w:val="454545"/>
                <w:szCs w:val="22"/>
              </w:rPr>
              <w:t>Alternative Assessment Methodology Description</w:t>
            </w:r>
          </w:p>
        </w:tc>
      </w:tr>
      <w:tr w:rsidR="00450601" w:rsidRPr="00466A33" w14:paraId="0ED0E0DC" w14:textId="77777777" w:rsidTr="00450601">
        <w:trPr>
          <w:cnfStyle w:val="000000100000" w:firstRow="0" w:lastRow="0" w:firstColumn="0" w:lastColumn="0" w:oddVBand="0" w:evenVBand="0" w:oddHBand="1" w:evenHBand="0" w:firstRowFirstColumn="0" w:firstRowLastColumn="0" w:lastRowFirstColumn="0" w:lastRowLastColumn="0"/>
        </w:trPr>
        <w:tc>
          <w:tcPr>
            <w:tcW w:w="2340" w:type="dxa"/>
          </w:tcPr>
          <w:p w14:paraId="788B0FF9" w14:textId="77777777" w:rsidR="00450601" w:rsidRPr="00466A33" w:rsidRDefault="00450601" w:rsidP="00450601">
            <w:pPr>
              <w:pBdr>
                <w:top w:val="nil"/>
                <w:left w:val="nil"/>
                <w:bottom w:val="nil"/>
                <w:right w:val="nil"/>
                <w:between w:val="nil"/>
              </w:pBdr>
              <w:spacing w:before="80" w:after="80" w:line="288" w:lineRule="auto"/>
              <w:rPr>
                <w:color w:val="808080"/>
              </w:rPr>
            </w:pPr>
            <w:r w:rsidRPr="00466A33">
              <w:rPr>
                <w:color w:val="808080"/>
                <w:szCs w:val="22"/>
              </w:rPr>
              <w:t>UN0001</w:t>
            </w:r>
          </w:p>
        </w:tc>
        <w:tc>
          <w:tcPr>
            <w:tcW w:w="2340" w:type="dxa"/>
          </w:tcPr>
          <w:p w14:paraId="09F0AE9C"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7167408E"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21247608" w14:textId="77777777" w:rsidR="00450601" w:rsidRPr="00466A33" w:rsidRDefault="00450601" w:rsidP="00450601">
            <w:pPr>
              <w:pBdr>
                <w:top w:val="nil"/>
                <w:left w:val="nil"/>
                <w:bottom w:val="nil"/>
                <w:right w:val="nil"/>
                <w:between w:val="nil"/>
              </w:pBdr>
              <w:spacing w:before="80" w:after="80" w:line="288" w:lineRule="auto"/>
              <w:rPr>
                <w:color w:val="808080"/>
              </w:rPr>
            </w:pPr>
          </w:p>
        </w:tc>
      </w:tr>
      <w:tr w:rsidR="00450601" w:rsidRPr="00466A33" w14:paraId="27877612" w14:textId="77777777" w:rsidTr="00450601">
        <w:trPr>
          <w:cnfStyle w:val="000000010000" w:firstRow="0" w:lastRow="0" w:firstColumn="0" w:lastColumn="0" w:oddVBand="0" w:evenVBand="0" w:oddHBand="0" w:evenHBand="1" w:firstRowFirstColumn="0" w:firstRowLastColumn="0" w:lastRowFirstColumn="0" w:lastRowLastColumn="0"/>
        </w:trPr>
        <w:tc>
          <w:tcPr>
            <w:tcW w:w="2340" w:type="dxa"/>
          </w:tcPr>
          <w:p w14:paraId="7E4F0420"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385E4646"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13BAAEA5"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7BCAA0CB" w14:textId="77777777" w:rsidR="00450601" w:rsidRPr="00466A33" w:rsidRDefault="00450601" w:rsidP="00450601">
            <w:pPr>
              <w:pBdr>
                <w:top w:val="nil"/>
                <w:left w:val="nil"/>
                <w:bottom w:val="nil"/>
                <w:right w:val="nil"/>
                <w:between w:val="nil"/>
              </w:pBdr>
              <w:spacing w:before="80" w:after="80" w:line="288" w:lineRule="auto"/>
              <w:rPr>
                <w:color w:val="808080"/>
              </w:rPr>
            </w:pPr>
          </w:p>
        </w:tc>
      </w:tr>
      <w:tr w:rsidR="00450601" w:rsidRPr="00466A33" w14:paraId="44C57FA8" w14:textId="77777777" w:rsidTr="00450601">
        <w:trPr>
          <w:cnfStyle w:val="000000100000" w:firstRow="0" w:lastRow="0" w:firstColumn="0" w:lastColumn="0" w:oddVBand="0" w:evenVBand="0" w:oddHBand="1" w:evenHBand="0" w:firstRowFirstColumn="0" w:firstRowLastColumn="0" w:lastRowFirstColumn="0" w:lastRowLastColumn="0"/>
        </w:trPr>
        <w:tc>
          <w:tcPr>
            <w:tcW w:w="2340" w:type="dxa"/>
          </w:tcPr>
          <w:p w14:paraId="12C960CA"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5292ED77"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69ACBE07"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2302FD8B" w14:textId="77777777" w:rsidR="00450601" w:rsidRPr="00466A33" w:rsidRDefault="00450601" w:rsidP="00450601">
            <w:pPr>
              <w:pBdr>
                <w:top w:val="nil"/>
                <w:left w:val="nil"/>
                <w:bottom w:val="nil"/>
                <w:right w:val="nil"/>
                <w:between w:val="nil"/>
              </w:pBdr>
              <w:spacing w:before="80" w:after="80" w:line="288" w:lineRule="auto"/>
              <w:rPr>
                <w:color w:val="808080"/>
              </w:rPr>
            </w:pPr>
          </w:p>
        </w:tc>
      </w:tr>
    </w:tbl>
    <w:p w14:paraId="638308B1" w14:textId="483C2022" w:rsidR="007D1877" w:rsidRPr="00466A33" w:rsidRDefault="00450601" w:rsidP="00863D98">
      <w:pPr>
        <w:pStyle w:val="Appendix1"/>
      </w:pPr>
      <w:bookmarkStart w:id="33" w:name="_Toc184297605"/>
      <w:r w:rsidRPr="00466A33">
        <w:t>Documentation Review Findings</w:t>
      </w:r>
      <w:bookmarkEnd w:id="3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3B37434" w14:textId="77777777" w:rsidTr="00703332">
        <w:trPr>
          <w:trHeight w:val="57"/>
        </w:trPr>
        <w:tc>
          <w:tcPr>
            <w:tcW w:w="9350" w:type="dxa"/>
            <w:shd w:val="clear" w:color="auto" w:fill="19447F"/>
          </w:tcPr>
          <w:p w14:paraId="02528B37"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30D3E1A" w14:textId="77777777" w:rsidTr="00703332">
        <w:trPr>
          <w:trHeight w:val="57"/>
        </w:trPr>
        <w:tc>
          <w:tcPr>
            <w:tcW w:w="9350" w:type="dxa"/>
            <w:shd w:val="clear" w:color="auto" w:fill="F2F2F2"/>
          </w:tcPr>
          <w:p w14:paraId="067DC3B7" w14:textId="0FC7801C" w:rsidR="00450601" w:rsidRPr="00466A33" w:rsidRDefault="00450601" w:rsidP="00703332">
            <w:pPr>
              <w:pBdr>
                <w:top w:val="nil"/>
                <w:left w:val="nil"/>
                <w:bottom w:val="nil"/>
                <w:right w:val="nil"/>
                <w:between w:val="nil"/>
              </w:pBdr>
              <w:rPr>
                <w:i/>
                <w:color w:val="444444"/>
              </w:rPr>
            </w:pPr>
            <w:r w:rsidRPr="00466A33">
              <w:rPr>
                <w:i/>
                <w:color w:val="444444"/>
              </w:rPr>
              <w:t xml:space="preserve">Review findings associated with control implementation statements are captured at a granular level in the </w:t>
            </w:r>
            <w:r w:rsidR="00E67979" w:rsidRPr="00466A33">
              <w:rPr>
                <w:i/>
                <w:color w:val="444444"/>
              </w:rPr>
              <w:t>SRTM</w:t>
            </w:r>
            <w:r w:rsidR="0025033A">
              <w:rPr>
                <w:i/>
                <w:color w:val="444444"/>
              </w:rPr>
              <w:t xml:space="preserve"> and </w:t>
            </w:r>
            <w:r w:rsidRPr="00466A33">
              <w:rPr>
                <w:i/>
                <w:color w:val="444444"/>
              </w:rPr>
              <w:t xml:space="preserve">must also be captured in the RET </w:t>
            </w:r>
            <w:r w:rsidR="00E67979">
              <w:rPr>
                <w:i/>
                <w:color w:val="444444"/>
              </w:rPr>
              <w:t>at a granular level</w:t>
            </w:r>
            <w:r w:rsidRPr="00466A33">
              <w:rPr>
                <w:i/>
                <w:color w:val="444444"/>
              </w:rPr>
              <w:t>. Enter “Documentation Review” in the “</w:t>
            </w:r>
            <w:r w:rsidR="006B7D28" w:rsidRPr="00466A33">
              <w:rPr>
                <w:i/>
                <w:color w:val="444444"/>
              </w:rPr>
              <w:t>Weakness Detector Source</w:t>
            </w:r>
            <w:r w:rsidRPr="00466A33">
              <w:rPr>
                <w:i/>
                <w:color w:val="444444"/>
              </w:rPr>
              <w:t xml:space="preserve">” column in the RET. </w:t>
            </w:r>
          </w:p>
          <w:p w14:paraId="21C9FF47" w14:textId="77777777" w:rsidR="00450601" w:rsidRPr="00466A33" w:rsidRDefault="00450601" w:rsidP="00703332">
            <w:pPr>
              <w:pBdr>
                <w:top w:val="nil"/>
                <w:left w:val="nil"/>
                <w:bottom w:val="nil"/>
                <w:right w:val="nil"/>
                <w:between w:val="nil"/>
              </w:pBdr>
              <w:rPr>
                <w:i/>
                <w:color w:val="444444"/>
              </w:rPr>
            </w:pPr>
            <w:r w:rsidRPr="00466A33">
              <w:rPr>
                <w:i/>
                <w:color w:val="444444"/>
              </w:rPr>
              <w:t>Documentation findings associated with other portions of the SSP (e.g., incomplete, inaccurate, or inconsistent network boundary and data flow diagrams) must be captured as separate PL-2 findings in the RET.</w:t>
            </w:r>
          </w:p>
          <w:p w14:paraId="5D52F852" w14:textId="77777777" w:rsidR="00450601" w:rsidRPr="00466A33" w:rsidRDefault="00450601" w:rsidP="00D80036">
            <w:pPr>
              <w:pStyle w:val="deletioninstruction"/>
            </w:pPr>
            <w:r w:rsidRPr="00466A33">
              <w:t>Delete this and all other instructional text from your final version of this document.</w:t>
            </w:r>
          </w:p>
        </w:tc>
      </w:tr>
    </w:tbl>
    <w:p w14:paraId="0693B3BA" w14:textId="77777777" w:rsidR="00450601" w:rsidRPr="00466A33" w:rsidRDefault="00450601" w:rsidP="003C5B3B"/>
    <w:p w14:paraId="52BED2C8" w14:textId="15C1E0F8" w:rsidR="003C5B3B" w:rsidRPr="00466A33" w:rsidRDefault="00450601" w:rsidP="003C5B3B">
      <w:r w:rsidRPr="00466A33">
        <w:t>All findings, including documentation review findings, are detailed in the SRTM and RET.</w:t>
      </w:r>
    </w:p>
    <w:p w14:paraId="1440F14F" w14:textId="522415E7" w:rsidR="00DC4E45" w:rsidRPr="00466A33" w:rsidRDefault="003C5B3B" w:rsidP="00863D98">
      <w:pPr>
        <w:pStyle w:val="Appendix1"/>
      </w:pPr>
      <w:bookmarkStart w:id="34" w:name="_Toc184297606"/>
      <w:r w:rsidRPr="00466A33">
        <w:t>Auxiliary Documents</w:t>
      </w:r>
      <w:bookmarkEnd w:id="3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78BF4E5" w14:textId="77777777" w:rsidTr="6515EF5F">
        <w:trPr>
          <w:trHeight w:val="57"/>
        </w:trPr>
        <w:tc>
          <w:tcPr>
            <w:tcW w:w="9350" w:type="dxa"/>
            <w:shd w:val="clear" w:color="auto" w:fill="19447F" w:themeFill="accent2"/>
          </w:tcPr>
          <w:p w14:paraId="12D885A6"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4C944F1A" w14:textId="77777777" w:rsidTr="6515EF5F">
        <w:trPr>
          <w:trHeight w:val="57"/>
        </w:trPr>
        <w:tc>
          <w:tcPr>
            <w:tcW w:w="9350" w:type="dxa"/>
            <w:shd w:val="clear" w:color="auto" w:fill="F2F2F2" w:themeFill="background1" w:themeFillShade="F2"/>
          </w:tcPr>
          <w:p w14:paraId="6F3EA285" w14:textId="04304E8B" w:rsidR="00450601" w:rsidRPr="00466A33" w:rsidRDefault="00450601" w:rsidP="6515EF5F">
            <w:pPr>
              <w:rPr>
                <w:i/>
                <w:iCs/>
                <w:color w:val="444444"/>
                <w:lang w:val="en-US"/>
              </w:rPr>
            </w:pPr>
            <w:r w:rsidRPr="6515EF5F">
              <w:rPr>
                <w:i/>
                <w:iCs/>
                <w:color w:val="444444"/>
                <w:lang w:val="en-US"/>
              </w:rPr>
              <w:t>Auxiliary documents are referenced in the SRTM “Evidence” column that go beyond the Appendices included with the SSP. Auxiliary documents must be readily available to reviewers via a CSP’s secure repository.</w:t>
            </w:r>
          </w:p>
          <w:p w14:paraId="50EDC466" w14:textId="77777777" w:rsidR="00450601" w:rsidRPr="00466A33" w:rsidRDefault="00450601" w:rsidP="00D80036">
            <w:pPr>
              <w:pStyle w:val="deletioninstruction"/>
            </w:pPr>
            <w:r w:rsidRPr="00466A33">
              <w:t>Delete this and all other instructional text from your final version of this document.</w:t>
            </w:r>
          </w:p>
        </w:tc>
      </w:tr>
    </w:tbl>
    <w:p w14:paraId="6CAEAD03" w14:textId="77777777" w:rsidR="00E73F9B" w:rsidRDefault="00E73F9B" w:rsidP="0032333C"/>
    <w:p w14:paraId="125AA132" w14:textId="1C7FC4D4" w:rsidR="003C5B3B" w:rsidRPr="00466A33" w:rsidRDefault="00450601" w:rsidP="0032333C">
      <w:r w:rsidRPr="00466A33">
        <w:t>Auxiliary documents used by &lt;Insert IA Name&gt; to perform the testing for &lt;Insert CSO Name&gt; are listed below.</w:t>
      </w:r>
    </w:p>
    <w:p w14:paraId="50D34345" w14:textId="77777777" w:rsidR="00450601" w:rsidRPr="00466A33" w:rsidRDefault="00450601" w:rsidP="00450601">
      <w:pPr>
        <w:pStyle w:val="Caption"/>
      </w:pPr>
      <w:r w:rsidRPr="00466A33">
        <w:t>Table E-1 Auxiliary Documents</w:t>
      </w:r>
    </w:p>
    <w:tbl>
      <w:tblPr>
        <w:tblStyle w:val="FedRAMP"/>
        <w:tblW w:w="9360" w:type="dxa"/>
        <w:tblLayout w:type="fixed"/>
        <w:tblLook w:val="0020" w:firstRow="1" w:lastRow="0" w:firstColumn="0" w:lastColumn="0" w:noHBand="0" w:noVBand="0"/>
      </w:tblPr>
      <w:tblGrid>
        <w:gridCol w:w="3120"/>
        <w:gridCol w:w="1730"/>
        <w:gridCol w:w="4510"/>
      </w:tblGrid>
      <w:tr w:rsidR="003C5B3B" w:rsidRPr="00466A33" w14:paraId="6DC1597C"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120" w:type="dxa"/>
          </w:tcPr>
          <w:p w14:paraId="5C7B0343" w14:textId="77777777" w:rsidR="003C5B3B" w:rsidRPr="00466A33" w:rsidRDefault="003C5B3B" w:rsidP="00450601">
            <w:pPr>
              <w:pStyle w:val="Tabletitle"/>
              <w:spacing w:before="80" w:after="80" w:line="288" w:lineRule="auto"/>
              <w:rPr>
                <w:rFonts w:ascii="Arial" w:hAnsi="Arial"/>
                <w:b/>
                <w:bCs w:val="0"/>
              </w:rPr>
            </w:pPr>
            <w:r w:rsidRPr="00466A33">
              <w:rPr>
                <w:rFonts w:ascii="Arial" w:hAnsi="Arial"/>
                <w:b/>
                <w:bCs w:val="0"/>
              </w:rPr>
              <w:t>Title</w:t>
            </w:r>
          </w:p>
        </w:tc>
        <w:tc>
          <w:tcPr>
            <w:tcW w:w="1730" w:type="dxa"/>
          </w:tcPr>
          <w:p w14:paraId="7638FA34" w14:textId="77777777" w:rsidR="003C5B3B" w:rsidRPr="00466A33" w:rsidRDefault="003C5B3B" w:rsidP="00450601">
            <w:pPr>
              <w:pStyle w:val="Tabletitle"/>
              <w:spacing w:before="80" w:after="80" w:line="288" w:lineRule="auto"/>
              <w:rPr>
                <w:rFonts w:ascii="Arial" w:hAnsi="Arial"/>
                <w:b/>
                <w:bCs w:val="0"/>
              </w:rPr>
            </w:pPr>
            <w:r w:rsidRPr="00466A33">
              <w:rPr>
                <w:rFonts w:ascii="Arial" w:hAnsi="Arial"/>
                <w:b/>
                <w:bCs w:val="0"/>
              </w:rPr>
              <w:t>Version</w:t>
            </w:r>
          </w:p>
        </w:tc>
        <w:tc>
          <w:tcPr>
            <w:tcW w:w="4510" w:type="dxa"/>
          </w:tcPr>
          <w:p w14:paraId="02E38711" w14:textId="77777777" w:rsidR="003C5B3B" w:rsidRPr="00466A33" w:rsidRDefault="003C5B3B" w:rsidP="00450601">
            <w:pPr>
              <w:pStyle w:val="Tabletitle"/>
              <w:tabs>
                <w:tab w:val="left" w:pos="9423"/>
              </w:tabs>
              <w:spacing w:before="80" w:after="80" w:line="288" w:lineRule="auto"/>
              <w:rPr>
                <w:rFonts w:ascii="Arial" w:hAnsi="Arial"/>
                <w:b/>
                <w:bCs w:val="0"/>
              </w:rPr>
            </w:pPr>
            <w:r w:rsidRPr="00466A33">
              <w:rPr>
                <w:rFonts w:ascii="Arial" w:hAnsi="Arial"/>
                <w:b/>
                <w:bCs w:val="0"/>
              </w:rPr>
              <w:t>Filename</w:t>
            </w:r>
          </w:p>
        </w:tc>
      </w:tr>
      <w:tr w:rsidR="003C5B3B" w:rsidRPr="00466A33" w14:paraId="1DA96B93" w14:textId="77777777" w:rsidTr="006167FB">
        <w:trPr>
          <w:cnfStyle w:val="000000100000" w:firstRow="0" w:lastRow="0" w:firstColumn="0" w:lastColumn="0" w:oddVBand="0" w:evenVBand="0" w:oddHBand="1" w:evenHBand="0" w:firstRowFirstColumn="0" w:firstRowLastColumn="0" w:lastRowFirstColumn="0" w:lastRowLastColumn="0"/>
        </w:trPr>
        <w:tc>
          <w:tcPr>
            <w:tcW w:w="3120" w:type="dxa"/>
          </w:tcPr>
          <w:p w14:paraId="2D92E0BD"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76C4726C"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6966892D"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32B939BC" w14:textId="77777777" w:rsidTr="006167FB">
        <w:trPr>
          <w:cnfStyle w:val="000000010000" w:firstRow="0" w:lastRow="0" w:firstColumn="0" w:lastColumn="0" w:oddVBand="0" w:evenVBand="0" w:oddHBand="0" w:evenHBand="1" w:firstRowFirstColumn="0" w:firstRowLastColumn="0" w:lastRowFirstColumn="0" w:lastRowLastColumn="0"/>
        </w:trPr>
        <w:tc>
          <w:tcPr>
            <w:tcW w:w="3120" w:type="dxa"/>
          </w:tcPr>
          <w:p w14:paraId="0790B348"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553A9291"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4315B478"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778B38CB" w14:textId="77777777" w:rsidTr="006167FB">
        <w:trPr>
          <w:cnfStyle w:val="000000100000" w:firstRow="0" w:lastRow="0" w:firstColumn="0" w:lastColumn="0" w:oddVBand="0" w:evenVBand="0" w:oddHBand="1" w:evenHBand="0" w:firstRowFirstColumn="0" w:firstRowLastColumn="0" w:lastRowFirstColumn="0" w:lastRowLastColumn="0"/>
        </w:trPr>
        <w:tc>
          <w:tcPr>
            <w:tcW w:w="3120" w:type="dxa"/>
          </w:tcPr>
          <w:p w14:paraId="06E8A87C"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26943F97"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20585395"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4394F635" w14:textId="77777777" w:rsidTr="006167FB">
        <w:trPr>
          <w:cnfStyle w:val="000000010000" w:firstRow="0" w:lastRow="0" w:firstColumn="0" w:lastColumn="0" w:oddVBand="0" w:evenVBand="0" w:oddHBand="0" w:evenHBand="1" w:firstRowFirstColumn="0" w:firstRowLastColumn="0" w:lastRowFirstColumn="0" w:lastRowLastColumn="0"/>
        </w:trPr>
        <w:tc>
          <w:tcPr>
            <w:tcW w:w="3120" w:type="dxa"/>
          </w:tcPr>
          <w:p w14:paraId="330EB065"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5591D4DA"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569F97F2"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6C4C70B7" w14:textId="77777777" w:rsidTr="006167FB">
        <w:trPr>
          <w:cnfStyle w:val="000000100000" w:firstRow="0" w:lastRow="0" w:firstColumn="0" w:lastColumn="0" w:oddVBand="0" w:evenVBand="0" w:oddHBand="1" w:evenHBand="0" w:firstRowFirstColumn="0" w:firstRowLastColumn="0" w:lastRowFirstColumn="0" w:lastRowLastColumn="0"/>
        </w:trPr>
        <w:tc>
          <w:tcPr>
            <w:tcW w:w="3120" w:type="dxa"/>
          </w:tcPr>
          <w:p w14:paraId="44B61A2F"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19174921"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2D5D387A" w14:textId="77777777" w:rsidR="003C5B3B" w:rsidRPr="00466A33" w:rsidRDefault="003C5B3B" w:rsidP="00450601">
            <w:pPr>
              <w:pStyle w:val="Tabletextlight"/>
              <w:spacing w:before="80" w:after="80" w:line="288" w:lineRule="auto"/>
              <w:rPr>
                <w:rFonts w:ascii="Arial" w:hAnsi="Arial" w:cs="Arial"/>
              </w:rPr>
            </w:pPr>
          </w:p>
        </w:tc>
      </w:tr>
    </w:tbl>
    <w:p w14:paraId="0A74E331" w14:textId="2E57FD78" w:rsidR="00DC4E45" w:rsidRPr="00466A33" w:rsidRDefault="003C5B3B" w:rsidP="00863D98">
      <w:pPr>
        <w:pStyle w:val="Appendix1"/>
      </w:pPr>
      <w:bookmarkStart w:id="35" w:name="_Toc184297607"/>
      <w:r w:rsidRPr="00466A33">
        <w:t>Penetration Test Report</w:t>
      </w:r>
      <w:bookmarkEnd w:id="3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14AC74A" w14:textId="77777777" w:rsidTr="00703332">
        <w:trPr>
          <w:trHeight w:val="57"/>
        </w:trPr>
        <w:tc>
          <w:tcPr>
            <w:tcW w:w="9350" w:type="dxa"/>
            <w:shd w:val="clear" w:color="auto" w:fill="19447F"/>
          </w:tcPr>
          <w:p w14:paraId="095587E3"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6CDC7E11" w14:textId="77777777" w:rsidTr="00703332">
        <w:trPr>
          <w:trHeight w:val="57"/>
        </w:trPr>
        <w:tc>
          <w:tcPr>
            <w:tcW w:w="9350" w:type="dxa"/>
            <w:shd w:val="clear" w:color="auto" w:fill="F2F2F2"/>
          </w:tcPr>
          <w:p w14:paraId="1CCC21B9" w14:textId="77777777" w:rsidR="00450601" w:rsidRPr="00466A33" w:rsidRDefault="00450601" w:rsidP="00703332">
            <w:pPr>
              <w:pBdr>
                <w:top w:val="nil"/>
                <w:left w:val="nil"/>
                <w:bottom w:val="nil"/>
                <w:right w:val="nil"/>
                <w:between w:val="nil"/>
              </w:pBdr>
              <w:rPr>
                <w:i/>
                <w:color w:val="444444"/>
              </w:rPr>
            </w:pPr>
            <w:r w:rsidRPr="00466A33">
              <w:rPr>
                <w:i/>
                <w:color w:val="444444"/>
              </w:rPr>
              <w:t>Provide the full penetration test report with this SAR.</w:t>
            </w:r>
          </w:p>
          <w:p w14:paraId="5E3686C1" w14:textId="77777777" w:rsidR="00450601" w:rsidRPr="00466A33" w:rsidRDefault="00450601" w:rsidP="00D80036">
            <w:pPr>
              <w:pStyle w:val="deletioninstruction"/>
            </w:pPr>
            <w:r w:rsidRPr="00466A33">
              <w:t>Delete this and all other instructional text from your final version of this document.</w:t>
            </w:r>
          </w:p>
        </w:tc>
      </w:tr>
    </w:tbl>
    <w:p w14:paraId="2DBE03FF" w14:textId="77777777" w:rsidR="00DC4E45" w:rsidRPr="00466A33" w:rsidRDefault="00DC4E45" w:rsidP="00DC4E45">
      <w:pPr>
        <w:rPr>
          <w:lang w:val="en-US"/>
        </w:rPr>
      </w:pPr>
    </w:p>
    <w:p w14:paraId="7722DC92" w14:textId="28194890" w:rsidR="00F457D3" w:rsidRPr="00466A33" w:rsidRDefault="00450601" w:rsidP="009E1574">
      <w:r w:rsidRPr="00466A33">
        <w:t>&lt;Insert IA Name&gt; conducted a penetration test of &lt;Insert CSO Name&gt; from the &lt;Provide Location Information&gt; via an attributable Internet connection on &lt;Insert MM/DD/YYYY&gt;.</w:t>
      </w:r>
      <w:r w:rsidR="003C5B3B" w:rsidRPr="00466A33">
        <w:rPr>
          <w:lang w:val="en-US"/>
        </w:rPr>
        <w:t xml:space="preserve"> </w:t>
      </w:r>
    </w:p>
    <w:sectPr w:rsidR="00F457D3" w:rsidRPr="00466A33" w:rsidSect="00D80036">
      <w:headerReference w:type="default" r:id="rId28"/>
      <w:footerReference w:type="default" r:id="rId29"/>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22649" w14:textId="77777777" w:rsidR="007A3641" w:rsidRDefault="007A3641">
      <w:pPr>
        <w:spacing w:before="0" w:after="0" w:line="240" w:lineRule="auto"/>
      </w:pPr>
      <w:r>
        <w:separator/>
      </w:r>
    </w:p>
  </w:endnote>
  <w:endnote w:type="continuationSeparator" w:id="0">
    <w:p w14:paraId="0A42822D" w14:textId="77777777" w:rsidR="007A3641" w:rsidRDefault="007A3641">
      <w:pPr>
        <w:spacing w:before="0" w:after="0" w:line="240" w:lineRule="auto"/>
      </w:pPr>
      <w:r>
        <w:continuationSeparator/>
      </w:r>
    </w:p>
  </w:endnote>
  <w:endnote w:type="continuationNotice" w:id="1">
    <w:p w14:paraId="786B83E2" w14:textId="77777777" w:rsidR="007A3641" w:rsidRDefault="007A364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uli">
    <w:altName w:val="Calibr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9778110"/>
      <w:docPartObj>
        <w:docPartGallery w:val="Page Numbers (Bottom of Page)"/>
        <w:docPartUnique/>
      </w:docPartObj>
    </w:sdtPr>
    <w:sdtContent>
      <w:p w14:paraId="2D3937EA" w14:textId="5CB996F7" w:rsidR="00D80036" w:rsidRDefault="00D80036"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0602226"/>
      <w:docPartObj>
        <w:docPartGallery w:val="Page Numbers (Bottom of Page)"/>
        <w:docPartUnique/>
      </w:docPartObj>
    </w:sdtPr>
    <w:sdtContent>
      <w:p w14:paraId="5CCA7EB4" w14:textId="4293C80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2650534"/>
      <w:docPartObj>
        <w:docPartGallery w:val="Page Numbers (Bottom of Page)"/>
        <w:docPartUnique/>
      </w:docPartObj>
    </w:sdtPr>
    <w:sdtContent>
      <w:p w14:paraId="2856F451" w14:textId="132DFED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14A2" w14:textId="77777777" w:rsidR="00D80036" w:rsidRDefault="00D80036" w:rsidP="00D800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BC4B3" w14:textId="77777777" w:rsidR="00F457D3" w:rsidRDefault="00F457D3" w:rsidP="00D80036">
    <w:pPr>
      <w:ind w:right="360"/>
    </w:pPr>
  </w:p>
  <w:sdt>
    <w:sdtPr>
      <w:rPr>
        <w:rStyle w:val="PageNumber"/>
        <w:sz w:val="20"/>
        <w:szCs w:val="16"/>
      </w:rPr>
      <w:id w:val="400953280"/>
      <w:docPartObj>
        <w:docPartGallery w:val="Page Numbers (Bottom of Page)"/>
        <w:docPartUnique/>
      </w:docPartObj>
    </w:sdtPr>
    <w:sdtEndPr>
      <w:rPr>
        <w:rStyle w:val="PageNumber"/>
        <w:szCs w:val="20"/>
      </w:rPr>
    </w:sdtEndPr>
    <w:sdtContent>
      <w:p w14:paraId="207A51BB" w14:textId="77777777" w:rsidR="00D80036" w:rsidRPr="00D80036" w:rsidRDefault="00D80036" w:rsidP="00D80036">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sidRPr="00D80036">
          <w:rPr>
            <w:rStyle w:val="PageNumber"/>
            <w:noProof/>
            <w:sz w:val="20"/>
            <w:szCs w:val="16"/>
          </w:rPr>
          <w:t>1</w:t>
        </w:r>
        <w:r w:rsidRPr="00D80036">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472A744E" w:rsidR="00F457D3" w:rsidRDefault="00061A76">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9A255" w14:textId="77777777" w:rsidR="00F457D3" w:rsidRDefault="00F457D3" w:rsidP="00D80036">
    <w:pPr>
      <w:spacing w:before="360"/>
      <w:ind w:right="360"/>
    </w:pPr>
  </w:p>
  <w:sdt>
    <w:sdtPr>
      <w:rPr>
        <w:rStyle w:val="PageNumber"/>
        <w:sz w:val="20"/>
        <w:szCs w:val="16"/>
      </w:rPr>
      <w:id w:val="-664554337"/>
      <w:docPartObj>
        <w:docPartGallery w:val="Page Numbers (Bottom of Page)"/>
        <w:docPartUnique/>
      </w:docPartObj>
    </w:sdtPr>
    <w:sdtEndPr>
      <w:rPr>
        <w:rStyle w:val="PageNumber"/>
        <w:szCs w:val="20"/>
      </w:rPr>
    </w:sdtEndPr>
    <w:sdtContent>
      <w:p w14:paraId="11E2F3BB" w14:textId="77777777" w:rsidR="00D80036" w:rsidRPr="00D80036" w:rsidRDefault="00D80036" w:rsidP="00D80036">
        <w:pPr>
          <w:pStyle w:val="Footer"/>
          <w:framePr w:wrap="none" w:vAnchor="text" w:hAnchor="margin" w:xAlign="right" w:y="136"/>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sidRPr="00D80036">
          <w:rPr>
            <w:rStyle w:val="PageNumber"/>
            <w:noProof/>
            <w:sz w:val="20"/>
            <w:szCs w:val="16"/>
          </w:rPr>
          <w:t>6</w:t>
        </w:r>
        <w:r w:rsidRPr="00D80036">
          <w:rPr>
            <w:rStyle w:val="PageNumber"/>
            <w:sz w:val="20"/>
            <w:szCs w:val="16"/>
          </w:rPr>
          <w:fldChar w:fldCharType="end"/>
        </w:r>
      </w:p>
    </w:sdtContent>
  </w:sdt>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F457D3" w14:paraId="421612AE" w14:textId="77777777" w:rsidTr="00B332B5">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44857EE1" w14:textId="5A06446E" w:rsidR="00F457D3" w:rsidRDefault="00061A76" w:rsidP="00D80036">
          <w:pPr>
            <w:ind w:left="1354" w:right="360"/>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50615C13" w14:textId="7A52F60B" w:rsidR="00F457D3" w:rsidRDefault="00F457D3">
          <w:pPr>
            <w:ind w:right="1249"/>
            <w:jc w:val="right"/>
          </w:pPr>
        </w:p>
      </w:tc>
    </w:tr>
  </w:tbl>
  <w:p w14:paraId="63D76584" w14:textId="77777777" w:rsidR="00F457D3" w:rsidRDefault="00F457D3">
    <w:pPr>
      <w:spacing w:before="0"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2621B"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51655169"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30A46ED"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C4FEDDE" w14:textId="57A189BB"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36F11B69" w14:textId="77777777" w:rsidR="004C12AC" w:rsidRDefault="004C12AC">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C6A3D" w14:textId="77777777" w:rsidR="007A3641" w:rsidRDefault="007A3641">
      <w:pPr>
        <w:spacing w:before="0" w:after="0" w:line="240" w:lineRule="auto"/>
      </w:pPr>
      <w:r>
        <w:separator/>
      </w:r>
    </w:p>
  </w:footnote>
  <w:footnote w:type="continuationSeparator" w:id="0">
    <w:p w14:paraId="6D999E3B" w14:textId="77777777" w:rsidR="007A3641" w:rsidRDefault="007A3641">
      <w:pPr>
        <w:spacing w:before="0" w:after="0" w:line="240" w:lineRule="auto"/>
      </w:pPr>
      <w:r>
        <w:continuationSeparator/>
      </w:r>
    </w:p>
  </w:footnote>
  <w:footnote w:type="continuationNotice" w:id="1">
    <w:p w14:paraId="06DA43A4" w14:textId="77777777" w:rsidR="007A3641" w:rsidRDefault="007A3641">
      <w:pPr>
        <w:spacing w:before="0" w:after="0" w:line="240" w:lineRule="auto"/>
      </w:pPr>
    </w:p>
  </w:footnote>
  <w:footnote w:id="2">
    <w:p w14:paraId="0621B9F7" w14:textId="6D8CA14A" w:rsidR="00450601" w:rsidRPr="00450601" w:rsidRDefault="00450601">
      <w:pPr>
        <w:pStyle w:val="FootnoteText"/>
        <w:rPr>
          <w:lang w:val="en-US"/>
        </w:rPr>
      </w:pPr>
      <w:r>
        <w:rPr>
          <w:rStyle w:val="FootnoteReference"/>
        </w:rPr>
        <w:footnoteRef/>
      </w:r>
      <w:r>
        <w:t xml:space="preserve"> </w:t>
      </w:r>
      <w:r w:rsidRPr="00450601">
        <w:rPr>
          <w:sz w:val="18"/>
          <w:szCs w:val="18"/>
        </w:rPr>
        <w:t>All CSPs should be reminded that VDs exist when the CSP must rely on a downstream vendor to issue a fix or patch. With regards to container images, CSPs should choose container images from reputable sources that handle patching in a FedRAMP compliant manner. CSPs should realize that if they build their own containers “in house”, then the CSP is the vendor and cannot declare a VD on an identified vulnerability.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1F474" w14:textId="023E074F"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5A96A1C2">
      <w:trPr>
        <w:trHeight w:val="1080"/>
      </w:trPr>
      <w:tc>
        <w:tcPr>
          <w:tcW w:w="2785" w:type="dxa"/>
          <w:shd w:val="clear" w:color="auto" w:fill="1A4480" w:themeFill="accent4"/>
          <w:tcMar>
            <w:top w:w="90" w:type="dxa"/>
            <w:left w:w="90" w:type="dxa"/>
            <w:bottom w:w="90" w:type="dxa"/>
            <w:right w:w="90" w:type="dxa"/>
          </w:tcMar>
          <w:vAlign w:val="center"/>
        </w:tcPr>
        <w:p w14:paraId="306BD15F" w14:textId="77777777" w:rsidR="00F457D3" w:rsidRDefault="00061A76" w:rsidP="004C12AC">
          <w:pPr>
            <w:ind w:left="1347" w:hanging="7"/>
          </w:pPr>
          <w:r>
            <w:rPr>
              <w:noProof/>
            </w:rPr>
            <w:drawing>
              <wp:inline distT="114300" distB="114300" distL="114300" distR="114300" wp14:anchorId="565A6768" wp14:editId="653DDEF7">
                <wp:extent cx="676275" cy="44767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hemeFill="accent4"/>
          <w:tcMar>
            <w:top w:w="100" w:type="dxa"/>
            <w:left w:w="100" w:type="dxa"/>
            <w:bottom w:w="100" w:type="dxa"/>
            <w:right w:w="100" w:type="dxa"/>
          </w:tcMar>
          <w:vAlign w:val="center"/>
        </w:tcPr>
        <w:p w14:paraId="04453217" w14:textId="37102A42"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Report (SAR)  </w:t>
          </w:r>
        </w:p>
        <w:p w14:paraId="334BEB13" w14:textId="1872B98E" w:rsidR="000917AF" w:rsidRDefault="5A96A1C2" w:rsidP="00D80036">
          <w:pPr>
            <w:pStyle w:val="Header"/>
            <w:spacing w:before="80" w:after="80" w:line="288" w:lineRule="auto"/>
            <w:ind w:left="518" w:right="1310"/>
            <w:jc w:val="right"/>
          </w:pPr>
          <w:r w:rsidRPr="5A96A1C2">
            <w:rPr>
              <w:sz w:val="15"/>
              <w:szCs w:val="15"/>
              <w:lang w:val="en-US"/>
            </w:rPr>
            <w:t>&lt;Insert CSP Name</w:t>
          </w:r>
          <w:proofErr w:type="gramStart"/>
          <w:r w:rsidRPr="5A96A1C2">
            <w:rPr>
              <w:sz w:val="15"/>
              <w:szCs w:val="15"/>
              <w:lang w:val="en-US"/>
            </w:rPr>
            <w:t>&gt;  |</w:t>
          </w:r>
          <w:proofErr w:type="gramEnd"/>
          <w:r w:rsidRPr="5A96A1C2">
            <w:rPr>
              <w:sz w:val="15"/>
              <w:szCs w:val="15"/>
              <w:lang w:val="en-US"/>
            </w:rPr>
            <w:t xml:space="preserve">  &lt;Insert CSO Name&gt;  |  &lt;Insert Version X.X  |  &lt;Insert MM/DD/YYYY&gt; </w:t>
          </w:r>
        </w:p>
      </w:tc>
    </w:tr>
  </w:tbl>
  <w:p w14:paraId="6C049BF6" w14:textId="712C6A09" w:rsidR="00F457D3" w:rsidRDefault="00061A76" w:rsidP="000B0267">
    <w:pPr>
      <w:tabs>
        <w:tab w:val="left" w:pos="3645"/>
        <w:tab w:val="left" w:pos="5760"/>
        <w:tab w:val="left" w:pos="6463"/>
      </w:tabs>
      <w:spacing w:after="360"/>
    </w:pPr>
    <w:r>
      <w:tab/>
    </w:r>
    <w:r w:rsidR="00E73671">
      <w:tab/>
    </w:r>
    <w:r w:rsidR="000B026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9DF8" w14:textId="77777777" w:rsidR="004C12AC" w:rsidRDefault="004C12AC">
    <w:pPr>
      <w:spacing w:before="0" w:after="0" w:line="240" w:lineRule="auto"/>
    </w:pPr>
  </w:p>
  <w:tbl>
    <w:tblPr>
      <w:tblStyle w:val="aff1"/>
      <w:tblW w:w="15840" w:type="dxa"/>
      <w:tblInd w:w="-14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5"/>
    </w:tblGrid>
    <w:tr w:rsidR="004C12AC" w14:paraId="7AB5B3FC" w14:textId="77777777" w:rsidTr="00B332B5">
      <w:trPr>
        <w:trHeight w:val="1080"/>
      </w:trPr>
      <w:tc>
        <w:tcPr>
          <w:tcW w:w="2785" w:type="dxa"/>
          <w:shd w:val="clear" w:color="auto" w:fill="1A4480"/>
          <w:tcMar>
            <w:top w:w="90" w:type="dxa"/>
            <w:left w:w="90" w:type="dxa"/>
            <w:bottom w:w="90" w:type="dxa"/>
            <w:right w:w="90" w:type="dxa"/>
          </w:tcMar>
          <w:vAlign w:val="center"/>
        </w:tcPr>
        <w:p w14:paraId="02431BEC" w14:textId="77777777" w:rsidR="004C12AC" w:rsidRDefault="004C12AC" w:rsidP="004C12AC">
          <w:pPr>
            <w:ind w:left="1347" w:hanging="7"/>
          </w:pPr>
          <w:r>
            <w:rPr>
              <w:noProof/>
            </w:rPr>
            <w:drawing>
              <wp:inline distT="114300" distB="114300" distL="114300" distR="114300" wp14:anchorId="100F5CEB" wp14:editId="386C5294">
                <wp:extent cx="676275" cy="44767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5" w:type="dxa"/>
          <w:shd w:val="clear" w:color="auto" w:fill="1A4480"/>
          <w:tcMar>
            <w:top w:w="100" w:type="dxa"/>
            <w:left w:w="100" w:type="dxa"/>
            <w:bottom w:w="100" w:type="dxa"/>
            <w:right w:w="100" w:type="dxa"/>
          </w:tcMar>
          <w:vAlign w:val="center"/>
        </w:tcPr>
        <w:p w14:paraId="51C74E71"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21C0C0EB" w14:textId="5DA65993" w:rsidR="004C12AC"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27C6C8BA" w14:textId="77777777" w:rsidR="004C12AC" w:rsidRDefault="004C12AC" w:rsidP="00E73671">
    <w:pPr>
      <w:tabs>
        <w:tab w:val="left" w:pos="3645"/>
        <w:tab w:val="left" w:pos="6463"/>
      </w:tabs>
      <w:spacing w:after="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F02E7"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4DB344A5" w14:textId="77777777" w:rsidTr="000917AF">
      <w:trPr>
        <w:trHeight w:val="1080"/>
      </w:trPr>
      <w:tc>
        <w:tcPr>
          <w:tcW w:w="2785" w:type="dxa"/>
          <w:shd w:val="clear" w:color="auto" w:fill="1A4480"/>
          <w:tcMar>
            <w:top w:w="90" w:type="dxa"/>
            <w:left w:w="90" w:type="dxa"/>
            <w:bottom w:w="90" w:type="dxa"/>
            <w:right w:w="90" w:type="dxa"/>
          </w:tcMar>
          <w:vAlign w:val="center"/>
        </w:tcPr>
        <w:p w14:paraId="202F0F4B" w14:textId="77777777" w:rsidR="004C12AC" w:rsidRDefault="004C12AC" w:rsidP="004C12AC">
          <w:pPr>
            <w:ind w:left="1347" w:hanging="7"/>
          </w:pPr>
          <w:r>
            <w:rPr>
              <w:noProof/>
            </w:rPr>
            <w:drawing>
              <wp:inline distT="114300" distB="114300" distL="114300" distR="114300" wp14:anchorId="20FF67B2" wp14:editId="0139D46F">
                <wp:extent cx="676275" cy="4476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37CF97D"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441DFE58" w14:textId="4E1840DB" w:rsidR="004C12AC"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715D3D23" w14:textId="77777777" w:rsidR="004C12AC" w:rsidRDefault="004C12AC"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622B"/>
    <w:multiLevelType w:val="multilevel"/>
    <w:tmpl w:val="986E4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8B86DFB"/>
    <w:multiLevelType w:val="multilevel"/>
    <w:tmpl w:val="BC4052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A82251"/>
    <w:multiLevelType w:val="hybridMultilevel"/>
    <w:tmpl w:val="E9BA068A"/>
    <w:lvl w:ilvl="0" w:tplc="44B42D4A">
      <w:start w:val="1"/>
      <w:numFmt w:val="bullet"/>
      <w:lvlText w:val=""/>
      <w:lvlJc w:val="left"/>
      <w:pPr>
        <w:ind w:left="720" w:hanging="360"/>
      </w:pPr>
      <w:rPr>
        <w:rFonts w:ascii="Symbol" w:hAnsi="Symbol" w:hint="default"/>
        <w:color w:val="222222" w:themeColor="text1" w:themeShade="8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02F4F00"/>
    <w:multiLevelType w:val="multilevel"/>
    <w:tmpl w:val="ECE8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4754F"/>
    <w:multiLevelType w:val="multilevel"/>
    <w:tmpl w:val="6AC2194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1"/>
      <w:lvlJc w:val="left"/>
      <w:pPr>
        <w:ind w:left="936" w:hanging="576"/>
      </w:pPr>
    </w:lvl>
    <w:lvl w:ilvl="2">
      <w:start w:val="1"/>
      <w:numFmt w:val="decimal"/>
      <w:lvlText w:val="●.%2.%3"/>
      <w:lvlJc w:val="left"/>
      <w:pPr>
        <w:ind w:left="1080" w:hanging="720"/>
      </w:pPr>
    </w:lvl>
    <w:lvl w:ilvl="3">
      <w:start w:val="1"/>
      <w:numFmt w:val="decimal"/>
      <w:lvlText w:val="●.%2.%3.%4"/>
      <w:lvlJc w:val="left"/>
      <w:pPr>
        <w:ind w:left="1224" w:hanging="864"/>
      </w:pPr>
    </w:lvl>
    <w:lvl w:ilvl="4">
      <w:start w:val="1"/>
      <w:numFmt w:val="decimal"/>
      <w:lvlText w:val="●.%2.%3.%4.%5"/>
      <w:lvlJc w:val="left"/>
      <w:pPr>
        <w:ind w:left="1368" w:hanging="1007"/>
      </w:pPr>
    </w:lvl>
    <w:lvl w:ilvl="5">
      <w:start w:val="1"/>
      <w:numFmt w:val="decimal"/>
      <w:lvlText w:val="●.%2.%3.%4.%5.%6"/>
      <w:lvlJc w:val="left"/>
      <w:pPr>
        <w:ind w:left="1512" w:hanging="1152"/>
      </w:pPr>
    </w:lvl>
    <w:lvl w:ilvl="6">
      <w:start w:val="1"/>
      <w:numFmt w:val="decimal"/>
      <w:lvlText w:val="●.%2.%3.%4.%5.%6.%7"/>
      <w:lvlJc w:val="left"/>
      <w:pPr>
        <w:ind w:left="1656" w:hanging="1296"/>
      </w:pPr>
    </w:lvl>
    <w:lvl w:ilvl="7">
      <w:start w:val="1"/>
      <w:numFmt w:val="decimal"/>
      <w:lvlText w:val="●.%2.%3.%4.%5.%6.%7.%8"/>
      <w:lvlJc w:val="left"/>
      <w:pPr>
        <w:ind w:left="1800" w:hanging="1440"/>
      </w:pPr>
    </w:lvl>
    <w:lvl w:ilvl="8">
      <w:start w:val="1"/>
      <w:numFmt w:val="decimal"/>
      <w:lvlText w:val="●.%2.%3.%4.%5.%6.%7.%8.%9"/>
      <w:lvlJc w:val="left"/>
      <w:pPr>
        <w:ind w:left="1944" w:hanging="1584"/>
      </w:pPr>
    </w:lvl>
  </w:abstractNum>
  <w:abstractNum w:abstractNumId="8"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95006761">
    <w:abstractNumId w:val="5"/>
  </w:num>
  <w:num w:numId="2" w16cid:durableId="1492211443">
    <w:abstractNumId w:val="1"/>
  </w:num>
  <w:num w:numId="3" w16cid:durableId="31998748">
    <w:abstractNumId w:val="9"/>
  </w:num>
  <w:num w:numId="4" w16cid:durableId="34501171">
    <w:abstractNumId w:val="2"/>
  </w:num>
  <w:num w:numId="5" w16cid:durableId="1254123977">
    <w:abstractNumId w:val="3"/>
  </w:num>
  <w:num w:numId="6" w16cid:durableId="789977844">
    <w:abstractNumId w:val="7"/>
  </w:num>
  <w:num w:numId="7" w16cid:durableId="1845632892">
    <w:abstractNumId w:val="0"/>
  </w:num>
  <w:num w:numId="8" w16cid:durableId="134641772">
    <w:abstractNumId w:val="8"/>
  </w:num>
  <w:num w:numId="9" w16cid:durableId="2058431561">
    <w:abstractNumId w:val="4"/>
  </w:num>
  <w:num w:numId="10" w16cid:durableId="184170260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5B5C"/>
    <w:rsid w:val="00032DE2"/>
    <w:rsid w:val="00061A76"/>
    <w:rsid w:val="00077649"/>
    <w:rsid w:val="00082179"/>
    <w:rsid w:val="00085486"/>
    <w:rsid w:val="000917AF"/>
    <w:rsid w:val="00095CBE"/>
    <w:rsid w:val="000B0267"/>
    <w:rsid w:val="000B538E"/>
    <w:rsid w:val="000B53E1"/>
    <w:rsid w:val="000D25A1"/>
    <w:rsid w:val="000D4CE7"/>
    <w:rsid w:val="000E180F"/>
    <w:rsid w:val="000E5988"/>
    <w:rsid w:val="000F4262"/>
    <w:rsid w:val="00120C03"/>
    <w:rsid w:val="00137AA4"/>
    <w:rsid w:val="001714B3"/>
    <w:rsid w:val="00191F26"/>
    <w:rsid w:val="001947A4"/>
    <w:rsid w:val="001971AA"/>
    <w:rsid w:val="001B193D"/>
    <w:rsid w:val="001D32F0"/>
    <w:rsid w:val="001E6577"/>
    <w:rsid w:val="001F7BB9"/>
    <w:rsid w:val="00203F89"/>
    <w:rsid w:val="0022001B"/>
    <w:rsid w:val="00222724"/>
    <w:rsid w:val="0025033A"/>
    <w:rsid w:val="00253610"/>
    <w:rsid w:val="002708E8"/>
    <w:rsid w:val="002821A6"/>
    <w:rsid w:val="00283C9F"/>
    <w:rsid w:val="002C25D1"/>
    <w:rsid w:val="002F06BE"/>
    <w:rsid w:val="002F0962"/>
    <w:rsid w:val="002F5005"/>
    <w:rsid w:val="002F71C0"/>
    <w:rsid w:val="0032333C"/>
    <w:rsid w:val="003344D5"/>
    <w:rsid w:val="003373DC"/>
    <w:rsid w:val="00340C96"/>
    <w:rsid w:val="00354BA4"/>
    <w:rsid w:val="003721EB"/>
    <w:rsid w:val="003C3BBA"/>
    <w:rsid w:val="003C5B3B"/>
    <w:rsid w:val="003E31B7"/>
    <w:rsid w:val="003E3ABD"/>
    <w:rsid w:val="003F23EF"/>
    <w:rsid w:val="004067A0"/>
    <w:rsid w:val="004226F2"/>
    <w:rsid w:val="004256F7"/>
    <w:rsid w:val="00432F50"/>
    <w:rsid w:val="00450601"/>
    <w:rsid w:val="004522FA"/>
    <w:rsid w:val="0045398C"/>
    <w:rsid w:val="00462D14"/>
    <w:rsid w:val="00466A33"/>
    <w:rsid w:val="004877E5"/>
    <w:rsid w:val="00490F31"/>
    <w:rsid w:val="004A0FCF"/>
    <w:rsid w:val="004C12AC"/>
    <w:rsid w:val="004D445B"/>
    <w:rsid w:val="004D4C76"/>
    <w:rsid w:val="004E5151"/>
    <w:rsid w:val="004F5B3E"/>
    <w:rsid w:val="0050465E"/>
    <w:rsid w:val="00505EB8"/>
    <w:rsid w:val="00527753"/>
    <w:rsid w:val="00532017"/>
    <w:rsid w:val="00532D60"/>
    <w:rsid w:val="005333B7"/>
    <w:rsid w:val="005429CB"/>
    <w:rsid w:val="00545FCF"/>
    <w:rsid w:val="005509CC"/>
    <w:rsid w:val="005601BF"/>
    <w:rsid w:val="00564ABF"/>
    <w:rsid w:val="00572F98"/>
    <w:rsid w:val="00580972"/>
    <w:rsid w:val="00591884"/>
    <w:rsid w:val="00596737"/>
    <w:rsid w:val="005C0260"/>
    <w:rsid w:val="005D6ED0"/>
    <w:rsid w:val="005D6F02"/>
    <w:rsid w:val="005E3C2D"/>
    <w:rsid w:val="00601936"/>
    <w:rsid w:val="00606F63"/>
    <w:rsid w:val="00610E22"/>
    <w:rsid w:val="00613C20"/>
    <w:rsid w:val="006153C9"/>
    <w:rsid w:val="006167FB"/>
    <w:rsid w:val="0062379C"/>
    <w:rsid w:val="0063169A"/>
    <w:rsid w:val="00642239"/>
    <w:rsid w:val="0065636A"/>
    <w:rsid w:val="00671D9F"/>
    <w:rsid w:val="006802B9"/>
    <w:rsid w:val="00697B87"/>
    <w:rsid w:val="006B7D28"/>
    <w:rsid w:val="006D46F8"/>
    <w:rsid w:val="006E0143"/>
    <w:rsid w:val="006F25B1"/>
    <w:rsid w:val="006F64EF"/>
    <w:rsid w:val="006F7D89"/>
    <w:rsid w:val="007069A6"/>
    <w:rsid w:val="00724225"/>
    <w:rsid w:val="007378E2"/>
    <w:rsid w:val="00744A8A"/>
    <w:rsid w:val="0075023A"/>
    <w:rsid w:val="00776754"/>
    <w:rsid w:val="00783C26"/>
    <w:rsid w:val="007A3641"/>
    <w:rsid w:val="007B2726"/>
    <w:rsid w:val="007C5659"/>
    <w:rsid w:val="007D1877"/>
    <w:rsid w:val="007E6C18"/>
    <w:rsid w:val="0081508A"/>
    <w:rsid w:val="00827619"/>
    <w:rsid w:val="00833E3E"/>
    <w:rsid w:val="00847F11"/>
    <w:rsid w:val="0085299D"/>
    <w:rsid w:val="00862743"/>
    <w:rsid w:val="00863D98"/>
    <w:rsid w:val="00865807"/>
    <w:rsid w:val="00865812"/>
    <w:rsid w:val="008938BD"/>
    <w:rsid w:val="00897EE5"/>
    <w:rsid w:val="008A2F8A"/>
    <w:rsid w:val="008A49DB"/>
    <w:rsid w:val="008C3E03"/>
    <w:rsid w:val="008D2318"/>
    <w:rsid w:val="008F37B2"/>
    <w:rsid w:val="00902398"/>
    <w:rsid w:val="00906B3B"/>
    <w:rsid w:val="00915CAD"/>
    <w:rsid w:val="009165C1"/>
    <w:rsid w:val="00951684"/>
    <w:rsid w:val="0096275B"/>
    <w:rsid w:val="0099624E"/>
    <w:rsid w:val="009A30E3"/>
    <w:rsid w:val="009C1A96"/>
    <w:rsid w:val="009E1574"/>
    <w:rsid w:val="009E7E2C"/>
    <w:rsid w:val="009F389F"/>
    <w:rsid w:val="00A23890"/>
    <w:rsid w:val="00A35009"/>
    <w:rsid w:val="00A42CAF"/>
    <w:rsid w:val="00A4361D"/>
    <w:rsid w:val="00A50F46"/>
    <w:rsid w:val="00A71953"/>
    <w:rsid w:val="00A71F55"/>
    <w:rsid w:val="00A94BCA"/>
    <w:rsid w:val="00AA1EAE"/>
    <w:rsid w:val="00AB41A1"/>
    <w:rsid w:val="00AC09D8"/>
    <w:rsid w:val="00AD5F6D"/>
    <w:rsid w:val="00AF7442"/>
    <w:rsid w:val="00B12A80"/>
    <w:rsid w:val="00B15F4C"/>
    <w:rsid w:val="00B3139D"/>
    <w:rsid w:val="00B332B5"/>
    <w:rsid w:val="00B573A3"/>
    <w:rsid w:val="00B6045A"/>
    <w:rsid w:val="00B65C28"/>
    <w:rsid w:val="00B66995"/>
    <w:rsid w:val="00B82699"/>
    <w:rsid w:val="00B87495"/>
    <w:rsid w:val="00BA0181"/>
    <w:rsid w:val="00BA19CF"/>
    <w:rsid w:val="00BA5031"/>
    <w:rsid w:val="00BB2BC4"/>
    <w:rsid w:val="00BB34AB"/>
    <w:rsid w:val="00BD0397"/>
    <w:rsid w:val="00BD0903"/>
    <w:rsid w:val="00BF7E10"/>
    <w:rsid w:val="00C17FA4"/>
    <w:rsid w:val="00C41AE2"/>
    <w:rsid w:val="00C563B8"/>
    <w:rsid w:val="00C82775"/>
    <w:rsid w:val="00C83DFE"/>
    <w:rsid w:val="00CA14AB"/>
    <w:rsid w:val="00CB22F6"/>
    <w:rsid w:val="00CC3B22"/>
    <w:rsid w:val="00CC5FEA"/>
    <w:rsid w:val="00CF621E"/>
    <w:rsid w:val="00D02168"/>
    <w:rsid w:val="00D06B0E"/>
    <w:rsid w:val="00D32B01"/>
    <w:rsid w:val="00D32D10"/>
    <w:rsid w:val="00D360CD"/>
    <w:rsid w:val="00D62610"/>
    <w:rsid w:val="00D80036"/>
    <w:rsid w:val="00DB3EC3"/>
    <w:rsid w:val="00DC240B"/>
    <w:rsid w:val="00DC4E45"/>
    <w:rsid w:val="00DD40AD"/>
    <w:rsid w:val="00DE34DE"/>
    <w:rsid w:val="00DF373C"/>
    <w:rsid w:val="00DF69BF"/>
    <w:rsid w:val="00E469B0"/>
    <w:rsid w:val="00E5219C"/>
    <w:rsid w:val="00E67979"/>
    <w:rsid w:val="00E73671"/>
    <w:rsid w:val="00E73F9B"/>
    <w:rsid w:val="00E742B8"/>
    <w:rsid w:val="00EA0B14"/>
    <w:rsid w:val="00EA74DD"/>
    <w:rsid w:val="00EB2D65"/>
    <w:rsid w:val="00ED13B4"/>
    <w:rsid w:val="00EE1C74"/>
    <w:rsid w:val="00EF7887"/>
    <w:rsid w:val="00F20B12"/>
    <w:rsid w:val="00F32F93"/>
    <w:rsid w:val="00F41D3E"/>
    <w:rsid w:val="00F457D3"/>
    <w:rsid w:val="00F91F8C"/>
    <w:rsid w:val="00F9286B"/>
    <w:rsid w:val="00F92FE9"/>
    <w:rsid w:val="00F937E1"/>
    <w:rsid w:val="00FB2B3F"/>
    <w:rsid w:val="00FC3608"/>
    <w:rsid w:val="00FC4812"/>
    <w:rsid w:val="00FC6205"/>
    <w:rsid w:val="00FF3E48"/>
    <w:rsid w:val="4E2B7327"/>
    <w:rsid w:val="511C1990"/>
    <w:rsid w:val="5A96A1C2"/>
    <w:rsid w:val="6515E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902398"/>
    <w:pPr>
      <w:keepNext/>
      <w:keepLines/>
      <w:widowControl w:val="0"/>
      <w:numPr>
        <w:numId w:val="5"/>
      </w:numPr>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numPr>
        <w:ilvl w:val="1"/>
        <w:numId w:val="5"/>
      </w:numPr>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5"/>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5"/>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rsid w:val="00902398"/>
    <w:pPr>
      <w:keepNext/>
      <w:keepLines/>
      <w:numPr>
        <w:ilvl w:val="4"/>
        <w:numId w:val="5"/>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5"/>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5"/>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5"/>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863D98"/>
    <w:pPr>
      <w:tabs>
        <w:tab w:val="left" w:pos="380"/>
        <w:tab w:val="right" w:leader="dot" w:pos="9360"/>
      </w:tabs>
      <w:spacing w:after="100"/>
    </w:pPr>
    <w:rPr>
      <w:b/>
      <w:noProof/>
    </w:rPr>
  </w:style>
  <w:style w:type="paragraph" w:styleId="TOC2">
    <w:name w:val="toc 2"/>
    <w:basedOn w:val="Normal"/>
    <w:next w:val="Normal"/>
    <w:autoRedefine/>
    <w:uiPriority w:val="39"/>
    <w:unhideWhenUsed/>
    <w:rsid w:val="00077649"/>
    <w:pPr>
      <w:tabs>
        <w:tab w:val="left" w:pos="960"/>
        <w:tab w:val="right" w:leader="dot" w:pos="9360"/>
      </w:tabs>
      <w:spacing w:after="100"/>
      <w:ind w:left="360"/>
    </w:pPr>
    <w:rPr>
      <w:noProof/>
    </w:rPr>
  </w:style>
  <w:style w:type="paragraph" w:styleId="TOC3">
    <w:name w:val="toc 3"/>
    <w:basedOn w:val="Normal"/>
    <w:next w:val="Normal"/>
    <w:autoRedefine/>
    <w:uiPriority w:val="39"/>
    <w:unhideWhenUsed/>
    <w:rsid w:val="00DC3ACE"/>
    <w:pPr>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after="100"/>
      <w:ind w:left="1760"/>
    </w:p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3"/>
      </w:numPr>
    </w:pPr>
  </w:style>
  <w:style w:type="numbering" w:customStyle="1" w:styleId="CurrentList3">
    <w:name w:val="Current List3"/>
    <w:uiPriority w:val="99"/>
    <w:rsid w:val="00902398"/>
    <w:pPr>
      <w:numPr>
        <w:numId w:val="4"/>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semiHidden/>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pPr>
      <w:numPr>
        <w:ilvl w:val="0"/>
        <w:numId w:val="0"/>
      </w:numPr>
    </w:pPr>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8"/>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iPriority w:val="99"/>
    <w:semiHidden/>
    <w:unhideWhenUsed/>
    <w:rsid w:val="00915CAD"/>
    <w:rPr>
      <w:b/>
      <w:bCs/>
    </w:rPr>
  </w:style>
  <w:style w:type="character" w:customStyle="1" w:styleId="CommentSubjectChar">
    <w:name w:val="Comment Subject Char"/>
    <w:basedOn w:val="CommentTextChar"/>
    <w:link w:val="CommentSubject"/>
    <w:uiPriority w:val="99"/>
    <w:semiHidden/>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05108873">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860975260">
      <w:bodyDiv w:val="1"/>
      <w:marLeft w:val="0"/>
      <w:marRight w:val="0"/>
      <w:marTop w:val="0"/>
      <w:marBottom w:val="0"/>
      <w:divBdr>
        <w:top w:val="none" w:sz="0" w:space="0" w:color="auto"/>
        <w:left w:val="none" w:sz="0" w:space="0" w:color="auto"/>
        <w:bottom w:val="none" w:sz="0" w:space="0" w:color="auto"/>
        <w:right w:val="none" w:sz="0" w:space="0" w:color="auto"/>
      </w:divBdr>
      <w:divsChild>
        <w:div w:id="88628178">
          <w:marLeft w:val="0"/>
          <w:marRight w:val="0"/>
          <w:marTop w:val="0"/>
          <w:marBottom w:val="0"/>
          <w:divBdr>
            <w:top w:val="none" w:sz="0" w:space="0" w:color="auto"/>
            <w:left w:val="none" w:sz="0" w:space="0" w:color="auto"/>
            <w:bottom w:val="none" w:sz="0" w:space="0" w:color="auto"/>
            <w:right w:val="none" w:sz="0" w:space="0" w:color="auto"/>
          </w:divBdr>
        </w:div>
        <w:div w:id="1800301870">
          <w:marLeft w:val="0"/>
          <w:marRight w:val="0"/>
          <w:marTop w:val="0"/>
          <w:marBottom w:val="0"/>
          <w:divBdr>
            <w:top w:val="none" w:sz="0" w:space="0" w:color="auto"/>
            <w:left w:val="none" w:sz="0" w:space="0" w:color="auto"/>
            <w:bottom w:val="none" w:sz="0" w:space="0" w:color="auto"/>
            <w:right w:val="none" w:sz="0" w:space="0" w:color="auto"/>
          </w:divBdr>
          <w:divsChild>
            <w:div w:id="566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475414891">
      <w:bodyDiv w:val="1"/>
      <w:marLeft w:val="0"/>
      <w:marRight w:val="0"/>
      <w:marTop w:val="0"/>
      <w:marBottom w:val="0"/>
      <w:divBdr>
        <w:top w:val="none" w:sz="0" w:space="0" w:color="auto"/>
        <w:left w:val="none" w:sz="0" w:space="0" w:color="auto"/>
        <w:bottom w:val="none" w:sz="0" w:space="0" w:color="auto"/>
        <w:right w:val="none" w:sz="0" w:space="0" w:color="auto"/>
      </w:divBdr>
      <w:divsChild>
        <w:div w:id="284233404">
          <w:marLeft w:val="0"/>
          <w:marRight w:val="0"/>
          <w:marTop w:val="0"/>
          <w:marBottom w:val="0"/>
          <w:divBdr>
            <w:top w:val="none" w:sz="0" w:space="0" w:color="auto"/>
            <w:left w:val="none" w:sz="0" w:space="0" w:color="auto"/>
            <w:bottom w:val="none" w:sz="0" w:space="0" w:color="auto"/>
            <w:right w:val="none" w:sz="0" w:space="0" w:color="auto"/>
          </w:divBdr>
        </w:div>
        <w:div w:id="982738253">
          <w:marLeft w:val="0"/>
          <w:marRight w:val="0"/>
          <w:marTop w:val="0"/>
          <w:marBottom w:val="0"/>
          <w:divBdr>
            <w:top w:val="none" w:sz="0" w:space="0" w:color="auto"/>
            <w:left w:val="none" w:sz="0" w:space="0" w:color="auto"/>
            <w:bottom w:val="none" w:sz="0" w:space="0" w:color="auto"/>
            <w:right w:val="none" w:sz="0" w:space="0" w:color="auto"/>
          </w:divBdr>
          <w:divsChild>
            <w:div w:id="1274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7582196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www.fedramp.gov/assets/resources/documents/Vulnerability_Scanning_Requirements_for_Containers.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hyperlink" Target="https://www.fedramp.gov/assets/resources/templates/SSP-Appendix-M-Integrated-Inventory-Workbook-Template.xlsx"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edramp.gov/assets/resources/templates/SSP-Appendix-M-Integrated-Inventory-Workbook-Template.xlsx" TargetMode="External"/><Relationship Id="rId5" Type="http://schemas.openxmlformats.org/officeDocument/2006/relationships/customXml" Target="../customXml/item5.xml"/><Relationship Id="rId15" Type="http://schemas.openxmlformats.org/officeDocument/2006/relationships/hyperlink" Target="http://www.fedramp.gov" TargetMode="External"/><Relationship Id="rId23" Type="http://schemas.openxmlformats.org/officeDocument/2006/relationships/hyperlink" Target="https://www.fedramp.gov/documents-templates/"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www.fedramp.gov/assets/resources/documents/CSP_Annual_Assessment_Guidance.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nfo@FedRAMP.gov" TargetMode="External"/><Relationship Id="rId22" Type="http://schemas.openxmlformats.org/officeDocument/2006/relationships/hyperlink" Target="https://www.fedramp.gov/assets/resources/templates/FedRAMP-Initial-Authorization-Package-Checklist.xlsx" TargetMode="External"/><Relationship Id="rId27" Type="http://schemas.openxmlformats.org/officeDocument/2006/relationships/hyperlink" Target="https://www.fedramp.gov/assets/resources/documents/CSP_Continuous_Monitoring_Performance_Management_Guide.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CA74F0757A9045A0168CD4412E8652" ma:contentTypeVersion="4" ma:contentTypeDescription="Create a new document." ma:contentTypeScope="" ma:versionID="70d36337eb214fcf36fb5b90ef37db62">
  <xsd:schema xmlns:xsd="http://www.w3.org/2001/XMLSchema" xmlns:xs="http://www.w3.org/2001/XMLSchema" xmlns:p="http://schemas.microsoft.com/office/2006/metadata/properties" xmlns:ns2="3a09b298-862c-45ff-bf5d-f506656df489" targetNamespace="http://schemas.microsoft.com/office/2006/metadata/properties" ma:root="true" ma:fieldsID="54137b765c9bce99e797df1d32f8ef7a" ns2:_="">
    <xsd:import namespace="3a09b298-862c-45ff-bf5d-f506656df4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9b298-862c-45ff-bf5d-f506656df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063A-5425-4104-BE7D-462FC93F87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009A41-CAED-4B28-BE0E-485EDD9D0D3C}">
  <ds:schemaRefs>
    <ds:schemaRef ds:uri="http://schemas.microsoft.com/sharepoint/v3/contenttype/forms"/>
  </ds:schemaRefs>
</ds:datastoreItem>
</file>

<file path=customXml/itemProps3.xml><?xml version="1.0" encoding="utf-8"?>
<ds:datastoreItem xmlns:ds="http://schemas.openxmlformats.org/officeDocument/2006/customXml" ds:itemID="{84E07446-D763-4479-9BC5-4373C5898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9b298-862c-45ff-bf5d-f506656df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33</Pages>
  <Words>7262</Words>
  <Characters>40886</Characters>
  <Application>Microsoft Office Word</Application>
  <DocSecurity>0</DocSecurity>
  <Lines>1135</Lines>
  <Paragraphs>566</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47582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Security Assessment Report (SAR)</dc:title>
  <dc:subject/>
  <dc:creator>FedRAMP PMO</dc:creator>
  <cp:keywords/>
  <dc:description/>
  <cp:lastModifiedBy>Shiva Alipour</cp:lastModifiedBy>
  <cp:revision>5</cp:revision>
  <dcterms:created xsi:type="dcterms:W3CDTF">2024-12-02T22:05:00Z</dcterms:created>
  <dcterms:modified xsi:type="dcterms:W3CDTF">2024-12-05T18:37:00Z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y fmtid="{D5CDD505-2E9C-101B-9397-08002B2CF9AE}" pid="3" name="ContentTypeId">
    <vt:lpwstr>0x0101009DCA74F0757A9045A0168CD4412E8652</vt:lpwstr>
  </property>
</Properties>
</file>