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62.99072265625"/>
        <w:rPr>
          <w:b w:val="1"/>
          <w:sz w:val="24"/>
          <w:szCs w:val="24"/>
        </w:rPr>
      </w:pPr>
      <w:r w:rsidDel="00000000" w:rsidR="00000000" w:rsidRPr="00000000">
        <w:rPr>
          <w:b w:val="1"/>
          <w:sz w:val="24"/>
          <w:szCs w:val="24"/>
        </w:rPr>
        <w:drawing>
          <wp:inline distB="114300" distT="114300" distL="114300" distR="114300">
            <wp:extent cx="975650" cy="8721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5650" cy="8721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ind w:right="62.99072265625"/>
        <w:rPr>
          <w:sz w:val="24"/>
          <w:szCs w:val="24"/>
        </w:rPr>
      </w:pPr>
      <w:r w:rsidDel="00000000" w:rsidR="00000000" w:rsidRPr="00000000">
        <w:rPr>
          <w:b w:val="1"/>
          <w:color w:val="808080"/>
          <w:sz w:val="20"/>
          <w:szCs w:val="20"/>
          <w:rtl w:val="0"/>
        </w:rPr>
        <w:br w:type="textWrapping"/>
      </w:r>
      <w:r w:rsidDel="00000000" w:rsidR="00000000" w:rsidRPr="00000000">
        <w:rPr>
          <w:b w:val="1"/>
          <w:sz w:val="20"/>
          <w:szCs w:val="20"/>
          <w:rtl w:val="0"/>
        </w:rPr>
        <w:t xml:space="preserve">Federal Acquisition Service </w:t>
        <w:br w:type="textWrapping"/>
        <w:t xml:space="preserve">Center for Charge Card Management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3">
      <w:pPr>
        <w:widowControl w:val="0"/>
        <w:spacing w:before="264.720458984375" w:line="240" w:lineRule="auto"/>
        <w:ind w:left="1126.5953063964844" w:firstLine="0"/>
        <w:rPr>
          <w:b w:val="1"/>
          <w:sz w:val="40.08000183105469"/>
          <w:szCs w:val="40.08000183105469"/>
        </w:rPr>
      </w:pPr>
      <w:r w:rsidDel="00000000" w:rsidR="00000000" w:rsidRPr="00000000">
        <w:rPr>
          <w:b w:val="1"/>
          <w:sz w:val="40.08000183105469"/>
          <w:szCs w:val="40.08000183105469"/>
          <w:rtl w:val="0"/>
        </w:rPr>
        <w:t xml:space="preserve">GSA SMARTPAY® SMART BULLETIN </w:t>
      </w:r>
    </w:p>
    <w:p w:rsidR="00000000" w:rsidDel="00000000" w:rsidP="00000000" w:rsidRDefault="00000000" w:rsidRPr="00000000" w14:paraId="00000004">
      <w:pPr>
        <w:widowControl w:val="0"/>
        <w:spacing w:before="271.466064453125" w:line="240" w:lineRule="auto"/>
        <w:ind w:left="18.05755615234375" w:firstLine="0"/>
        <w:jc w:val="center"/>
        <w:rPr>
          <w:b w:val="1"/>
          <w:sz w:val="28.079999923706055"/>
          <w:szCs w:val="28.079999923706055"/>
        </w:rPr>
      </w:pPr>
      <w:r w:rsidDel="00000000" w:rsidR="00000000" w:rsidRPr="00000000">
        <w:rPr>
          <w:b w:val="1"/>
          <w:sz w:val="28.079999923706055"/>
          <w:szCs w:val="28.079999923706055"/>
          <w:rtl w:val="0"/>
        </w:rPr>
        <w:t xml:space="preserve">U.S. GENERAL SERVICES ADMINISTRATION  </w:t>
      </w:r>
    </w:p>
    <w:p w:rsidR="00000000" w:rsidDel="00000000" w:rsidP="00000000" w:rsidRDefault="00000000" w:rsidRPr="00000000" w14:paraId="00000005">
      <w:pPr>
        <w:widowControl w:val="0"/>
        <w:spacing w:line="240" w:lineRule="auto"/>
        <w:ind w:left="19.180755615234375" w:firstLine="0"/>
        <w:jc w:val="center"/>
        <w:rPr>
          <w:b w:val="1"/>
          <w:sz w:val="28.079999923706055"/>
          <w:szCs w:val="28.079999923706055"/>
        </w:rPr>
      </w:pPr>
      <w:r w:rsidDel="00000000" w:rsidR="00000000" w:rsidRPr="00000000">
        <w:rPr>
          <w:b w:val="1"/>
          <w:sz w:val="28.079999923706055"/>
          <w:szCs w:val="28.079999923706055"/>
          <w:rtl w:val="0"/>
        </w:rPr>
        <w:t xml:space="preserve">FEDERAL ACQUISITION SERVICE </w:t>
      </w:r>
    </w:p>
    <w:p w:rsidR="00000000" w:rsidDel="00000000" w:rsidP="00000000" w:rsidRDefault="00000000" w:rsidRPr="00000000" w14:paraId="00000006">
      <w:pPr>
        <w:widowControl w:val="0"/>
        <w:spacing w:line="240" w:lineRule="auto"/>
        <w:ind w:left="8.79119873046875" w:firstLine="0"/>
        <w:jc w:val="center"/>
        <w:rPr>
          <w:b w:val="1"/>
          <w:sz w:val="39.959999084472656"/>
          <w:szCs w:val="39.959999084472656"/>
        </w:rPr>
      </w:pPr>
      <w:r w:rsidDel="00000000" w:rsidR="00000000" w:rsidRPr="00000000">
        <w:rPr>
          <w:b w:val="1"/>
          <w:sz w:val="28.079999923706055"/>
          <w:szCs w:val="28.079999923706055"/>
          <w:rtl w:val="0"/>
        </w:rPr>
        <w:t xml:space="preserve">SMART BULLETIN NO. 002</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6982421875" w:line="240" w:lineRule="auto"/>
        <w:ind w:left="0" w:right="0"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Micro-purchase </w:t>
      </w:r>
      <w:r w:rsidDel="00000000" w:rsidR="00000000" w:rsidRPr="00000000">
        <w:rPr>
          <w:b w:val="1"/>
          <w:sz w:val="24"/>
          <w:szCs w:val="24"/>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hreshold </w:t>
      </w:r>
      <w:r w:rsidDel="00000000" w:rsidR="00000000" w:rsidRPr="00000000">
        <w:rPr>
          <w:b w:val="1"/>
          <w:sz w:val="24"/>
          <w:szCs w:val="24"/>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imits</w:t>
      </w:r>
      <w:r w:rsidDel="00000000" w:rsidR="00000000" w:rsidRPr="00000000">
        <w:rPr>
          <w:rtl w:val="0"/>
        </w:rPr>
      </w:r>
    </w:p>
    <w:p w:rsidR="00000000" w:rsidDel="00000000" w:rsidP="00000000" w:rsidRDefault="00000000" w:rsidRPr="00000000" w14:paraId="00000008">
      <w:pPr>
        <w:widowControl w:val="0"/>
        <w:spacing w:before="284.0118408203125" w:line="240" w:lineRule="auto"/>
        <w:ind w:left="315.71998596191406" w:firstLine="0"/>
        <w:jc w:val="center"/>
        <w:rPr>
          <w:b w:val="1"/>
          <w:sz w:val="24"/>
          <w:szCs w:val="24"/>
        </w:rPr>
      </w:pPr>
      <w:r w:rsidDel="00000000" w:rsidR="00000000" w:rsidRPr="00000000">
        <w:rPr>
          <w:b w:val="1"/>
          <w:sz w:val="24"/>
          <w:szCs w:val="24"/>
          <w:rtl w:val="0"/>
        </w:rPr>
        <w:t xml:space="preserve">EFFECTIVE DATE: From Issuance until superseded</w:t>
      </w:r>
    </w:p>
    <w:p w:rsidR="00000000" w:rsidDel="00000000" w:rsidP="00000000" w:rsidRDefault="00000000" w:rsidRPr="00000000" w14:paraId="00000009">
      <w:pPr>
        <w:widowControl w:val="0"/>
        <w:spacing w:before="284.0118408203125" w:line="240" w:lineRule="auto"/>
        <w:rPr>
          <w:b w:val="1"/>
          <w:sz w:val="24"/>
          <w:szCs w:val="24"/>
        </w:rPr>
      </w:pPr>
      <w:r w:rsidDel="00000000" w:rsidR="00000000" w:rsidRPr="00000000">
        <w:rPr>
          <w:b w:val="1"/>
          <w:sz w:val="24"/>
          <w:szCs w:val="24"/>
          <w:rtl w:val="0"/>
        </w:rPr>
        <w:t xml:space="preserve">UPDATE:</w:t>
      </w:r>
    </w:p>
    <w:tbl>
      <w:tblPr>
        <w:tblStyle w:val="Table1"/>
        <w:tblW w:w="9240.0" w:type="dxa"/>
        <w:jc w:val="left"/>
        <w:tblInd w:w="32.279129028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275"/>
        <w:tblGridChange w:id="0">
          <w:tblGrid>
            <w:gridCol w:w="496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Version History Action Log - Summary of Action/Changes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November 14,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rPr>
                <w:sz w:val="24"/>
                <w:szCs w:val="24"/>
              </w:rPr>
            </w:pPr>
            <w:r w:rsidDel="00000000" w:rsidR="00000000" w:rsidRPr="00000000">
              <w:rPr>
                <w:sz w:val="24"/>
                <w:szCs w:val="24"/>
                <w:rtl w:val="0"/>
              </w:rPr>
              <w:t xml:space="preserve">Re-written to reflect current information for the micro-purchase threshold, in accordance with the Federal Acquisition Regulation and applicable United States Code.</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67626953125" w:line="240" w:lineRule="auto"/>
        <w:ind w:left="0" w:right="27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270" w:firstLine="0"/>
        <w:jc w:val="left"/>
        <w:rPr>
          <w:sz w:val="24"/>
          <w:szCs w:val="24"/>
        </w:rPr>
      </w:pPr>
      <w:r w:rsidDel="00000000" w:rsidR="00000000" w:rsidRPr="00000000">
        <w:rPr>
          <w:sz w:val="24"/>
          <w:szCs w:val="24"/>
          <w:rtl w:val="0"/>
        </w:rPr>
        <w:t xml:space="preserve">In accordance with the </w:t>
      </w:r>
      <w:hyperlink r:id="rId7">
        <w:r w:rsidDel="00000000" w:rsidR="00000000" w:rsidRPr="00000000">
          <w:rPr>
            <w:color w:val="1155cc"/>
            <w:sz w:val="24"/>
            <w:szCs w:val="24"/>
            <w:u w:val="single"/>
            <w:rtl w:val="0"/>
          </w:rPr>
          <w:t xml:space="preserve">Federal Acquisition Regulation (FAR) </w:t>
        </w:r>
      </w:hyperlink>
      <w:hyperlink r:id="rId8">
        <w:r w:rsidDel="00000000" w:rsidR="00000000" w:rsidRPr="00000000">
          <w:rPr>
            <w:color w:val="1155cc"/>
            <w:sz w:val="24"/>
            <w:szCs w:val="24"/>
            <w:u w:val="single"/>
            <w:rtl w:val="0"/>
          </w:rPr>
          <w:t xml:space="preserve">Subpart 13.2 - Actions At or Below the Micro-Purchase Threshold</w:t>
        </w:r>
      </w:hyperlink>
      <w:r w:rsidDel="00000000" w:rsidR="00000000" w:rsidRPr="00000000">
        <w:rPr>
          <w:sz w:val="24"/>
          <w:szCs w:val="24"/>
          <w:rtl w:val="0"/>
        </w:rPr>
        <w:t xml:space="preserve">, “</w:t>
      </w:r>
      <w:r w:rsidDel="00000000" w:rsidR="00000000" w:rsidRPr="00000000">
        <w:rPr>
          <w:sz w:val="24"/>
          <w:szCs w:val="24"/>
          <w:rtl w:val="0"/>
        </w:rPr>
        <w:t xml:space="preserve">The Governmentwide commercial purchase card shall be the preferred method to purchase and to pay for micro-purchases.”  </w:t>
      </w:r>
      <w:r w:rsidDel="00000000" w:rsidR="00000000" w:rsidRPr="00000000">
        <w:rPr>
          <w:sz w:val="24"/>
          <w:szCs w:val="24"/>
          <w:rtl w:val="0"/>
        </w:rPr>
        <w:t xml:space="preserve">The </w:t>
      </w:r>
      <w:r w:rsidDel="00000000" w:rsidR="00000000" w:rsidRPr="00000000">
        <w:rPr>
          <w:sz w:val="24"/>
          <w:szCs w:val="24"/>
          <w:rtl w:val="0"/>
        </w:rPr>
        <w:t xml:space="preserve">purpose of this GSA SmartPay® Smart Bulletin is to provide information to charge card managers, cardholders, and stakeholders about the government micro-purchase threshold.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40" w:lineRule="auto"/>
        <w:ind w:left="0" w:right="270" w:firstLine="0"/>
        <w:jc w:val="left"/>
        <w:rPr>
          <w:sz w:val="24"/>
          <w:szCs w:val="24"/>
        </w:rPr>
      </w:pPr>
      <w:r w:rsidDel="00000000" w:rsidR="00000000" w:rsidRPr="00000000">
        <w:rPr>
          <w:b w:val="1"/>
          <w:sz w:val="24"/>
          <w:szCs w:val="24"/>
          <w:rtl w:val="0"/>
        </w:rPr>
        <w:t xml:space="preserve">BUSINESS LINE(S) AFFECTED</w:t>
      </w:r>
      <w:r w:rsidDel="00000000" w:rsidR="00000000" w:rsidRPr="00000000">
        <w:rPr>
          <w:sz w:val="24"/>
          <w:szCs w:val="24"/>
          <w:rtl w:val="0"/>
        </w:rPr>
        <w:t xml:space="preserve">: </w:t>
      </w:r>
      <w:r w:rsidDel="00000000" w:rsidR="00000000" w:rsidRPr="00000000">
        <w:rPr>
          <w:sz w:val="24"/>
          <w:szCs w:val="24"/>
          <w:rtl w:val="0"/>
        </w:rPr>
        <w:t xml:space="preserve">Purchase, Integrated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270" w:firstLine="0"/>
        <w:jc w:val="left"/>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sz w:val="24"/>
          <w:szCs w:val="24"/>
        </w:rPr>
      </w:pPr>
      <w:r w:rsidDel="00000000" w:rsidR="00000000" w:rsidRPr="00000000">
        <w:rPr>
          <w:sz w:val="24"/>
          <w:szCs w:val="24"/>
          <w:rtl w:val="0"/>
        </w:rPr>
        <w:t xml:space="preserve">In accordance with </w:t>
      </w:r>
      <w:hyperlink r:id="rId9">
        <w:r w:rsidDel="00000000" w:rsidR="00000000" w:rsidRPr="00000000">
          <w:rPr>
            <w:color w:val="1155cc"/>
            <w:sz w:val="24"/>
            <w:szCs w:val="24"/>
            <w:u w:val="single"/>
            <w:rtl w:val="0"/>
          </w:rPr>
          <w:t xml:space="preserve">FAR 2.101 Definitions</w:t>
        </w:r>
      </w:hyperlink>
      <w:r w:rsidDel="00000000" w:rsidR="00000000" w:rsidRPr="00000000">
        <w:rPr>
          <w:sz w:val="24"/>
          <w:szCs w:val="24"/>
          <w:rtl w:val="0"/>
        </w:rPr>
        <w:t xml:space="preserve">, a “</w:t>
      </w:r>
      <w:r w:rsidDel="00000000" w:rsidR="00000000" w:rsidRPr="00000000">
        <w:rPr>
          <w:sz w:val="24"/>
          <w:szCs w:val="24"/>
          <w:rtl w:val="0"/>
        </w:rPr>
        <w:t xml:space="preserve">Micro-purchase</w:t>
      </w:r>
      <w:r w:rsidDel="00000000" w:rsidR="00000000" w:rsidRPr="00000000">
        <w:rPr>
          <w:sz w:val="24"/>
          <w:szCs w:val="24"/>
          <w:rtl w:val="0"/>
        </w:rPr>
        <w:t xml:space="preserve"> means an acquisition of supplies or services using simplified acquisition procedures, the aggregate amount of which does not exceed the micro-purchase threshold.” The micro-purchase threshold limit is established in </w:t>
      </w:r>
      <w:hyperlink r:id="rId10">
        <w:r w:rsidDel="00000000" w:rsidR="00000000" w:rsidRPr="00000000">
          <w:rPr>
            <w:color w:val="1155cc"/>
            <w:sz w:val="24"/>
            <w:szCs w:val="24"/>
            <w:u w:val="single"/>
            <w:rtl w:val="0"/>
          </w:rPr>
          <w:t xml:space="preserve">FAR 2.101 Definitions</w:t>
        </w:r>
      </w:hyperlink>
      <w:r w:rsidDel="00000000" w:rsidR="00000000" w:rsidRPr="00000000">
        <w:rPr>
          <w:sz w:val="24"/>
          <w:szCs w:val="24"/>
          <w:rtl w:val="0"/>
        </w:rPr>
        <w:t xml:space="preserve">. </w:t>
      </w:r>
      <w:r w:rsidDel="00000000" w:rsidR="00000000" w:rsidRPr="00000000">
        <w:rPr>
          <w:sz w:val="24"/>
          <w:szCs w:val="24"/>
          <w:rtl w:val="0"/>
        </w:rPr>
        <w:t xml:space="preserve">Convenience checks may not be issued for an amount in excess of one half of the micro-purchase threshold under </w:t>
      </w:r>
      <w:hyperlink r:id="rId11">
        <w:r w:rsidDel="00000000" w:rsidR="00000000" w:rsidRPr="00000000">
          <w:rPr>
            <w:color w:val="1155cc"/>
            <w:sz w:val="24"/>
            <w:szCs w:val="24"/>
            <w:u w:val="single"/>
            <w:rtl w:val="0"/>
          </w:rPr>
          <w:t xml:space="preserve">41 U.S.C. chapter 12, Simplified Acquisition Procedures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widowControl w:val="0"/>
        <w:spacing w:before="271.920166015625" w:line="240" w:lineRule="auto"/>
        <w:ind w:left="0" w:right="270" w:firstLine="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w:t>
      </w:r>
    </w:p>
    <w:p w:rsidR="00000000" w:rsidDel="00000000" w:rsidP="00000000" w:rsidRDefault="00000000" w:rsidRPr="00000000" w14:paraId="00000015">
      <w:pPr>
        <w:widowControl w:val="0"/>
        <w:spacing w:line="240" w:lineRule="auto"/>
        <w:ind w:left="0" w:right="270" w:firstLine="0"/>
        <w:rPr>
          <w:sz w:val="24"/>
          <w:szCs w:val="24"/>
        </w:rPr>
      </w:pPr>
      <w:hyperlink r:id="rId12">
        <w:r w:rsidDel="00000000" w:rsidR="00000000" w:rsidRPr="00000000">
          <w:rPr>
            <w:color w:val="1155cc"/>
            <w:sz w:val="24"/>
            <w:szCs w:val="24"/>
            <w:u w:val="single"/>
            <w:rtl w:val="0"/>
          </w:rPr>
          <w:t xml:space="preserve">FAR 2.101 Definitions</w:t>
        </w:r>
      </w:hyperlink>
      <w:r w:rsidDel="00000000" w:rsidR="00000000" w:rsidRPr="00000000">
        <w:rPr>
          <w:sz w:val="24"/>
          <w:szCs w:val="24"/>
          <w:rtl w:val="0"/>
        </w:rPr>
        <w:t xml:space="preserve"> establishes the micro-purchase threshold limit. However there are exceptions to this limit, which are each defined and the threshold is established in the definition of </w:t>
      </w:r>
      <w:r w:rsidDel="00000000" w:rsidR="00000000" w:rsidRPr="00000000">
        <w:rPr>
          <w:i w:val="1"/>
          <w:sz w:val="24"/>
          <w:szCs w:val="24"/>
          <w:rtl w:val="0"/>
        </w:rPr>
        <w:t xml:space="preserve">micro-purchase threshold</w:t>
      </w:r>
      <w:r w:rsidDel="00000000" w:rsidR="00000000" w:rsidRPr="00000000">
        <w:rPr>
          <w:sz w:val="24"/>
          <w:szCs w:val="24"/>
          <w:rtl w:val="0"/>
        </w:rPr>
        <w:t xml:space="preserve"> in </w:t>
      </w:r>
      <w:hyperlink r:id="rId13">
        <w:r w:rsidDel="00000000" w:rsidR="00000000" w:rsidRPr="00000000">
          <w:rPr>
            <w:color w:val="1155cc"/>
            <w:sz w:val="24"/>
            <w:szCs w:val="24"/>
            <w:u w:val="single"/>
            <w:rtl w:val="0"/>
          </w:rPr>
          <w:t xml:space="preserve">FAR 2.101 Definitions</w:t>
        </w:r>
      </w:hyperlink>
      <w:r w:rsidDel="00000000" w:rsidR="00000000" w:rsidRPr="00000000">
        <w:rPr>
          <w:sz w:val="24"/>
          <w:szCs w:val="24"/>
          <w:rtl w:val="0"/>
        </w:rPr>
        <w:t xml:space="preserve">. These include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900" w:right="270" w:hanging="360"/>
        <w:jc w:val="left"/>
        <w:rPr>
          <w:sz w:val="24"/>
          <w:szCs w:val="24"/>
          <w:u w:val="none"/>
        </w:rPr>
      </w:pPr>
      <w:r w:rsidDel="00000000" w:rsidR="00000000" w:rsidRPr="00000000">
        <w:rPr>
          <w:b w:val="1"/>
          <w:sz w:val="24"/>
          <w:szCs w:val="24"/>
          <w:rtl w:val="0"/>
        </w:rPr>
        <w:t xml:space="preserve">Construction</w:t>
      </w:r>
      <w:r w:rsidDel="00000000" w:rsidR="00000000" w:rsidRPr="00000000">
        <w:rPr>
          <w:sz w:val="24"/>
          <w:szCs w:val="24"/>
          <w:rtl w:val="0"/>
        </w:rPr>
        <w:t xml:space="preserve">:  Defined under </w:t>
      </w:r>
      <w:r w:rsidDel="00000000" w:rsidR="00000000" w:rsidRPr="00000000">
        <w:rPr>
          <w:i w:val="1"/>
          <w:sz w:val="24"/>
          <w:szCs w:val="24"/>
          <w:rtl w:val="0"/>
        </w:rPr>
        <w:t xml:space="preserve">construction</w:t>
      </w:r>
      <w:r w:rsidDel="00000000" w:rsidR="00000000" w:rsidRPr="00000000">
        <w:rPr>
          <w:sz w:val="24"/>
          <w:szCs w:val="24"/>
          <w:rtl w:val="0"/>
        </w:rPr>
        <w:t xml:space="preserve"> and s</w:t>
      </w:r>
      <w:r w:rsidDel="00000000" w:rsidR="00000000" w:rsidRPr="00000000">
        <w:rPr>
          <w:sz w:val="24"/>
          <w:szCs w:val="24"/>
          <w:rtl w:val="0"/>
        </w:rPr>
        <w:t xml:space="preserve">ubject to </w:t>
      </w:r>
      <w:hyperlink r:id="rId14">
        <w:r w:rsidDel="00000000" w:rsidR="00000000" w:rsidRPr="00000000">
          <w:rPr>
            <w:color w:val="1155cc"/>
            <w:sz w:val="24"/>
            <w:szCs w:val="24"/>
            <w:u w:val="single"/>
            <w:rtl w:val="0"/>
          </w:rPr>
          <w:t xml:space="preserve">40 U.S.C. chapter 31, subchapter IV, Wage Rate Requirements</w:t>
        </w:r>
      </w:hyperlink>
      <w:r w:rsidDel="00000000" w:rsidR="00000000" w:rsidRPr="00000000">
        <w:rPr>
          <w:sz w:val="24"/>
          <w:szCs w:val="24"/>
          <w:rtl w:val="0"/>
        </w:rPr>
        <w:t xml:space="preserv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270" w:hanging="360"/>
        <w:jc w:val="left"/>
        <w:rPr>
          <w:sz w:val="24"/>
          <w:szCs w:val="24"/>
          <w:u w:val="none"/>
        </w:rPr>
      </w:pPr>
      <w:r w:rsidDel="00000000" w:rsidR="00000000" w:rsidRPr="00000000">
        <w:rPr>
          <w:b w:val="1"/>
          <w:sz w:val="24"/>
          <w:szCs w:val="24"/>
          <w:rtl w:val="0"/>
        </w:rPr>
        <w:t xml:space="preserve">Services</w:t>
      </w:r>
      <w:r w:rsidDel="00000000" w:rsidR="00000000" w:rsidRPr="00000000">
        <w:rPr>
          <w:sz w:val="24"/>
          <w:szCs w:val="24"/>
          <w:rtl w:val="0"/>
        </w:rPr>
        <w:t xml:space="preserve">:  Subject to </w:t>
      </w:r>
      <w:hyperlink r:id="rId15">
        <w:r w:rsidDel="00000000" w:rsidR="00000000" w:rsidRPr="00000000">
          <w:rPr>
            <w:color w:val="1155cc"/>
            <w:sz w:val="24"/>
            <w:szCs w:val="24"/>
            <w:u w:val="single"/>
            <w:rtl w:val="0"/>
          </w:rPr>
          <w:t xml:space="preserve">41 U.S.C. chapter 67, Service Contract Labor Standards</w:t>
        </w:r>
      </w:hyperlink>
      <w:r w:rsidDel="00000000" w:rsidR="00000000" w:rsidRPr="00000000">
        <w:rPr>
          <w:sz w:val="24"/>
          <w:szCs w:val="24"/>
          <w:rtl w:val="0"/>
        </w:rPr>
        <w:t xml:space="preserv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270" w:hanging="360"/>
        <w:jc w:val="left"/>
        <w:rPr>
          <w:sz w:val="24"/>
          <w:szCs w:val="24"/>
          <w:u w:val="none"/>
        </w:rPr>
      </w:pPr>
      <w:r w:rsidDel="00000000" w:rsidR="00000000" w:rsidRPr="00000000">
        <w:rPr>
          <w:b w:val="1"/>
          <w:sz w:val="24"/>
          <w:szCs w:val="24"/>
          <w:rtl w:val="0"/>
        </w:rPr>
        <w:t xml:space="preserve">Contingency Operations</w:t>
      </w:r>
      <w:r w:rsidDel="00000000" w:rsidR="00000000" w:rsidRPr="00000000">
        <w:rPr>
          <w:sz w:val="24"/>
          <w:szCs w:val="24"/>
          <w:rtl w:val="0"/>
        </w:rPr>
        <w:t xml:space="preserve">:  Defined under </w:t>
      </w:r>
      <w:r w:rsidDel="00000000" w:rsidR="00000000" w:rsidRPr="00000000">
        <w:rPr>
          <w:i w:val="1"/>
          <w:sz w:val="24"/>
          <w:szCs w:val="24"/>
          <w:rtl w:val="0"/>
        </w:rPr>
        <w:t xml:space="preserve">contingency operations</w:t>
      </w:r>
      <w:r w:rsidDel="00000000" w:rsidR="00000000" w:rsidRPr="00000000">
        <w:rPr>
          <w:sz w:val="24"/>
          <w:szCs w:val="24"/>
          <w:rtl w:val="0"/>
        </w:rPr>
        <w:t xml:space="preserve"> and </w:t>
      </w:r>
      <w:hyperlink r:id="rId16">
        <w:r w:rsidDel="00000000" w:rsidR="00000000" w:rsidRPr="00000000">
          <w:rPr>
            <w:color w:val="1155cc"/>
            <w:sz w:val="24"/>
            <w:szCs w:val="24"/>
            <w:u w:val="single"/>
            <w:rtl w:val="0"/>
          </w:rPr>
          <w:t xml:space="preserve">10 U.S.C. 101, Definitions</w:t>
        </w:r>
      </w:hyperlink>
      <w:r w:rsidDel="00000000" w:rsidR="00000000" w:rsidRPr="00000000">
        <w:rPr>
          <w:sz w:val="24"/>
          <w:szCs w:val="24"/>
          <w:rtl w:val="0"/>
        </w:rPr>
        <w:t xml:space="preserve">.  </w:t>
      </w:r>
      <w:r w:rsidDel="00000000" w:rsidR="00000000" w:rsidRPr="00000000">
        <w:rPr>
          <w:sz w:val="24"/>
          <w:szCs w:val="24"/>
          <w:rtl w:val="0"/>
        </w:rPr>
        <w:t xml:space="preserve">Please see  </w:t>
      </w:r>
      <w:hyperlink r:id="rId17">
        <w:r w:rsidDel="00000000" w:rsidR="00000000" w:rsidRPr="00000000">
          <w:rPr>
            <w:color w:val="1155cc"/>
            <w:sz w:val="24"/>
            <w:szCs w:val="24"/>
            <w:u w:val="single"/>
            <w:rtl w:val="0"/>
          </w:rPr>
          <w:t xml:space="preserve">FAR 2.101 Definitions</w:t>
        </w:r>
      </w:hyperlink>
      <w:r w:rsidDel="00000000" w:rsidR="00000000" w:rsidRPr="00000000">
        <w:rPr>
          <w:sz w:val="24"/>
          <w:szCs w:val="24"/>
          <w:rtl w:val="0"/>
        </w:rPr>
        <w:t xml:space="preserve"> for micro-purchase limits for purchases within the United States and purchases made outside of the United States.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270" w:hanging="360"/>
        <w:jc w:val="left"/>
        <w:rPr>
          <w:sz w:val="24"/>
          <w:szCs w:val="24"/>
          <w:u w:val="none"/>
        </w:rPr>
      </w:pPr>
      <w:r w:rsidDel="00000000" w:rsidR="00000000" w:rsidRPr="00000000">
        <w:rPr>
          <w:b w:val="1"/>
          <w:sz w:val="24"/>
          <w:szCs w:val="24"/>
          <w:rtl w:val="0"/>
        </w:rPr>
        <w:t xml:space="preserve">Higher Education</w:t>
      </w:r>
      <w:r w:rsidDel="00000000" w:rsidR="00000000" w:rsidRPr="00000000">
        <w:rPr>
          <w:sz w:val="24"/>
          <w:szCs w:val="24"/>
          <w:rtl w:val="0"/>
        </w:rPr>
        <w:t xml:space="preserve">:  Acquisitions of supplies or services from institutions of higher education or related or affiliated nonprofit entities, or from nonprofit research organizations or independent research institutes.</w:t>
      </w:r>
    </w:p>
    <w:p w:rsidR="00000000" w:rsidDel="00000000" w:rsidP="00000000" w:rsidRDefault="00000000" w:rsidRPr="00000000" w14:paraId="0000001A">
      <w:pPr>
        <w:widowControl w:val="0"/>
        <w:spacing w:before="271.920166015625" w:line="240" w:lineRule="auto"/>
        <w:ind w:left="0" w:right="270" w:firstLine="0"/>
        <w:rPr>
          <w:sz w:val="24"/>
          <w:szCs w:val="24"/>
        </w:rPr>
      </w:pPr>
      <w:r w:rsidDel="00000000" w:rsidR="00000000" w:rsidRPr="00000000">
        <w:rPr>
          <w:b w:val="1"/>
          <w:sz w:val="24"/>
          <w:szCs w:val="24"/>
          <w:rtl w:val="0"/>
        </w:rPr>
        <w:t xml:space="preserve">POTENTIAL AGENCY ACTION</w:t>
      </w:r>
      <w:r w:rsidDel="00000000" w:rsidR="00000000" w:rsidRPr="00000000">
        <w:rPr>
          <w:sz w:val="24"/>
          <w:szCs w:val="24"/>
          <w:rtl w:val="0"/>
        </w:rPr>
        <w:t xml:space="preserve">:</w:t>
      </w:r>
    </w:p>
    <w:p w:rsidR="00000000" w:rsidDel="00000000" w:rsidP="00000000" w:rsidRDefault="00000000" w:rsidRPr="00000000" w14:paraId="0000001B">
      <w:pPr>
        <w:widowControl w:val="0"/>
        <w:spacing w:before="0" w:line="229.97451782226562" w:lineRule="auto"/>
        <w:ind w:left="0" w:right="270" w:firstLine="0"/>
        <w:rPr>
          <w:sz w:val="24"/>
          <w:szCs w:val="24"/>
        </w:rPr>
      </w:pPr>
      <w:r w:rsidDel="00000000" w:rsidR="00000000" w:rsidRPr="00000000">
        <w:rPr>
          <w:sz w:val="24"/>
          <w:szCs w:val="24"/>
          <w:rtl w:val="0"/>
        </w:rPr>
        <w:t xml:space="preserve">Agencies are not required to designate purchase limits at the maximum micro-purchase limits established by the FAR. Instead, agencies should consider evaluating current procurement needs, established spending controls, and current purchase card spending limits to determine whether or setting spending limits at the micro-purchase threshold is required to meet the needs of an agency.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sz w:val="24"/>
          <w:szCs w:val="24"/>
        </w:rPr>
      </w:pPr>
      <w:r w:rsidDel="00000000" w:rsidR="00000000" w:rsidRPr="00000000">
        <w:rPr>
          <w:sz w:val="24"/>
          <w:szCs w:val="24"/>
          <w:rtl w:val="0"/>
        </w:rPr>
        <w:t xml:space="preserve">David J. Shea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sz w:val="24"/>
          <w:szCs w:val="24"/>
        </w:rPr>
      </w:pPr>
      <w:r w:rsidDel="00000000" w:rsidR="00000000" w:rsidRPr="00000000">
        <w:rPr>
          <w:sz w:val="24"/>
          <w:szCs w:val="24"/>
          <w:rtl w:val="0"/>
        </w:rPr>
        <w:t xml:space="preserve">Program Director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sz w:val="24"/>
          <w:szCs w:val="24"/>
        </w:rPr>
      </w:pPr>
      <w:r w:rsidDel="00000000" w:rsidR="00000000" w:rsidRPr="00000000">
        <w:rPr>
          <w:sz w:val="24"/>
          <w:szCs w:val="24"/>
          <w:rtl w:val="0"/>
        </w:rPr>
        <w:t xml:space="preserve">Center for Charge Card Management  </w:t>
      </w:r>
    </w:p>
    <w:p w:rsidR="00000000" w:rsidDel="00000000" w:rsidP="00000000" w:rsidRDefault="00000000" w:rsidRPr="00000000" w14:paraId="00000020">
      <w:pPr>
        <w:widowControl w:val="0"/>
        <w:spacing w:before="276.56005859375" w:line="231.84056282043457" w:lineRule="auto"/>
        <w:ind w:left="50.379791259765625" w:right="829.2822265625" w:firstLine="0"/>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sz w:val="24"/>
          <w:szCs w:val="24"/>
          <w:rtl w:val="0"/>
        </w:rPr>
        <w:t xml:space="preserve">For questions related to this Smart Bulletin, please contact the GSA SmartPay Team via email at </w:t>
      </w:r>
      <w:hyperlink r:id="rId18">
        <w:r w:rsidDel="00000000" w:rsidR="00000000" w:rsidRPr="00000000">
          <w:rPr>
            <w:color w:val="1155cc"/>
            <w:sz w:val="24"/>
            <w:szCs w:val="24"/>
            <w:u w:val="single"/>
            <w:rtl w:val="0"/>
          </w:rPr>
          <w:t xml:space="preserve">gsa_smartpay@gsa.gov</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11242675781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199157714844"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sectPr>
      <w:headerReference r:id="rId19" w:type="default"/>
      <w:pgSz w:h="15840" w:w="12240" w:orient="portrait"/>
      <w:pgMar w:bottom="1496.3999938964844" w:top="1010" w:left="1320" w:right="12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code.house.gov/view.xhtml?path=/prelim@title41/subtitle1/divisionB/chapter19&amp;edition=prelim" TargetMode="External"/><Relationship Id="rId10" Type="http://schemas.openxmlformats.org/officeDocument/2006/relationships/hyperlink" Target="https://www.acquisition.gov/far/subpart-2.1#FAR_2_101" TargetMode="External"/><Relationship Id="rId13" Type="http://schemas.openxmlformats.org/officeDocument/2006/relationships/hyperlink" Target="https://www.acquisition.gov/far/subpart-2.1#FAR_2_101" TargetMode="External"/><Relationship Id="rId12" Type="http://schemas.openxmlformats.org/officeDocument/2006/relationships/hyperlink" Target="https://www.acquisition.gov/far/subpart-2.1#FAR_2_1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quisition.gov/far/subpart-2.1#FAR_2_101" TargetMode="External"/><Relationship Id="rId15" Type="http://schemas.openxmlformats.org/officeDocument/2006/relationships/hyperlink" Target="https://uscode.house.gov/view.xhtml?path=/prelim@title41/subtitle2/chapter67&amp;edition=prelim" TargetMode="External"/><Relationship Id="rId14" Type="http://schemas.openxmlformats.org/officeDocument/2006/relationships/hyperlink" Target="https://uscode.house.gov/view.xhtml?path=/prelim@title40/subtitle2/partA/chapter31/subchapter4&amp;edition=prelim" TargetMode="External"/><Relationship Id="rId17" Type="http://schemas.openxmlformats.org/officeDocument/2006/relationships/hyperlink" Target="https://www.acquisition.gov/far/subpart-2.1#FAR_2_101" TargetMode="External"/><Relationship Id="rId16" Type="http://schemas.openxmlformats.org/officeDocument/2006/relationships/hyperlink" Target="https://uscode.house.gov/view.xhtml?req=(title:10%20section:101%20edition:prelim)%20OR%20(granuleid:USC-prelim-title10-section101)&amp;f=treesort&amp;edition=prelim&amp;num=0&amp;jumpTo=tru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mailto:gsa_smartpay@gsa.gov" TargetMode="External"/><Relationship Id="rId7" Type="http://schemas.openxmlformats.org/officeDocument/2006/relationships/hyperlink" Target="https://www.acquisition.gov/far/subpart-13.2" TargetMode="External"/><Relationship Id="rId8" Type="http://schemas.openxmlformats.org/officeDocument/2006/relationships/hyperlink" Target="https://www.acquisition.gov/far/subpart-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