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rjdmxfxxr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MCP_Guarda-Pitch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8xco7dg4v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One‑liner &amp; Value Prop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7dqu4rlugn9t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MCP_Guarda</w:t>
      </w:r>
      <w:r w:rsidDel="00000000" w:rsidR="00000000" w:rsidRPr="00000000">
        <w:rPr>
          <w:sz w:val="26"/>
          <w:szCs w:val="26"/>
          <w:rtl w:val="0"/>
        </w:rPr>
        <w:t xml:space="preserve"> is a lightweight </w:t>
      </w:r>
      <w:r w:rsidDel="00000000" w:rsidR="00000000" w:rsidRPr="00000000">
        <w:rPr>
          <w:b w:val="1"/>
          <w:sz w:val="26"/>
          <w:szCs w:val="26"/>
          <w:rtl w:val="0"/>
        </w:rPr>
        <w:t xml:space="preserve">policy proxy + consent gateway</w:t>
      </w:r>
      <w:r w:rsidDel="00000000" w:rsidR="00000000" w:rsidRPr="00000000">
        <w:rPr>
          <w:sz w:val="26"/>
          <w:szCs w:val="26"/>
          <w:rtl w:val="0"/>
        </w:rPr>
        <w:t xml:space="preserve"> that sits between any MCP client and MCP servers to enforce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deny‑by‑default</w:t>
      </w:r>
      <w:r w:rsidDel="00000000" w:rsidR="00000000" w:rsidRPr="00000000">
        <w:rPr>
          <w:sz w:val="26"/>
          <w:szCs w:val="26"/>
          <w:rtl w:val="0"/>
        </w:rPr>
        <w:t xml:space="preserve"> policies, </w:t>
      </w:r>
      <w:r w:rsidDel="00000000" w:rsidR="00000000" w:rsidRPr="00000000">
        <w:rPr>
          <w:b w:val="1"/>
          <w:sz w:val="26"/>
          <w:szCs w:val="26"/>
          <w:rtl w:val="0"/>
        </w:rPr>
        <w:t xml:space="preserve">human approvals</w:t>
      </w:r>
      <w:r w:rsidDel="00000000" w:rsidR="00000000" w:rsidRPr="00000000">
        <w:rPr>
          <w:sz w:val="26"/>
          <w:szCs w:val="26"/>
          <w:rtl w:val="0"/>
        </w:rPr>
        <w:t xml:space="preserve"> for risky actions,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sandboxed side‑effects</w:t>
      </w:r>
      <w:r w:rsidDel="00000000" w:rsidR="00000000" w:rsidRPr="00000000">
        <w:rPr>
          <w:sz w:val="26"/>
          <w:szCs w:val="26"/>
          <w:rtl w:val="0"/>
        </w:rPr>
        <w:t xml:space="preserve"> (filesystem &amp; network), with complete </w:t>
      </w:r>
      <w:r w:rsidDel="00000000" w:rsidR="00000000" w:rsidRPr="00000000">
        <w:rPr>
          <w:b w:val="1"/>
          <w:sz w:val="26"/>
          <w:szCs w:val="26"/>
          <w:rtl w:val="0"/>
        </w:rPr>
        <w:t xml:space="preserve">audit trails</w:t>
      </w:r>
      <w:r w:rsidDel="00000000" w:rsidR="00000000" w:rsidRPr="00000000">
        <w:rPr>
          <w:sz w:val="26"/>
          <w:szCs w:val="26"/>
          <w:rtl w:val="0"/>
        </w:rPr>
        <w:t xml:space="preserve">. It reduces the new attack surface introduced by MCP tool integrations without touching the MCP spec.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dow4ihrr7l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Packaging strategy (open-core, add-on modules)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(OSS, Apache-2.0)</w:t>
      </w:r>
      <w:r w:rsidDel="00000000" w:rsidR="00000000" w:rsidRPr="00000000">
        <w:rPr>
          <w:rtl w:val="0"/>
        </w:rPr>
        <w:t xml:space="preserve">: JSON-RPC proxy, policy engine (allow/ask/deny), consent UI (local), write quarantine, network/exec gates, audit logs, local YAML policies.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 (license key)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WebAuthn/biometric approvals, diff viewer for writes, short-term approval caching (“remember 10 min”), host/path templates, log export (NDJSON→CSV), auto-updates, GUI installer.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Teams (SaaS or self-host)</w:t>
      </w:r>
      <w:r w:rsidDel="00000000" w:rsidR="00000000" w:rsidRPr="00000000">
        <w:rPr>
          <w:rtl w:val="0"/>
        </w:rPr>
        <w:t xml:space="preserve">: Central policy sync, device enrollment, SSO (OIDC/SAML), role-based rules, team audit console, slack/email alerts.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(annual)</w:t>
      </w:r>
      <w:r w:rsidDel="00000000" w:rsidR="00000000" w:rsidRPr="00000000">
        <w:rPr>
          <w:rtl w:val="0"/>
        </w:rPr>
        <w:t xml:space="preserve">: Container sandbox runner (Docker/NSJail), OPA/Cerbos integration, MDM/Intune profiles, on-prem policy server, priority support, security reviews.</w:t>
        <w:br w:type="textWrapping"/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1nv1o7uewmg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Feature matrix (what’s in each edition)</w:t>
      </w:r>
    </w:p>
    <w:tbl>
      <w:tblPr>
        <w:tblStyle w:val="Table1"/>
        <w:tblW w:w="7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5"/>
        <w:gridCol w:w="1340"/>
        <w:gridCol w:w="965"/>
        <w:gridCol w:w="965"/>
        <w:tblGridChange w:id="0">
          <w:tblGrid>
            <w:gridCol w:w="4205"/>
            <w:gridCol w:w="1340"/>
            <w:gridCol w:w="965"/>
            <w:gridCol w:w="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(free)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Deny-by-default policy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Human consent UI (local)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File write quarantine &amp; apply on approve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Network/exec allowlists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WebAuthn/biometric approvals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“Remember for N mins / 1 request”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Rich diff (side-by-side)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Log export &amp; redaction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Central policy sync &amp; device fleet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SSO (OIDC/SAML), RBAC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Alerting &amp; dashboards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Container sandbox + least-priv runtime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Add-on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Add-on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0z1v71zju41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Pricing (clean, procurement-friendly)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$7/user/month or $60/year. 14-day trial. License key in the app.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$3–5/user/month (min 10 seats) + $99/month tenant. Annual: 20% off.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: custom. Per-org license + support SLA. Optional on-prem policy server.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