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tight, actionable synthesis from the two papers you shared, mapped to MCP Guarda.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y3ny1hl0vl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What’s directly relevant to MCP Guarda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Defense-in-depth controls you can put “in the middle”</w:t>
      </w:r>
      <w:r w:rsidDel="00000000" w:rsidR="00000000" w:rsidRPr="00000000">
        <w:rPr>
          <w:rtl w:val="0"/>
        </w:rPr>
        <w:t xml:space="preserve"> (our proxy): authN/authZ via tokens, </w:t>
      </w:r>
      <w:r w:rsidDel="00000000" w:rsidR="00000000" w:rsidRPr="00000000">
        <w:rPr>
          <w:b w:val="1"/>
          <w:rtl w:val="0"/>
        </w:rPr>
        <w:t xml:space="preserve">rate-limiting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WAF-style input scanning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rich logging/tracing</w:t>
      </w:r>
      <w:r w:rsidDel="00000000" w:rsidR="00000000" w:rsidRPr="00000000">
        <w:rPr>
          <w:rtl w:val="0"/>
        </w:rPr>
        <w:t xml:space="preserve"> for auditing. These are presented as the core of a security-first MCP middleware and line up perfectly with Guarda’s role as a policy proxy.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Concrete MCP attack vectors we must cover</w:t>
      </w:r>
      <w:r w:rsidDel="00000000" w:rsidR="00000000" w:rsidRPr="00000000">
        <w:rPr>
          <w:rtl w:val="0"/>
        </w:rPr>
        <w:t xml:space="preserve">: tool poisoning (hidden exfil in docstrings), look-alike tool names, tool “shadowing”, installer spoofing, command injection, “rug pulls” (malicious updates), token theft, sandbox escapes. These are a ready-made threat model for our checklists, policies, and scanners.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Observability requirement</w:t>
      </w:r>
      <w:r w:rsidDel="00000000" w:rsidR="00000000" w:rsidRPr="00000000">
        <w:rPr>
          <w:rtl w:val="0"/>
        </w:rPr>
        <w:t xml:space="preserve">: detailed request/response logging and optional distributed tracing (OpenTelemetry) to follow chained tool calls—critical for forensics and compliance.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Measured overhead</w:t>
      </w:r>
      <w:r w:rsidDel="00000000" w:rsidR="00000000" w:rsidRPr="00000000">
        <w:rPr>
          <w:rtl w:val="0"/>
        </w:rPr>
        <w:t xml:space="preserve">: a lightweight middleware adds ~3–4 ms median latency (10–15% local overhead) when doing token checks, rate-limits, regex WAF, and logging—good investor-friendly data point for “low friction.”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Roadmap levers</w:t>
      </w:r>
      <w:r w:rsidDel="00000000" w:rsidR="00000000" w:rsidRPr="00000000">
        <w:rPr>
          <w:rtl w:val="0"/>
        </w:rPr>
        <w:t xml:space="preserve">: sandboxing/containers, signed tools / trusted registries, least-privilege scoping, anomaly detection, policy-as-code (OPA), tamper-resistant audits. These map to our Pro/Teams differentiation.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Bridge to REST</w:t>
      </w:r>
      <w:r w:rsidDel="00000000" w:rsidR="00000000" w:rsidRPr="00000000">
        <w:rPr>
          <w:rtl w:val="0"/>
        </w:rPr>
        <w:t xml:space="preserve"> (for mobile/web/edge): MCP Bridge exposes MCP servers via a </w:t>
      </w:r>
      <w:r w:rsidDel="00000000" w:rsidR="00000000" w:rsidRPr="00000000">
        <w:rPr>
          <w:b w:val="1"/>
          <w:rtl w:val="0"/>
        </w:rPr>
        <w:t xml:space="preserve">unified REST API</w:t>
      </w:r>
      <w:r w:rsidDel="00000000" w:rsidR="00000000" w:rsidRPr="00000000">
        <w:rPr>
          <w:rtl w:val="0"/>
        </w:rPr>
        <w:t xml:space="preserve">, solving STDIO/local-process limitations and adding </w:t>
      </w:r>
      <w:r w:rsidDel="00000000" w:rsidR="00000000" w:rsidRPr="00000000">
        <w:rPr>
          <w:b w:val="1"/>
          <w:rtl w:val="0"/>
        </w:rPr>
        <w:t xml:space="preserve">risk-based execution</w:t>
      </w:r>
      <w:r w:rsidDel="00000000" w:rsidR="00000000" w:rsidRPr="00000000">
        <w:rPr>
          <w:rtl w:val="0"/>
        </w:rPr>
        <w:t xml:space="preserve"> with three levels: standard, user confirmation, and </w:t>
      </w:r>
      <w:r w:rsidDel="00000000" w:rsidR="00000000" w:rsidRPr="00000000">
        <w:rPr>
          <w:b w:val="1"/>
          <w:rtl w:val="0"/>
        </w:rPr>
        <w:t xml:space="preserve">Docker isolation</w:t>
      </w:r>
      <w:r w:rsidDel="00000000" w:rsidR="00000000" w:rsidRPr="00000000">
        <w:rPr>
          <w:rtl w:val="0"/>
        </w:rPr>
        <w:t xml:space="preserve">. That’s a strong complement to Guarda’s policy/consent model.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plumbing we can reuse</w:t>
      </w:r>
      <w:r w:rsidDel="00000000" w:rsidR="00000000" w:rsidRPr="00000000">
        <w:rPr>
          <w:rtl w:val="0"/>
        </w:rPr>
        <w:t xml:space="preserve">: consistent endpoints for tools/resources/prompts; server lifecycle (spawn, discover, heartbeat, auto-reconnect, pooling, request queueing). These translate to “Guarda + Bridge” reference integrations and SLA-friendly ops.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workflow pattern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medium-risk = two-phase “request → human confirmation → execute”; high-risk = </w:t>
      </w:r>
      <w:r w:rsidDel="00000000" w:rsidR="00000000" w:rsidRPr="00000000">
        <w:rPr>
          <w:b w:val="1"/>
          <w:rtl w:val="0"/>
        </w:rPr>
        <w:t xml:space="preserve">containerized execution</w:t>
      </w:r>
      <w:r w:rsidDel="00000000" w:rsidR="00000000" w:rsidRPr="00000000">
        <w:rPr>
          <w:rtl w:val="0"/>
        </w:rPr>
        <w:t xml:space="preserve">. Perfectly aligns with our “Ask” + quarantine + optional sandbox story.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9gfv3vsj9sj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Essential angles we should integrate (that we likely haven’t covered fully yet)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Input-layer WAF</w:t>
      </w:r>
      <w:r w:rsidDel="00000000" w:rsidR="00000000" w:rsidRPr="00000000">
        <w:rPr>
          <w:rtl w:val="0"/>
        </w:rPr>
        <w:t xml:space="preserve"> for LLM tool calls</w:t>
        <w:br w:type="textWrapping"/>
        <w:t xml:space="preserve"> Signature/regex rules for destructive shell, SQLi, secrets/SSH paths; configurable rulesets per tool/server.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Rate limiting &amp; runaway loop control</w:t>
        <w:br w:type="textWrapping"/>
      </w:r>
      <w:r w:rsidDel="00000000" w:rsidR="00000000" w:rsidRPr="00000000">
        <w:rPr>
          <w:rtl w:val="0"/>
        </w:rPr>
        <w:t xml:space="preserve"> Per-token quotas with 429s to stop agent loops/DoS; visible counters in the audit UI.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Token-scoped authZ</w:t>
        <w:br w:type="textWrapping"/>
      </w:r>
      <w:r w:rsidDel="00000000" w:rsidR="00000000" w:rsidRPr="00000000">
        <w:rPr>
          <w:rtl w:val="0"/>
        </w:rPr>
        <w:t xml:space="preserve"> Short-lived, </w:t>
      </w:r>
      <w:r w:rsidDel="00000000" w:rsidR="00000000" w:rsidRPr="00000000">
        <w:rPr>
          <w:b w:val="1"/>
          <w:rtl w:val="0"/>
        </w:rPr>
        <w:t xml:space="preserve">scope-limited tokens</w:t>
      </w:r>
      <w:r w:rsidDel="00000000" w:rsidR="00000000" w:rsidRPr="00000000">
        <w:rPr>
          <w:rtl w:val="0"/>
        </w:rPr>
        <w:t xml:space="preserve"> (read-only vs admin; per-tool scopes). Pairs well with our ephemeral-secret brokering.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Supply-chain protections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Installer integrity</w:t>
      </w:r>
      <w:r w:rsidDel="00000000" w:rsidR="00000000" w:rsidRPr="00000000">
        <w:rPr>
          <w:rtl w:val="0"/>
        </w:rPr>
        <w:t xml:space="preserve"> checks and warnings (hash/signature) to defeat “installer spoofing”.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Trusted, signed server registry / version pinning</w:t>
      </w:r>
      <w:r w:rsidDel="00000000" w:rsidR="00000000" w:rsidRPr="00000000">
        <w:rPr>
          <w:rtl w:val="0"/>
        </w:rPr>
        <w:t xml:space="preserve"> to prevent “rug pulls.”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Name-collision guardrails</w:t>
        <w:br w:type="textWrapping"/>
      </w:r>
      <w:r w:rsidDel="00000000" w:rsidR="00000000" w:rsidRPr="00000000">
        <w:rPr>
          <w:rtl w:val="0"/>
        </w:rPr>
        <w:t xml:space="preserve"> UI and policy warnings for look-alike server names; optional allow-by-fingerprint.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Shadowing detection</w:t>
        <w:br w:type="textWrapping"/>
      </w:r>
      <w:r w:rsidDel="00000000" w:rsidR="00000000" w:rsidRPr="00000000">
        <w:rPr>
          <w:rtl w:val="0"/>
        </w:rPr>
        <w:t xml:space="preserve"> Linting for suspicious tool descriptions (e.g., redefining unrelated tools).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Observability beyond logs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First-class </w:t>
      </w:r>
      <w:r w:rsidDel="00000000" w:rsidR="00000000" w:rsidRPr="00000000">
        <w:rPr>
          <w:b w:val="1"/>
          <w:rtl w:val="0"/>
        </w:rPr>
        <w:t xml:space="preserve">tracing IDs</w:t>
      </w:r>
      <w:r w:rsidDel="00000000" w:rsidR="00000000" w:rsidRPr="00000000">
        <w:rPr>
          <w:rtl w:val="0"/>
        </w:rPr>
        <w:t xml:space="preserve"> across chained tool calls (OpenTelemetry hooks).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Tamper-evident audit logs (hash-chaining).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Risk-based execution tiers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Low: pass-through.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Medium: </w:t>
      </w:r>
      <w:r w:rsidDel="00000000" w:rsidR="00000000" w:rsidRPr="00000000">
        <w:rPr>
          <w:b w:val="1"/>
          <w:rtl w:val="0"/>
        </w:rPr>
        <w:t xml:space="preserve">two-phase confirm</w:t>
      </w:r>
      <w:r w:rsidDel="00000000" w:rsidR="00000000" w:rsidRPr="00000000">
        <w:rPr>
          <w:rtl w:val="0"/>
        </w:rPr>
        <w:t xml:space="preserve"> (user presence).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High: </w:t>
      </w:r>
      <w:r w:rsidDel="00000000" w:rsidR="00000000" w:rsidRPr="00000000">
        <w:rPr>
          <w:b w:val="1"/>
          <w:rtl w:val="0"/>
        </w:rPr>
        <w:t xml:space="preserve">container isolation</w:t>
      </w:r>
      <w:r w:rsidDel="00000000" w:rsidR="00000000" w:rsidRPr="00000000">
        <w:rPr>
          <w:rtl w:val="0"/>
        </w:rPr>
        <w:t xml:space="preserve"> (Docker/NSJail), minimal mounts.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 bridge mode</w:t>
      </w:r>
      <w:r w:rsidDel="00000000" w:rsidR="00000000" w:rsidRPr="00000000">
        <w:rPr>
          <w:rtl w:val="0"/>
        </w:rPr>
        <w:t xml:space="preserve"> (optional)</w:t>
        <w:br w:type="textWrapping"/>
        <w:t xml:space="preserve"> Offer a “Bridge” profile to expose MCP via REST for browsers/mobile/edge, backed by our guardrails.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Policy-as-code</w:t>
        <w:br w:type="textWrapping"/>
      </w:r>
      <w:r w:rsidDel="00000000" w:rsidR="00000000" w:rsidRPr="00000000">
        <w:rPr>
          <w:rtl w:val="0"/>
        </w:rPr>
        <w:t xml:space="preserve"> OPA/Cerbos adapter for enterprises; live policy updates without restarts.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Anomaly detection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Heuristics/ML for atypical call rates or unusual tool sequences → alert/auto-deny.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aoddgzct552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What will make MCP Guarda competitive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Only product that unifies policy proxy + consent + WAF + rate-limit + tracing + (optional) REST bridge + container isolation</w:t>
      </w:r>
      <w:r w:rsidDel="00000000" w:rsidR="00000000" w:rsidRPr="00000000">
        <w:rPr>
          <w:rtl w:val="0"/>
        </w:rPr>
        <w:t xml:space="preserve"> in one local-first package. Competitors usually do one or two of these, not the full stack.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 friction, measured</w:t>
      </w:r>
      <w:r w:rsidDel="00000000" w:rsidR="00000000" w:rsidRPr="00000000">
        <w:rPr>
          <w:rtl w:val="0"/>
        </w:rPr>
        <w:t xml:space="preserve">: we can cite “single-digit millisecond overhead” as the target—credible because similar middleware measured +3–4 ms. That eases adoption objections.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Cross-platform reach</w:t>
      </w:r>
      <w:r w:rsidDel="00000000" w:rsidR="00000000" w:rsidRPr="00000000">
        <w:rPr>
          <w:rtl w:val="0"/>
        </w:rPr>
        <w:t xml:space="preserve">: STDIO and </w:t>
      </w:r>
      <w:r w:rsidDel="00000000" w:rsidR="00000000" w:rsidRPr="00000000">
        <w:rPr>
          <w:b w:val="1"/>
          <w:rtl w:val="0"/>
        </w:rPr>
        <w:t xml:space="preserve">REST modes</w:t>
      </w:r>
      <w:r w:rsidDel="00000000" w:rsidR="00000000" w:rsidRPr="00000000">
        <w:rPr>
          <w:rtl w:val="0"/>
        </w:rPr>
        <w:t xml:space="preserve">. Teams can guard desktop MCP today, and extend protection to </w:t>
      </w:r>
      <w:r w:rsidDel="00000000" w:rsidR="00000000" w:rsidRPr="00000000">
        <w:rPr>
          <w:b w:val="1"/>
          <w:rtl w:val="0"/>
        </w:rPr>
        <w:t xml:space="preserve">mobile/web/edge</w:t>
      </w:r>
      <w:r w:rsidDel="00000000" w:rsidR="00000000" w:rsidRPr="00000000">
        <w:rPr>
          <w:rtl w:val="0"/>
        </w:rPr>
        <w:t xml:space="preserve"> tomorrow without changing servers.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Enterprise-ready roadmap from day one</w:t>
      </w:r>
      <w:r w:rsidDel="00000000" w:rsidR="00000000" w:rsidRPr="00000000">
        <w:rPr>
          <w:rtl w:val="0"/>
        </w:rPr>
        <w:t xml:space="preserve">: signed server registry + version pinning, OPA, RBAC, tracing, and containerized “high-risk” execution tick classic security/compliance boxes.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Best-practice threat coverage</w:t>
      </w:r>
      <w:r w:rsidDel="00000000" w:rsidR="00000000" w:rsidRPr="00000000">
        <w:rPr>
          <w:rtl w:val="0"/>
        </w:rPr>
        <w:t xml:space="preserve">: we explicitly address all eight MCP vectors (poisoning, collisions, shadowing, installer spoofing, command injection, rug pulls, token theft, sandbox escape) with policy, scanners, and isolation.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f7y2gkceuk2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Concrete add-ons for our PoC (fast wins)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WAF rules</w:t>
      </w:r>
      <w:r w:rsidDel="00000000" w:rsidR="00000000" w:rsidRPr="00000000">
        <w:rPr>
          <w:rtl w:val="0"/>
        </w:rPr>
        <w:t xml:space="preserve"> (configurable) + </w:t>
      </w:r>
      <w:r w:rsidDel="00000000" w:rsidR="00000000" w:rsidRPr="00000000">
        <w:rPr>
          <w:b w:val="1"/>
          <w:rtl w:val="0"/>
        </w:rPr>
        <w:t xml:space="preserve">per-token rate-limits</w:t>
      </w:r>
      <w:r w:rsidDel="00000000" w:rsidR="00000000" w:rsidRPr="00000000">
        <w:rPr>
          <w:rtl w:val="0"/>
        </w:rPr>
        <w:t xml:space="preserve"> to the proxy pipeline.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two-phase confirm</w:t>
      </w:r>
      <w:r w:rsidDel="00000000" w:rsidR="00000000" w:rsidRPr="00000000">
        <w:rPr>
          <w:rtl w:val="0"/>
        </w:rPr>
        <w:t xml:space="preserve"> path and a simple </w:t>
      </w:r>
      <w:r w:rsidDel="00000000" w:rsidR="00000000" w:rsidRPr="00000000">
        <w:rPr>
          <w:b w:val="1"/>
          <w:rtl w:val="0"/>
        </w:rPr>
        <w:t xml:space="preserve">Docker profile</w:t>
      </w:r>
      <w:r w:rsidDel="00000000" w:rsidR="00000000" w:rsidRPr="00000000">
        <w:rPr>
          <w:rtl w:val="0"/>
        </w:rPr>
        <w:t xml:space="preserve"> for “high-risk” tool calls.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Expose </w:t>
      </w:r>
      <w:r w:rsidDel="00000000" w:rsidR="00000000" w:rsidRPr="00000000">
        <w:rPr>
          <w:b w:val="1"/>
          <w:rtl w:val="0"/>
        </w:rPr>
        <w:t xml:space="preserve">REST façade</w:t>
      </w:r>
      <w:r w:rsidDel="00000000" w:rsidR="00000000" w:rsidRPr="00000000">
        <w:rPr>
          <w:rtl w:val="0"/>
        </w:rPr>
        <w:t xml:space="preserve"> as an optional mode for demos on browser/mobile.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Wire </w:t>
      </w:r>
      <w:r w:rsidDel="00000000" w:rsidR="00000000" w:rsidRPr="00000000">
        <w:rPr>
          <w:b w:val="1"/>
          <w:rtl w:val="0"/>
        </w:rPr>
        <w:t xml:space="preserve">trace IDs</w:t>
      </w:r>
      <w:r w:rsidDel="00000000" w:rsidR="00000000" w:rsidRPr="00000000">
        <w:rPr>
          <w:rtl w:val="0"/>
        </w:rPr>
        <w:t xml:space="preserve"> through requests and start a basic OpenTelemetry exporter.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Publish a </w:t>
      </w:r>
      <w:r w:rsidDel="00000000" w:rsidR="00000000" w:rsidRPr="00000000">
        <w:rPr>
          <w:b w:val="1"/>
          <w:rtl w:val="0"/>
        </w:rPr>
        <w:t xml:space="preserve">signed installer</w:t>
      </w:r>
      <w:r w:rsidDel="00000000" w:rsidR="00000000" w:rsidRPr="00000000">
        <w:rPr>
          <w:rtl w:val="0"/>
        </w:rPr>
        <w:t xml:space="preserve"> and checksum; add a “server fingerprint” trust prompt to kill spoofing risks.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