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zebvmcwriz5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“Mindful Diagnostic Tool” with bounded agents, MCP tools, and dual-knowledge memory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y2wwq9ah9w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Control plane (genome-driven)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Genome (v1)</w:t>
      </w:r>
      <w:r w:rsidDel="00000000" w:rsidR="00000000" w:rsidRPr="00000000">
        <w:rPr>
          <w:rtl w:val="0"/>
        </w:rPr>
        <w:t xml:space="preserve"> — YAML/JSON spec of services, workflows, policies, safety rules, SLOs, rollback playbooks; signed &amp; versioned.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Genome Runner (autopoiesis)</w:t>
      </w:r>
      <w:r w:rsidDel="00000000" w:rsidR="00000000" w:rsidRPr="00000000">
        <w:rPr>
          <w:rtl w:val="0"/>
        </w:rPr>
        <w:t xml:space="preserve"> — interprets the genome to deploy/repair/migrate components (K8s operators or equivalents), emits lifecycle events, and enforces identity during migrations.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MDPI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Workflow Manager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executes clinical workflows from the genome (triage → evidence gathering → hypothesis generation → explanation → human gate).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Cognizing Oracles</w:t>
      </w:r>
      <w:r w:rsidDel="00000000" w:rsidR="00000000" w:rsidRPr="00000000">
        <w:rPr>
          <w:rtl w:val="0"/>
        </w:rPr>
        <w:t xml:space="preserve"> — policy/ethics/teleonomy checks; confidence &amp; contradiction analysis; explanation with provenance; all ML/LLM outputs pass through here before action.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MDPI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he9538099t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Knowledge &amp; memory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Knowledge Graph (Neo4j)</w:t>
      </w:r>
      <w:r w:rsidDel="00000000" w:rsidR="00000000" w:rsidRPr="00000000">
        <w:rPr>
          <w:rtl w:val="0"/>
        </w:rPr>
        <w:t xml:space="preserve"> — canonical medical graph (Patient/Encounter/Observation/Medication/Procedure/Allergy/Imaging, plus disease/syndrome relations, UMLS/SNOMED/ICD mappings).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Individual (Local) KGs</w:t>
      </w:r>
      <w:r w:rsidDel="00000000" w:rsidR="00000000" w:rsidRPr="00000000">
        <w:rPr>
          <w:rtl w:val="0"/>
        </w:rPr>
        <w:t xml:space="preserve"> — per service/agent: role-specific patterns, execution logs, decision histories; tuned for fast, local retrieval.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Store (append-only)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Kafka → Lake (Iceberg/Delta) capturing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observation→inference→action</w:t>
      </w:r>
      <w:r w:rsidDel="00000000" w:rsidR="00000000" w:rsidRPr="00000000">
        <w:rPr>
          <w:rtl w:val="0"/>
        </w:rPr>
        <w:t xml:space="preserve"> chains; is the </w:t>
      </w:r>
      <w:r w:rsidDel="00000000" w:rsidR="00000000" w:rsidRPr="00000000">
        <w:rPr>
          <w:b w:val="1"/>
          <w:rtl w:val="0"/>
        </w:rPr>
        <w:t xml:space="preserve">ground truth</w:t>
      </w:r>
      <w:r w:rsidDel="00000000" w:rsidR="00000000" w:rsidRPr="00000000">
        <w:rPr>
          <w:rtl w:val="0"/>
        </w:rPr>
        <w:t xml:space="preserve"> for reflection, audit, and safety cases.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Preprints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Reflector service</w:t>
      </w:r>
      <w:r w:rsidDel="00000000" w:rsidR="00000000" w:rsidRPr="00000000">
        <w:rPr>
          <w:rtl w:val="0"/>
        </w:rPr>
        <w:t xml:space="preserve"> — computes drift, quality deltas, and safety metrics; proposes genome/policy updates backed by event evidence; humans approve changes.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ral7z3dnj6x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Agentic layer (bounded)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Tool Adapters</w:t>
      </w:r>
      <w:r w:rsidDel="00000000" w:rsidR="00000000" w:rsidRPr="00000000">
        <w:rPr>
          <w:rtl w:val="0"/>
        </w:rPr>
        <w:t xml:space="preserve"> (inside app):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Data curation agent</w:t>
      </w:r>
      <w:r w:rsidDel="00000000" w:rsidR="00000000" w:rsidRPr="00000000">
        <w:rPr>
          <w:rtl w:val="0"/>
        </w:rPr>
        <w:t xml:space="preserve"> — validates &amp; normalizes clinical texts/images before KG ingestion.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Evidence summarizer agent</w:t>
      </w:r>
      <w:r w:rsidDel="00000000" w:rsidR="00000000" w:rsidRPr="00000000">
        <w:rPr>
          <w:rtl w:val="0"/>
        </w:rPr>
        <w:t xml:space="preserve"> — drafts patient-specific evidence summaries &amp; counterfactuals; Oracle checks and clinician approves.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Coding/helper agents</w:t>
      </w:r>
      <w:r w:rsidDel="00000000" w:rsidR="00000000" w:rsidRPr="00000000">
        <w:rPr>
          <w:rtl w:val="0"/>
        </w:rPr>
        <w:t xml:space="preserve"> — propose query plans, refactor pipelines, generate docs (dev environment or canary only).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 rules:</w:t>
      </w:r>
      <w:r w:rsidDel="00000000" w:rsidR="00000000" w:rsidRPr="00000000">
        <w:rPr>
          <w:rtl w:val="0"/>
        </w:rPr>
        <w:t xml:space="preserve"> agents are </w:t>
      </w:r>
      <w:r w:rsidDel="00000000" w:rsidR="00000000" w:rsidRPr="00000000">
        <w:rPr>
          <w:b w:val="1"/>
          <w:rtl w:val="0"/>
        </w:rPr>
        <w:t xml:space="preserve">propose-only</w:t>
      </w:r>
      <w:r w:rsidDel="00000000" w:rsidR="00000000" w:rsidRPr="00000000">
        <w:rPr>
          <w:rtl w:val="0"/>
        </w:rPr>
        <w:t xml:space="preserve">; they cannot write to the shared KG, models, or genome directly. All proposals go through </w:t>
      </w:r>
      <w:r w:rsidDel="00000000" w:rsidR="00000000" w:rsidRPr="00000000">
        <w:rPr>
          <w:b w:val="1"/>
          <w:rtl w:val="0"/>
        </w:rPr>
        <w:t xml:space="preserve">Oracles + Reflector + human gates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ftwmsxckejd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Clinical safety &amp; governance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SaMD lifecycle hooks</w:t>
      </w:r>
      <w:r w:rsidDel="00000000" w:rsidR="00000000" w:rsidRPr="00000000">
        <w:rPr>
          <w:rtl w:val="0"/>
        </w:rPr>
        <w:t xml:space="preserve"> — tie event metrics to release gates; model change control; post-market surveillance from the event store; human-in-the-loop approvals for high-risk outputs.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Teleonomy registry</w:t>
      </w:r>
      <w:r w:rsidDel="00000000" w:rsidR="00000000" w:rsidRPr="00000000">
        <w:rPr>
          <w:rtl w:val="0"/>
        </w:rPr>
        <w:t xml:space="preserve"> — explicit goals/constraints (safety &gt; cost &gt; latency; therapy policies; “never suggest unapproved treatment”). Oracles enforce these at run time.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Sciety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128l0c3rpp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Security posture (zero-trust + provenance)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mTLS/service mesh + OIDC/ABAC</w:t>
      </w:r>
      <w:r w:rsidDel="00000000" w:rsidR="00000000" w:rsidRPr="00000000">
        <w:rPr>
          <w:rtl w:val="0"/>
        </w:rPr>
        <w:t xml:space="preserve"> on all APIs and graph access; PHI vault segregation; prompt/response redaction for any MCP calls; </w:t>
      </w:r>
      <w:r w:rsidDel="00000000" w:rsidR="00000000" w:rsidRPr="00000000">
        <w:rPr>
          <w:b w:val="1"/>
          <w:rtl w:val="0"/>
        </w:rPr>
        <w:t xml:space="preserve">signed genome releases</w:t>
      </w:r>
      <w:r w:rsidDel="00000000" w:rsidR="00000000" w:rsidRPr="00000000">
        <w:rPr>
          <w:rtl w:val="0"/>
        </w:rPr>
        <w:t xml:space="preserve">; all agent/tool calls logged to the </w:t>
      </w:r>
      <w:r w:rsidDel="00000000" w:rsidR="00000000" w:rsidRPr="00000000">
        <w:rPr>
          <w:b w:val="1"/>
          <w:rtl w:val="0"/>
        </w:rPr>
        <w:t xml:space="preserve">event store</w:t>
      </w:r>
      <w:r w:rsidDel="00000000" w:rsidR="00000000" w:rsidRPr="00000000">
        <w:rPr>
          <w:rtl w:val="0"/>
        </w:rPr>
        <w:t xml:space="preserve"> with full provenance for replay. (This cleanly supports FDA/ISO audit trails.)</w:t>
        <w:br w:type="textWrapping"/>
      </w:r>
    </w:p>
    <w:p w:rsidR="00000000" w:rsidDel="00000000" w:rsidP="00000000" w:rsidRDefault="00000000" w:rsidRPr="00000000" w14:paraId="00000017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ou9mtj6qk7ft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Where each prior artifact lands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Crew:</w:t>
      </w:r>
      <w:r w:rsidDel="00000000" w:rsidR="00000000" w:rsidRPr="00000000">
        <w:rPr>
          <w:rtl w:val="0"/>
        </w:rPr>
        <w:t xml:space="preserve"> becomes a </w:t>
      </w:r>
      <w:r w:rsidDel="00000000" w:rsidR="00000000" w:rsidRPr="00000000">
        <w:rPr>
          <w:b w:val="1"/>
          <w:rtl w:val="0"/>
        </w:rPr>
        <w:t xml:space="preserve">delivery accelerator</w:t>
      </w:r>
      <w:r w:rsidDel="00000000" w:rsidR="00000000" w:rsidRPr="00000000">
        <w:rPr>
          <w:rtl w:val="0"/>
        </w:rPr>
        <w:t xml:space="preserve"> (R&amp;D and canary), and in prod becomes </w:t>
      </w:r>
      <w:r w:rsidDel="00000000" w:rsidR="00000000" w:rsidRPr="00000000">
        <w:rPr>
          <w:b w:val="1"/>
          <w:rtl w:val="0"/>
        </w:rPr>
        <w:t xml:space="preserve">bounded assistants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behind Oracles and genome-defined workflows. Keep the orchestrator pattern; scope tools to least privilege; require proposal → review → apply.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Dual-Knowledge:</w:t>
      </w:r>
      <w:r w:rsidDel="00000000" w:rsidR="00000000" w:rsidRPr="00000000">
        <w:rPr>
          <w:rtl w:val="0"/>
        </w:rPr>
        <w:t xml:space="preserve"> becomes your </w:t>
      </w:r>
      <w:r w:rsidDel="00000000" w:rsidR="00000000" w:rsidRPr="00000000">
        <w:rPr>
          <w:b w:val="1"/>
          <w:rtl w:val="0"/>
        </w:rPr>
        <w:t xml:space="preserve">memory fabric</w:t>
      </w:r>
      <w:r w:rsidDel="00000000" w:rsidR="00000000" w:rsidRPr="00000000">
        <w:rPr>
          <w:rtl w:val="0"/>
        </w:rPr>
        <w:t xml:space="preserve">: local KGs for specialization + a governed shared KG, synchronized by </w:t>
      </w:r>
      <w:r w:rsidDel="00000000" w:rsidR="00000000" w:rsidRPr="00000000">
        <w:rPr>
          <w:b w:val="1"/>
          <w:rtl w:val="0"/>
        </w:rPr>
        <w:t xml:space="preserve">event-triggered</w:t>
      </w:r>
      <w:r w:rsidDel="00000000" w:rsidR="00000000" w:rsidRPr="00000000">
        <w:rPr>
          <w:rtl w:val="0"/>
        </w:rPr>
        <w:t xml:space="preserve"> promotions with abstraction levels. This implements </w:t>
      </w:r>
      <w:r w:rsidDel="00000000" w:rsidR="00000000" w:rsidRPr="00000000">
        <w:rPr>
          <w:b w:val="1"/>
          <w:rtl w:val="0"/>
        </w:rPr>
        <w:t xml:space="preserve">associative memory</w:t>
      </w:r>
      <w:r w:rsidDel="00000000" w:rsidR="00000000" w:rsidRPr="00000000">
        <w:rPr>
          <w:rtl w:val="0"/>
        </w:rPr>
        <w:t xml:space="preserve"> and a clean </w:t>
      </w:r>
      <w:r w:rsidDel="00000000" w:rsidR="00000000" w:rsidRPr="00000000">
        <w:rPr>
          <w:b w:val="1"/>
          <w:rtl w:val="0"/>
        </w:rPr>
        <w:t xml:space="preserve">meta-cognitive loop</w:t>
      </w:r>
      <w:r w:rsidDel="00000000" w:rsidR="00000000" w:rsidRPr="00000000">
        <w:rPr>
          <w:rtl w:val="0"/>
        </w:rPr>
        <w:t xml:space="preserve">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ResearchGate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45kcpwxuyyu3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Guardrails &amp; failure-mode notes (important)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Drift between local and shared KGs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mitigate with scheduled summarization, schema validation, and human-approved promotions.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Agent/tool jailbreak or prompt leakage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constrain MCP surfaces (allow-lists), constant PHI redaction, time-boxed execution, and policy engines in front of tools.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Over-automation risk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“no-write” contract for agents; only genome runner mutates runtime state after Oracle + human approval.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MDPI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w9wfk7syy7l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Step-by-step rollout (8–10 weeks to MVP)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&amp; memory plane</w:t>
      </w:r>
      <w:r w:rsidDel="00000000" w:rsidR="00000000" w:rsidRPr="00000000">
        <w:rPr>
          <w:rtl w:val="0"/>
        </w:rPr>
        <w:t xml:space="preserve">: stand up shared KG (with core clinical ontologies) + event store; add minimal local KG schema for 2 services (ingestion, summarizer).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Genome v1 + Runner</w:t>
      </w:r>
      <w:r w:rsidDel="00000000" w:rsidR="00000000" w:rsidRPr="00000000">
        <w:rPr>
          <w:rtl w:val="0"/>
        </w:rPr>
        <w:t xml:space="preserve">: encode 3 workflows (triage, evidence gathering, rare-disease flag); wire self-healing and migration basics.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Preprints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Oracles</w:t>
      </w:r>
      <w:r w:rsidDel="00000000" w:rsidR="00000000" w:rsidRPr="00000000">
        <w:rPr>
          <w:rtl w:val="0"/>
        </w:rPr>
        <w:t xml:space="preserve">: implement policy/ethics/confidence checks and explanation with provenance paths from KG + event chains.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MDPI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Bounded agents via MCP</w:t>
      </w:r>
      <w:r w:rsidDel="00000000" w:rsidR="00000000" w:rsidRPr="00000000">
        <w:rPr>
          <w:rtl w:val="0"/>
        </w:rPr>
        <w:t xml:space="preserve">: add two tool adapters (curation, evidence summarization); enforce proposal-only path through Oracles.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Dual-Knowledge sync</w:t>
      </w:r>
      <w:r w:rsidDel="00000000" w:rsidR="00000000" w:rsidRPr="00000000">
        <w:rPr>
          <w:rtl w:val="0"/>
        </w:rPr>
        <w:t xml:space="preserve">: implement event-triggered promote/demote flows and abstraction levels; add reviewer UI for merges.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gates</w:t>
      </w:r>
      <w:r w:rsidDel="00000000" w:rsidR="00000000" w:rsidRPr="00000000">
        <w:rPr>
          <w:rtl w:val="0"/>
        </w:rPr>
        <w:t xml:space="preserve">: wire SaMD change-control &amp; human-in-the-loop approvals to the Reflector metrics.</w:t>
        <w:br w:type="textWrapping"/>
      </w:r>
    </w:p>
    <w:p w:rsidR="00000000" w:rsidDel="00000000" w:rsidP="00000000" w:rsidRDefault="00000000" w:rsidRPr="00000000" w14:paraId="00000028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dpi.com/2078-2489/13/1/24?utm_source=chatgpt.com" TargetMode="External"/><Relationship Id="rId11" Type="http://schemas.openxmlformats.org/officeDocument/2006/relationships/hyperlink" Target="https://www.preprints.org/manuscript/202406.1622/v1?utm_source=chatgpt.com" TargetMode="External"/><Relationship Id="rId10" Type="http://schemas.openxmlformats.org/officeDocument/2006/relationships/hyperlink" Target="https://www.preprints.org/manuscript/202406.1622/v1?utm_source=chatgpt.com" TargetMode="External"/><Relationship Id="rId21" Type="http://schemas.openxmlformats.org/officeDocument/2006/relationships/hyperlink" Target="https://www.mdpi.com/2078-2489/13/1/24?utm_source=chatgpt.com" TargetMode="External"/><Relationship Id="rId13" Type="http://schemas.openxmlformats.org/officeDocument/2006/relationships/hyperlink" Target="https://sciety.org/articles/activity/10.20944/preprints202410.2564.v1?utm_source=chatgpt.com" TargetMode="External"/><Relationship Id="rId12" Type="http://schemas.openxmlformats.org/officeDocument/2006/relationships/hyperlink" Target="https://sciety.org/articles/activity/10.20944/preprints202410.2564.v1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dpi.com/2078-2489/13/1/24?utm_source=chatgpt.com" TargetMode="External"/><Relationship Id="rId15" Type="http://schemas.openxmlformats.org/officeDocument/2006/relationships/hyperlink" Target="https://www.researchgate.net/publication/381721520_Digital_Genome_and_Self-Regulating_Distributed_Software_Applications_with_Associative_Memory_and_Event-Driven_History?utm_source=chatgpt.com" TargetMode="External"/><Relationship Id="rId14" Type="http://schemas.openxmlformats.org/officeDocument/2006/relationships/hyperlink" Target="https://www.researchgate.net/publication/381721520_Digital_Genome_and_Self-Regulating_Distributed_Software_Applications_with_Associative_Memory_and_Event-Driven_History?utm_source=chatgpt.com" TargetMode="External"/><Relationship Id="rId17" Type="http://schemas.openxmlformats.org/officeDocument/2006/relationships/hyperlink" Target="https://www.mdpi.com/2073-431X/13/9/220?utm_source=chatgpt.com" TargetMode="External"/><Relationship Id="rId16" Type="http://schemas.openxmlformats.org/officeDocument/2006/relationships/hyperlink" Target="https://www.mdpi.com/2073-431X/13/9/220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reprints.org/manuscript/202406.1622/v1?utm_source=chatgpt.com" TargetMode="External"/><Relationship Id="rId6" Type="http://schemas.openxmlformats.org/officeDocument/2006/relationships/hyperlink" Target="https://www.mdpi.com/2073-431X/13/9/220?utm_source=chatgpt.com" TargetMode="External"/><Relationship Id="rId18" Type="http://schemas.openxmlformats.org/officeDocument/2006/relationships/hyperlink" Target="https://www.preprints.org/manuscript/202406.1622/v1?utm_source=chatgpt.com" TargetMode="External"/><Relationship Id="rId7" Type="http://schemas.openxmlformats.org/officeDocument/2006/relationships/hyperlink" Target="https://www.mdpi.com/2073-431X/13/9/220?utm_source=chatgpt.com" TargetMode="External"/><Relationship Id="rId8" Type="http://schemas.openxmlformats.org/officeDocument/2006/relationships/hyperlink" Target="https://www.mdpi.com/2078-2489/13/1/24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