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482A5">
      <w:pPr>
        <w:spacing w:after="152" w:line="259" w:lineRule="auto"/>
        <w:ind w:left="1697" w:right="0" w:firstLine="0"/>
        <w:rPr>
          <w:rFonts w:hint="eastAsia"/>
        </w:rPr>
      </w:pPr>
      <w:r>
        <w:rPr>
          <w:rFonts w:ascii="黑体" w:hAnsi="黑体" w:eastAsia="黑体" w:cs="黑体"/>
          <w:sz w:val="36"/>
        </w:rPr>
        <w:t>武汉科技大学毕业论文开题报告</w:t>
      </w:r>
      <w:r>
        <w:rPr>
          <w:rFonts w:ascii="黑体" w:hAnsi="黑体" w:eastAsia="黑体" w:cs="黑体"/>
          <w:sz w:val="32"/>
        </w:rPr>
        <w:t xml:space="preserve">  </w:t>
      </w:r>
    </w:p>
    <w:tbl>
      <w:tblPr>
        <w:tblStyle w:val="12"/>
        <w:tblW w:w="9362" w:type="dxa"/>
        <w:tblInd w:w="-108" w:type="dxa"/>
        <w:tblLayout w:type="autofit"/>
        <w:tblCellMar>
          <w:top w:w="47" w:type="dxa"/>
          <w:left w:w="108" w:type="dxa"/>
          <w:bottom w:w="0" w:type="dxa"/>
          <w:right w:w="0" w:type="dxa"/>
        </w:tblCellMar>
      </w:tblPr>
      <w:tblGrid>
        <w:gridCol w:w="1550"/>
        <w:gridCol w:w="2720"/>
        <w:gridCol w:w="1695"/>
        <w:gridCol w:w="3397"/>
      </w:tblGrid>
      <w:tr w14:paraId="65DB55B9">
        <w:tblPrEx>
          <w:tblCellMar>
            <w:top w:w="47" w:type="dxa"/>
            <w:left w:w="108" w:type="dxa"/>
            <w:bottom w:w="0" w:type="dxa"/>
            <w:right w:w="0" w:type="dxa"/>
          </w:tblCellMar>
        </w:tblPrEx>
        <w:trPr>
          <w:trHeight w:val="566" w:hRule="atLeast"/>
        </w:trPr>
        <w:tc>
          <w:tcPr>
            <w:tcW w:w="1550" w:type="dxa"/>
            <w:tcBorders>
              <w:top w:val="single" w:color="000000" w:sz="4" w:space="0"/>
              <w:left w:val="single" w:color="000000" w:sz="4" w:space="0"/>
              <w:bottom w:val="single" w:color="000000" w:sz="4" w:space="0"/>
              <w:right w:val="single" w:color="000000" w:sz="4" w:space="0"/>
            </w:tcBorders>
          </w:tcPr>
          <w:p w14:paraId="65D7CE5C">
            <w:pPr>
              <w:spacing w:after="0" w:line="259" w:lineRule="auto"/>
              <w:ind w:right="0" w:firstLine="0"/>
              <w:rPr>
                <w:rFonts w:hint="eastAsia"/>
              </w:rPr>
            </w:pPr>
            <w:bookmarkStart w:id="29" w:name="_GoBack"/>
            <w:bookmarkEnd w:id="29"/>
            <w:r>
              <w:rPr>
                <w:rFonts w:ascii="宋体" w:hAnsi="宋体" w:eastAsia="宋体" w:cs="宋体"/>
              </w:rPr>
              <w:t>论文题目</w:t>
            </w:r>
            <w:r>
              <w:rPr>
                <w:rFonts w:ascii="Times New Roman" w:hAnsi="Times New Roman" w:eastAsia="Times New Roman" w:cs="Times New Roman"/>
                <w:sz w:val="21"/>
              </w:rPr>
              <w:t xml:space="preserve"> </w:t>
            </w:r>
          </w:p>
        </w:tc>
        <w:tc>
          <w:tcPr>
            <w:tcW w:w="7811" w:type="dxa"/>
            <w:gridSpan w:val="3"/>
            <w:tcBorders>
              <w:top w:val="single" w:color="000000" w:sz="4" w:space="0"/>
              <w:left w:val="single" w:color="000000" w:sz="4" w:space="0"/>
              <w:bottom w:val="single" w:color="000000" w:sz="4" w:space="0"/>
              <w:right w:val="single" w:color="000000" w:sz="4" w:space="0"/>
            </w:tcBorders>
          </w:tcPr>
          <w:p w14:paraId="23148913">
            <w:pPr>
              <w:spacing w:after="0" w:line="259" w:lineRule="auto"/>
              <w:ind w:right="104" w:firstLine="0"/>
              <w:jc w:val="center"/>
              <w:rPr>
                <w:rFonts w:hint="eastAsia"/>
              </w:rPr>
            </w:pPr>
            <w:r>
              <w:rPr>
                <w:rFonts w:hint="eastAsia"/>
              </w:rPr>
              <w:t>数字贸易规则对数字服务出口网络韧性的影响研究</w:t>
            </w:r>
          </w:p>
        </w:tc>
      </w:tr>
      <w:tr w14:paraId="1142B062">
        <w:tblPrEx>
          <w:tblCellMar>
            <w:top w:w="47" w:type="dxa"/>
            <w:left w:w="108" w:type="dxa"/>
            <w:bottom w:w="0" w:type="dxa"/>
            <w:right w:w="0" w:type="dxa"/>
          </w:tblCellMar>
        </w:tblPrEx>
        <w:trPr>
          <w:trHeight w:val="569" w:hRule="atLeast"/>
        </w:trPr>
        <w:tc>
          <w:tcPr>
            <w:tcW w:w="1550" w:type="dxa"/>
            <w:tcBorders>
              <w:top w:val="single" w:color="000000" w:sz="4" w:space="0"/>
              <w:left w:val="single" w:color="000000" w:sz="4" w:space="0"/>
              <w:bottom w:val="single" w:color="000000" w:sz="4" w:space="0"/>
              <w:right w:val="single" w:color="000000" w:sz="4" w:space="0"/>
            </w:tcBorders>
          </w:tcPr>
          <w:p w14:paraId="2A748069">
            <w:pPr>
              <w:spacing w:after="0" w:line="259" w:lineRule="auto"/>
              <w:ind w:right="0" w:firstLine="0"/>
              <w:rPr>
                <w:rFonts w:hint="eastAsia"/>
              </w:rPr>
            </w:pPr>
            <w:r>
              <w:rPr>
                <w:rFonts w:ascii="宋体" w:hAnsi="宋体" w:eastAsia="宋体" w:cs="宋体"/>
              </w:rPr>
              <w:t>学生姓名</w:t>
            </w:r>
            <w:r>
              <w:rPr>
                <w:rFonts w:ascii="Times New Roman" w:hAnsi="Times New Roman" w:eastAsia="Times New Roman" w:cs="Times New Roman"/>
                <w:b/>
              </w:rPr>
              <w:t xml:space="preserve"> </w:t>
            </w:r>
          </w:p>
        </w:tc>
        <w:tc>
          <w:tcPr>
            <w:tcW w:w="2720" w:type="dxa"/>
            <w:tcBorders>
              <w:top w:val="single" w:color="000000" w:sz="4" w:space="0"/>
              <w:left w:val="single" w:color="000000" w:sz="4" w:space="0"/>
              <w:bottom w:val="single" w:color="000000" w:sz="4" w:space="0"/>
              <w:right w:val="single" w:color="000000" w:sz="4" w:space="0"/>
            </w:tcBorders>
          </w:tcPr>
          <w:p w14:paraId="526F0CB1">
            <w:pPr>
              <w:spacing w:after="0" w:line="259" w:lineRule="auto"/>
              <w:ind w:right="105" w:firstLine="0"/>
              <w:jc w:val="center"/>
              <w:rPr>
                <w:rFonts w:hint="eastAsia" w:eastAsia="仿宋"/>
                <w:lang w:eastAsia="zh-CN"/>
              </w:rPr>
            </w:pPr>
            <w:r>
              <w:rPr>
                <w:rFonts w:hint="eastAsia" w:ascii="宋体" w:hAnsi="宋体" w:eastAsia="宋体" w:cs="宋体"/>
                <w:lang w:val="en-US" w:eastAsia="zh-CN"/>
              </w:rPr>
              <w:t>葛松昊</w:t>
            </w:r>
          </w:p>
        </w:tc>
        <w:tc>
          <w:tcPr>
            <w:tcW w:w="1695" w:type="dxa"/>
            <w:tcBorders>
              <w:top w:val="single" w:color="000000" w:sz="4" w:space="0"/>
              <w:left w:val="single" w:color="000000" w:sz="4" w:space="0"/>
              <w:bottom w:val="single" w:color="000000" w:sz="4" w:space="0"/>
              <w:right w:val="single" w:color="000000" w:sz="4" w:space="0"/>
            </w:tcBorders>
          </w:tcPr>
          <w:p w14:paraId="0946C642">
            <w:pPr>
              <w:spacing w:after="0" w:line="259" w:lineRule="auto"/>
              <w:ind w:right="0" w:firstLine="0"/>
              <w:rPr>
                <w:rFonts w:hint="eastAsia"/>
              </w:rPr>
            </w:pPr>
            <w:r>
              <w:rPr>
                <w:rFonts w:ascii="宋体" w:hAnsi="宋体" w:eastAsia="宋体" w:cs="宋体"/>
              </w:rPr>
              <w:t>学生学号</w:t>
            </w:r>
            <w:r>
              <w:rPr>
                <w:rFonts w:ascii="Times New Roman" w:hAnsi="Times New Roman" w:eastAsia="Times New Roman" w:cs="Times New Roman"/>
                <w:b/>
              </w:rPr>
              <w:t xml:space="preserve"> </w:t>
            </w:r>
          </w:p>
        </w:tc>
        <w:tc>
          <w:tcPr>
            <w:tcW w:w="3397" w:type="dxa"/>
            <w:tcBorders>
              <w:top w:val="single" w:color="000000" w:sz="4" w:space="0"/>
              <w:left w:val="single" w:color="000000" w:sz="4" w:space="0"/>
              <w:bottom w:val="single" w:color="000000" w:sz="4" w:space="0"/>
              <w:right w:val="single" w:color="000000" w:sz="4" w:space="0"/>
            </w:tcBorders>
            <w:vAlign w:val="center"/>
          </w:tcPr>
          <w:p w14:paraId="7B30914A">
            <w:pPr>
              <w:spacing w:after="0" w:line="259" w:lineRule="auto"/>
              <w:ind w:right="111" w:firstLine="0"/>
              <w:jc w:val="center"/>
              <w:rPr>
                <w:rFonts w:hint="default" w:ascii="Times New Roman" w:hAnsi="Times New Roman" w:cs="Times New Roman" w:eastAsiaTheme="minorEastAsia"/>
                <w:lang w:val="en-US" w:eastAsia="zh-CN"/>
              </w:rPr>
            </w:pPr>
            <w:r>
              <w:rPr>
                <w:rFonts w:hint="eastAsia" w:ascii="Times New Roman" w:hAnsi="Times New Roman" w:cs="Times New Roman" w:eastAsiaTheme="minorEastAsia"/>
                <w:lang w:val="en-US" w:eastAsia="zh-CN"/>
              </w:rPr>
              <w:t>202206414084</w:t>
            </w:r>
          </w:p>
        </w:tc>
      </w:tr>
      <w:tr w14:paraId="5C10E8FA">
        <w:tblPrEx>
          <w:tblCellMar>
            <w:top w:w="47" w:type="dxa"/>
            <w:left w:w="108" w:type="dxa"/>
            <w:bottom w:w="0" w:type="dxa"/>
            <w:right w:w="0" w:type="dxa"/>
          </w:tblCellMar>
        </w:tblPrEx>
        <w:trPr>
          <w:trHeight w:val="566" w:hRule="atLeast"/>
        </w:trPr>
        <w:tc>
          <w:tcPr>
            <w:tcW w:w="1550" w:type="dxa"/>
            <w:tcBorders>
              <w:top w:val="single" w:color="000000" w:sz="4" w:space="0"/>
              <w:left w:val="single" w:color="000000" w:sz="4" w:space="0"/>
              <w:bottom w:val="single" w:color="000000" w:sz="4" w:space="0"/>
              <w:right w:val="single" w:color="000000" w:sz="4" w:space="0"/>
            </w:tcBorders>
          </w:tcPr>
          <w:p w14:paraId="467553AD">
            <w:pPr>
              <w:spacing w:after="0" w:line="259" w:lineRule="auto"/>
              <w:ind w:right="0" w:firstLine="0"/>
              <w:rPr>
                <w:rFonts w:hint="eastAsia"/>
              </w:rPr>
            </w:pPr>
            <w:r>
              <w:rPr>
                <w:rFonts w:ascii="宋体" w:hAnsi="宋体" w:eastAsia="宋体" w:cs="宋体"/>
              </w:rPr>
              <w:t>专业</w:t>
            </w:r>
            <w:r>
              <w:rPr>
                <w:rFonts w:ascii="Times New Roman" w:hAnsi="Times New Roman" w:eastAsia="Times New Roman" w:cs="Times New Roman"/>
                <w:b/>
              </w:rPr>
              <w:t xml:space="preserve"> </w:t>
            </w:r>
          </w:p>
        </w:tc>
        <w:tc>
          <w:tcPr>
            <w:tcW w:w="2720" w:type="dxa"/>
            <w:tcBorders>
              <w:top w:val="single" w:color="000000" w:sz="4" w:space="0"/>
              <w:left w:val="single" w:color="000000" w:sz="4" w:space="0"/>
              <w:bottom w:val="single" w:color="000000" w:sz="4" w:space="0"/>
              <w:right w:val="single" w:color="000000" w:sz="4" w:space="0"/>
            </w:tcBorders>
          </w:tcPr>
          <w:p w14:paraId="1E17F6E8">
            <w:pPr>
              <w:spacing w:after="0" w:line="259" w:lineRule="auto"/>
              <w:ind w:right="103" w:firstLine="0"/>
              <w:jc w:val="center"/>
              <w:rPr>
                <w:rFonts w:hint="eastAsia"/>
              </w:rPr>
            </w:pPr>
            <w:r>
              <w:rPr>
                <w:rFonts w:hint="eastAsia" w:ascii="宋体" w:hAnsi="宋体" w:eastAsia="宋体" w:cs="宋体"/>
              </w:rPr>
              <w:t>国际经济与贸易</w:t>
            </w:r>
            <w:r>
              <w:rPr>
                <w:rFonts w:ascii="Times New Roman" w:hAnsi="Times New Roman" w:eastAsia="Times New Roman" w:cs="Times New Roman"/>
                <w:b/>
              </w:rPr>
              <w:t xml:space="preserve"> </w:t>
            </w:r>
          </w:p>
        </w:tc>
        <w:tc>
          <w:tcPr>
            <w:tcW w:w="1695" w:type="dxa"/>
            <w:tcBorders>
              <w:top w:val="single" w:color="000000" w:sz="4" w:space="0"/>
              <w:left w:val="single" w:color="000000" w:sz="4" w:space="0"/>
              <w:bottom w:val="single" w:color="000000" w:sz="4" w:space="0"/>
              <w:right w:val="single" w:color="000000" w:sz="4" w:space="0"/>
            </w:tcBorders>
          </w:tcPr>
          <w:p w14:paraId="1867DAB4">
            <w:pPr>
              <w:spacing w:after="0" w:line="259" w:lineRule="auto"/>
              <w:ind w:right="0" w:firstLine="0"/>
              <w:rPr>
                <w:rFonts w:hint="eastAsia"/>
              </w:rPr>
            </w:pPr>
            <w:r>
              <w:rPr>
                <w:rFonts w:ascii="宋体" w:hAnsi="宋体" w:eastAsia="宋体" w:cs="宋体"/>
              </w:rPr>
              <w:t>指导教师</w:t>
            </w:r>
            <w:r>
              <w:rPr>
                <w:rFonts w:ascii="Times New Roman" w:hAnsi="Times New Roman" w:eastAsia="Times New Roman" w:cs="Times New Roman"/>
                <w:b/>
              </w:rPr>
              <w:t xml:space="preserve"> </w:t>
            </w:r>
          </w:p>
        </w:tc>
        <w:tc>
          <w:tcPr>
            <w:tcW w:w="3397" w:type="dxa"/>
            <w:tcBorders>
              <w:top w:val="single" w:color="000000" w:sz="4" w:space="0"/>
              <w:left w:val="single" w:color="000000" w:sz="4" w:space="0"/>
              <w:bottom w:val="single" w:color="000000" w:sz="4" w:space="0"/>
              <w:right w:val="single" w:color="000000" w:sz="4" w:space="0"/>
            </w:tcBorders>
          </w:tcPr>
          <w:p w14:paraId="633DFC9C">
            <w:pPr>
              <w:spacing w:after="0" w:line="259" w:lineRule="auto"/>
              <w:ind w:right="40" w:firstLine="0"/>
              <w:jc w:val="center"/>
              <w:rPr>
                <w:rFonts w:hint="eastAsia" w:eastAsia="仿宋"/>
                <w:bCs/>
                <w:lang w:eastAsia="zh-CN"/>
              </w:rPr>
            </w:pPr>
            <w:r>
              <w:rPr>
                <w:rFonts w:hint="eastAsia" w:ascii="宋体" w:hAnsi="宋体" w:eastAsia="宋体" w:cs="宋体"/>
                <w:bCs/>
                <w:lang w:val="en-US" w:eastAsia="zh-CN"/>
              </w:rPr>
              <w:t>尹浩华</w:t>
            </w:r>
          </w:p>
        </w:tc>
      </w:tr>
      <w:tr w14:paraId="7A1C01F5">
        <w:tblPrEx>
          <w:tblCellMar>
            <w:top w:w="47" w:type="dxa"/>
            <w:left w:w="108" w:type="dxa"/>
            <w:bottom w:w="0" w:type="dxa"/>
            <w:right w:w="0" w:type="dxa"/>
          </w:tblCellMar>
        </w:tblPrEx>
        <w:trPr>
          <w:trHeight w:val="8181" w:hRule="atLeast"/>
        </w:trPr>
        <w:tc>
          <w:tcPr>
            <w:tcW w:w="9362" w:type="dxa"/>
            <w:gridSpan w:val="4"/>
            <w:tcBorders>
              <w:top w:val="single" w:color="000000" w:sz="4" w:space="0"/>
              <w:left w:val="single" w:color="000000" w:sz="4" w:space="0"/>
              <w:bottom w:val="single" w:color="000000" w:sz="4" w:space="0"/>
              <w:right w:val="single" w:color="000000" w:sz="4" w:space="0"/>
            </w:tcBorders>
          </w:tcPr>
          <w:p w14:paraId="0FC6A5C6">
            <w:pPr>
              <w:spacing w:after="163" w:line="259" w:lineRule="auto"/>
              <w:ind w:right="0" w:firstLine="0"/>
              <w:rPr>
                <w:rFonts w:hint="eastAsia"/>
              </w:rPr>
            </w:pPr>
            <w:r>
              <w:rPr>
                <w:rFonts w:ascii="宋体" w:hAnsi="宋体" w:eastAsia="宋体" w:cs="宋体"/>
              </w:rPr>
              <w:t>一、论文的研究目的及意义</w:t>
            </w:r>
            <w:r>
              <w:rPr>
                <w:rFonts w:ascii="Times New Roman" w:hAnsi="Times New Roman" w:eastAsia="Times New Roman" w:cs="Times New Roman"/>
                <w:sz w:val="24"/>
              </w:rPr>
              <w:t xml:space="preserve"> </w:t>
            </w:r>
          </w:p>
          <w:p w14:paraId="7BC44251">
            <w:pPr>
              <w:spacing w:after="0" w:line="300" w:lineRule="auto"/>
              <w:ind w:right="0" w:firstLine="480" w:firstLineChars="200"/>
              <w:rPr>
                <w:rFonts w:ascii="Times New Roman" w:hAnsi="Times New Roman" w:eastAsia="宋体" w:cs="Times New Roman"/>
                <w:color w:val="auto"/>
                <w:sz w:val="24"/>
                <w14:ligatures w14:val="none"/>
              </w:rPr>
            </w:pPr>
            <w:r>
              <w:rPr>
                <w:rFonts w:ascii="宋体" w:hAnsi="宋体" w:eastAsia="宋体" w:cs="宋体"/>
                <w:sz w:val="24"/>
              </w:rPr>
              <w:t xml:space="preserve"> </w:t>
            </w:r>
            <w:r>
              <w:rPr>
                <w:rFonts w:ascii="Times New Roman" w:hAnsi="Times New Roman" w:eastAsia="宋体" w:cs="Times New Roman"/>
                <w:color w:val="auto"/>
                <w:sz w:val="24"/>
                <w14:ligatures w14:val="none"/>
              </w:rPr>
              <w:t>（一)研究目的</w:t>
            </w:r>
          </w:p>
          <w:p w14:paraId="3331183C">
            <w:pPr>
              <w:spacing w:after="0" w:line="300" w:lineRule="auto"/>
              <w:ind w:right="0" w:firstLine="480" w:firstLineChars="200"/>
              <w:rPr>
                <w:rFonts w:hint="default"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14:ligatures w14:val="none"/>
              </w:rPr>
              <w:t>本文旨在深入</w:t>
            </w:r>
            <w:r>
              <w:rPr>
                <w:rFonts w:hint="eastAsia" w:ascii="Times New Roman" w:hAnsi="Times New Roman" w:eastAsia="宋体" w:cs="Times New Roman"/>
                <w:color w:val="auto"/>
                <w:sz w:val="24"/>
                <w:lang w:val="en-US" w:eastAsia="zh-CN"/>
                <w14:ligatures w14:val="none"/>
              </w:rPr>
              <w:t>研究全球的数字贸易规则的签订对数字服务出口网络韧性的影响。特别是数字贸易规则是否对广大发展中国家的出口网络韧性有着显著的提升。通俗来讲，就是签订新的数字贸易规则，能否增强一国数字服务产业对外出口的抗风险能力。此外，本文还试图探究数字贸易协定对于签订国特别是小国有无固化出口结构的负面效应，并验证数字贸易协定</w:t>
            </w:r>
          </w:p>
          <w:p w14:paraId="7D7B848B">
            <w:pPr>
              <w:spacing w:after="0" w:line="300" w:lineRule="auto"/>
              <w:ind w:right="0" w:firstLine="482" w:firstLineChars="200"/>
              <w:rPr>
                <w:rFonts w:ascii="Times New Roman" w:hAnsi="Times New Roman" w:eastAsia="宋体" w:cs="Times New Roman"/>
                <w:b/>
                <w:bCs/>
                <w:color w:val="auto"/>
                <w:sz w:val="24"/>
                <w14:ligatures w14:val="none"/>
              </w:rPr>
            </w:pPr>
            <w:r>
              <w:rPr>
                <w:rFonts w:ascii="Times New Roman" w:hAnsi="Times New Roman" w:eastAsia="宋体" w:cs="Times New Roman"/>
                <w:b/>
                <w:bCs/>
                <w:color w:val="auto"/>
                <w:sz w:val="24"/>
                <w14:ligatures w14:val="none"/>
              </w:rPr>
              <w:t>（二）</w:t>
            </w:r>
            <w:r>
              <w:rPr>
                <w:rFonts w:ascii="Times New Roman" w:hAnsi="Times New Roman" w:eastAsia="宋体" w:cs="Times New Roman"/>
                <w:color w:val="auto"/>
                <w:sz w:val="24"/>
                <w14:ligatures w14:val="none"/>
              </w:rPr>
              <w:t>研究意义</w:t>
            </w:r>
          </w:p>
          <w:p w14:paraId="2F2BE89E">
            <w:pPr>
              <w:widowControl w:val="0"/>
              <w:spacing w:after="0" w:line="300" w:lineRule="auto"/>
              <w:ind w:right="0" w:firstLine="480" w:firstLineChars="200"/>
              <w:rPr>
                <w:rFonts w:hint="default" w:ascii="Times New Roman" w:hAnsi="Times New Roman" w:eastAsia="宋体" w:cs="Times New Roman"/>
                <w:color w:val="auto"/>
                <w:sz w:val="24"/>
                <w:lang w:val="en-US" w:eastAsia="zh-CN"/>
                <w14:ligatures w14:val="none"/>
              </w:rPr>
            </w:pPr>
            <w:r>
              <w:rPr>
                <w:rFonts w:ascii="Times New Roman" w:hAnsi="Times New Roman" w:eastAsia="宋体" w:cs="Times New Roman"/>
                <w:color w:val="auto"/>
                <w:sz w:val="24"/>
                <w14:ligatures w14:val="none"/>
              </w:rPr>
              <w:t>就理论价值而言，</w:t>
            </w:r>
            <w:r>
              <w:rPr>
                <w:rFonts w:hint="eastAsia" w:ascii="Times New Roman" w:hAnsi="Times New Roman" w:eastAsia="宋体" w:cs="Times New Roman"/>
                <w:color w:val="auto"/>
                <w:sz w:val="24"/>
                <w:lang w:val="en-US" w:eastAsia="zh-CN"/>
                <w14:ligatures w14:val="none"/>
              </w:rPr>
              <w:t>在过往的理论研究中，对于贸易网络的研究大多集中于传统的货物贸易与能源贸易，极少牵扯以数据为核心要素的数字贸易。而数字贸易作为国际经济学的一个全新领域，</w:t>
            </w:r>
          </w:p>
          <w:p w14:paraId="32762952">
            <w:pPr>
              <w:widowControl w:val="0"/>
              <w:spacing w:after="0" w:line="300" w:lineRule="auto"/>
              <w:ind w:right="0" w:firstLine="480" w:firstLineChars="200"/>
              <w:rPr>
                <w:rFonts w:ascii="Times New Roman" w:hAnsi="Times New Roman" w:eastAsia="宋体" w:cs="Times New Roman"/>
                <w:color w:val="auto"/>
                <w:sz w:val="24"/>
                <w14:ligatures w14:val="none"/>
              </w:rPr>
            </w:pPr>
            <w:r>
              <w:rPr>
                <w:rFonts w:ascii="Times New Roman" w:hAnsi="Times New Roman" w:eastAsia="宋体" w:cs="Times New Roman"/>
                <w:color w:val="auto"/>
                <w:sz w:val="24"/>
                <w14:ligatures w14:val="none"/>
              </w:rPr>
              <w:t>就实践意义而言，本文通过剖析技术贸易壁垒对新能源汽车出口的影响，提出</w:t>
            </w:r>
            <w:r>
              <w:rPr>
                <w:rFonts w:hint="eastAsia" w:ascii="Times New Roman" w:hAnsi="Times New Roman" w:eastAsia="宋体" w:cs="Times New Roman"/>
                <w:color w:val="auto"/>
                <w:sz w:val="24"/>
                <w14:ligatures w14:val="none"/>
              </w:rPr>
              <w:t>应</w:t>
            </w:r>
            <w:r>
              <w:rPr>
                <w:rFonts w:ascii="Times New Roman" w:hAnsi="Times New Roman" w:eastAsia="宋体" w:cs="Times New Roman"/>
                <w:color w:val="auto"/>
                <w:sz w:val="24"/>
                <w14:ligatures w14:val="none"/>
              </w:rPr>
              <w:t>加强国际标准制定参与</w:t>
            </w:r>
            <w:r>
              <w:rPr>
                <w:rFonts w:hint="eastAsia" w:ascii="Times New Roman" w:hAnsi="Times New Roman" w:eastAsia="宋体" w:cs="Times New Roman"/>
                <w:color w:val="auto"/>
                <w:sz w:val="24"/>
                <w14:ligatures w14:val="none"/>
              </w:rPr>
              <w:t>、</w:t>
            </w:r>
            <w:r>
              <w:rPr>
                <w:rFonts w:ascii="Times New Roman" w:hAnsi="Times New Roman" w:eastAsia="宋体" w:cs="Times New Roman"/>
                <w:color w:val="auto"/>
                <w:sz w:val="24"/>
                <w14:ligatures w14:val="none"/>
              </w:rPr>
              <w:t>优化全球</w:t>
            </w:r>
            <w:r>
              <w:rPr>
                <w:rFonts w:hint="eastAsia" w:ascii="Times New Roman" w:hAnsi="Times New Roman" w:eastAsia="宋体" w:cs="Times New Roman"/>
                <w:color w:val="auto"/>
                <w:sz w:val="24"/>
                <w14:ligatures w14:val="none"/>
              </w:rPr>
              <w:t>产业</w:t>
            </w:r>
            <w:r>
              <w:rPr>
                <w:rFonts w:ascii="Times New Roman" w:hAnsi="Times New Roman" w:eastAsia="宋体" w:cs="Times New Roman"/>
                <w:color w:val="auto"/>
                <w:sz w:val="24"/>
                <w14:ligatures w14:val="none"/>
              </w:rPr>
              <w:t>布局</w:t>
            </w:r>
            <w:r>
              <w:rPr>
                <w:rFonts w:hint="eastAsia" w:ascii="Times New Roman" w:hAnsi="Times New Roman" w:eastAsia="宋体" w:cs="Times New Roman"/>
                <w:color w:val="auto"/>
                <w:sz w:val="24"/>
                <w14:ligatures w14:val="none"/>
              </w:rPr>
              <w:t>、提高技术研发以及</w:t>
            </w:r>
            <w:r>
              <w:rPr>
                <w:rFonts w:ascii="Times New Roman" w:hAnsi="Times New Roman" w:eastAsia="宋体" w:cs="Times New Roman"/>
                <w:color w:val="auto"/>
                <w:sz w:val="24"/>
                <w14:ligatures w14:val="none"/>
              </w:rPr>
              <w:t>强化低碳管理与绿色转型</w:t>
            </w:r>
            <w:r>
              <w:rPr>
                <w:rFonts w:hint="eastAsia" w:ascii="Times New Roman" w:hAnsi="Times New Roman" w:eastAsia="宋体" w:cs="Times New Roman"/>
                <w:color w:val="auto"/>
                <w:sz w:val="24"/>
                <w14:ligatures w14:val="none"/>
              </w:rPr>
              <w:t>的对策建议，</w:t>
            </w:r>
            <w:r>
              <w:rPr>
                <w:rFonts w:ascii="Times New Roman" w:hAnsi="Times New Roman" w:eastAsia="宋体" w:cs="Times New Roman"/>
                <w:color w:val="auto"/>
                <w:sz w:val="24"/>
                <w14:ligatures w14:val="none"/>
              </w:rPr>
              <w:t>为新兴产业出口提供可复制经验</w:t>
            </w:r>
            <w:r>
              <w:rPr>
                <w:rFonts w:hint="eastAsia" w:ascii="Times New Roman" w:hAnsi="Times New Roman" w:eastAsia="宋体" w:cs="Times New Roman"/>
                <w:color w:val="auto"/>
                <w:sz w:val="24"/>
                <w14:ligatures w14:val="none"/>
              </w:rPr>
              <w:t>。</w:t>
            </w:r>
          </w:p>
        </w:tc>
      </w:tr>
      <w:tr w14:paraId="15D33B96">
        <w:tblPrEx>
          <w:tblCellMar>
            <w:top w:w="47" w:type="dxa"/>
            <w:left w:w="108" w:type="dxa"/>
            <w:bottom w:w="0" w:type="dxa"/>
            <w:right w:w="0" w:type="dxa"/>
          </w:tblCellMar>
        </w:tblPrEx>
        <w:trPr>
          <w:trHeight w:val="2734" w:hRule="atLeast"/>
        </w:trPr>
        <w:tc>
          <w:tcPr>
            <w:tcW w:w="9362" w:type="dxa"/>
            <w:gridSpan w:val="4"/>
            <w:tcBorders>
              <w:top w:val="single" w:color="000000" w:sz="4" w:space="0"/>
              <w:left w:val="single" w:color="000000" w:sz="4" w:space="0"/>
              <w:bottom w:val="single" w:color="000000" w:sz="4" w:space="0"/>
              <w:right w:val="single" w:color="000000" w:sz="4" w:space="0"/>
            </w:tcBorders>
          </w:tcPr>
          <w:p w14:paraId="1F8405AC">
            <w:pPr>
              <w:spacing w:after="0" w:line="367" w:lineRule="auto"/>
              <w:ind w:left="559" w:right="4979" w:hanging="559"/>
              <w:rPr>
                <w:rFonts w:hint="eastAsia"/>
              </w:rPr>
            </w:pPr>
            <w:r>
              <w:rPr>
                <w:rFonts w:ascii="宋体" w:hAnsi="宋体" w:eastAsia="宋体" w:cs="宋体"/>
              </w:rPr>
              <w:t>二、论文的主要研究内容</w:t>
            </w:r>
          </w:p>
          <w:p w14:paraId="514C5AC2">
            <w:pPr>
              <w:widowControl w:val="0"/>
              <w:spacing w:after="0" w:line="300" w:lineRule="auto"/>
              <w:ind w:right="0" w:firstLine="0"/>
              <w:jc w:val="both"/>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一、绪论</w:t>
            </w:r>
          </w:p>
          <w:p w14:paraId="7942A295">
            <w:pPr>
              <w:widowControl w:val="0"/>
              <w:spacing w:after="0" w:line="300" w:lineRule="auto"/>
              <w:ind w:right="0" w:firstLine="0"/>
              <w:jc w:val="both"/>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1.1研究背景与研究意义</w:t>
            </w:r>
          </w:p>
          <w:p w14:paraId="0C6433BB">
            <w:pPr>
              <w:widowControl w:val="0"/>
              <w:spacing w:after="0" w:line="300" w:lineRule="auto"/>
              <w:ind w:right="0" w:firstLine="0"/>
              <w:jc w:val="both"/>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1.1.1研究背景</w:t>
            </w:r>
            <w:r>
              <w:rPr>
                <w:rFonts w:hint="eastAsia" w:ascii="Times New Roman" w:hAnsi="Times New Roman" w:eastAsia="宋体" w:cs="Times New Roman"/>
                <w:color w:val="auto"/>
                <w:sz w:val="24"/>
                <w14:ligatures w14:val="none"/>
              </w:rPr>
              <w:tab/>
            </w:r>
          </w:p>
          <w:p w14:paraId="7B213B50">
            <w:pPr>
              <w:widowControl w:val="0"/>
              <w:spacing w:after="0" w:line="300" w:lineRule="auto"/>
              <w:ind w:right="0" w:firstLine="0"/>
              <w:jc w:val="both"/>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1.1.2研究意义</w:t>
            </w:r>
            <w:r>
              <w:rPr>
                <w:rFonts w:hint="eastAsia" w:ascii="Times New Roman" w:hAnsi="Times New Roman" w:eastAsia="宋体" w:cs="Times New Roman"/>
                <w:color w:val="auto"/>
                <w:sz w:val="24"/>
                <w14:ligatures w14:val="none"/>
              </w:rPr>
              <w:tab/>
            </w:r>
          </w:p>
          <w:p w14:paraId="34B346BC">
            <w:pPr>
              <w:widowControl w:val="0"/>
              <w:spacing w:after="0" w:line="300" w:lineRule="auto"/>
              <w:ind w:right="0" w:firstLine="0"/>
              <w:jc w:val="both"/>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1.2研究内容与方法</w:t>
            </w:r>
            <w:r>
              <w:rPr>
                <w:rFonts w:hint="eastAsia" w:ascii="Times New Roman" w:hAnsi="Times New Roman" w:eastAsia="宋体" w:cs="Times New Roman"/>
                <w:color w:val="auto"/>
                <w:sz w:val="24"/>
                <w14:ligatures w14:val="none"/>
              </w:rPr>
              <w:tab/>
            </w:r>
          </w:p>
          <w:p w14:paraId="5CAD7410">
            <w:pPr>
              <w:widowControl w:val="0"/>
              <w:spacing w:after="0" w:line="300" w:lineRule="auto"/>
              <w:ind w:right="0" w:firstLine="0"/>
              <w:jc w:val="both"/>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1.2.1研究内容</w:t>
            </w:r>
            <w:r>
              <w:rPr>
                <w:rFonts w:hint="eastAsia" w:ascii="Times New Roman" w:hAnsi="Times New Roman" w:eastAsia="宋体" w:cs="Times New Roman"/>
                <w:color w:val="auto"/>
                <w:sz w:val="24"/>
                <w14:ligatures w14:val="none"/>
              </w:rPr>
              <w:tab/>
            </w:r>
          </w:p>
          <w:p w14:paraId="054A6B86">
            <w:pPr>
              <w:widowControl w:val="0"/>
              <w:spacing w:after="0" w:line="300" w:lineRule="auto"/>
              <w:ind w:right="0" w:firstLine="0"/>
              <w:jc w:val="both"/>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1.2.2研究方法</w:t>
            </w:r>
          </w:p>
          <w:p w14:paraId="130BA1C3">
            <w:pPr>
              <w:widowControl w:val="0"/>
              <w:spacing w:after="0" w:line="300" w:lineRule="auto"/>
              <w:ind w:right="0" w:firstLine="0"/>
              <w:jc w:val="both"/>
              <w:rPr>
                <w:rFonts w:hint="eastAsia"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14:ligatures w14:val="none"/>
              </w:rPr>
              <w:t>二、</w:t>
            </w:r>
            <w:r>
              <w:rPr>
                <w:rFonts w:hint="eastAsia" w:ascii="Times New Roman" w:hAnsi="Times New Roman" w:eastAsia="宋体" w:cs="Times New Roman"/>
                <w:color w:val="auto"/>
                <w:sz w:val="24"/>
                <w:lang w:val="en-US" w:eastAsia="zh-CN"/>
                <w14:ligatures w14:val="none"/>
              </w:rPr>
              <w:t>文献综述</w:t>
            </w:r>
          </w:p>
          <w:p w14:paraId="40498484">
            <w:pPr>
              <w:widowControl w:val="0"/>
              <w:spacing w:after="0" w:line="300" w:lineRule="auto"/>
              <w:ind w:right="0" w:firstLine="0"/>
              <w:jc w:val="both"/>
              <w:rPr>
                <w:rFonts w:hint="default"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14:ligatures w14:val="none"/>
              </w:rPr>
              <w:t>2.1</w:t>
            </w:r>
            <w:r>
              <w:rPr>
                <w:rFonts w:hint="eastAsia" w:ascii="Times New Roman" w:hAnsi="Times New Roman" w:eastAsia="宋体" w:cs="Times New Roman"/>
                <w:color w:val="auto"/>
                <w:sz w:val="24"/>
                <w:lang w:val="en-US" w:eastAsia="zh-CN"/>
                <w14:ligatures w14:val="none"/>
              </w:rPr>
              <w:t>数字贸易规则的内涵和治理演进</w:t>
            </w:r>
          </w:p>
          <w:p w14:paraId="463D3D52">
            <w:pPr>
              <w:widowControl w:val="0"/>
              <w:spacing w:after="0" w:line="300" w:lineRule="auto"/>
              <w:ind w:right="0" w:firstLine="0"/>
              <w:jc w:val="both"/>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2.1.1</w:t>
            </w:r>
            <w:r>
              <w:rPr>
                <w:rFonts w:hint="eastAsia" w:ascii="Times New Roman" w:hAnsi="Times New Roman" w:eastAsia="宋体" w:cs="Times New Roman"/>
                <w:color w:val="auto"/>
                <w:sz w:val="24"/>
                <w:lang w:eastAsia="zh-CN"/>
                <w14:ligatures w14:val="none"/>
              </w:rPr>
              <w:t>“</w:t>
            </w:r>
            <w:r>
              <w:rPr>
                <w:rFonts w:hint="eastAsia" w:ascii="Times New Roman" w:hAnsi="Times New Roman" w:eastAsia="宋体" w:cs="Times New Roman"/>
                <w:color w:val="auto"/>
                <w:sz w:val="24"/>
                <w:lang w:val="en-US" w:eastAsia="zh-CN"/>
                <w14:ligatures w14:val="none"/>
              </w:rPr>
              <w:t>数字贸易规则</w:t>
            </w:r>
            <w:r>
              <w:rPr>
                <w:rFonts w:hint="eastAsia" w:ascii="Times New Roman" w:hAnsi="Times New Roman" w:eastAsia="宋体" w:cs="Times New Roman"/>
                <w:color w:val="auto"/>
                <w:sz w:val="24"/>
                <w:lang w:eastAsia="zh-CN"/>
                <w14:ligatures w14:val="none"/>
              </w:rPr>
              <w:t>”</w:t>
            </w:r>
            <w:r>
              <w:rPr>
                <w:rFonts w:hint="eastAsia" w:ascii="Times New Roman" w:hAnsi="Times New Roman" w:eastAsia="宋体" w:cs="Times New Roman"/>
                <w:color w:val="auto"/>
                <w:sz w:val="24"/>
                <w:lang w:val="en-US" w:eastAsia="zh-CN"/>
                <w14:ligatures w14:val="none"/>
              </w:rPr>
              <w:t>概念的演化历程</w:t>
            </w:r>
            <w:r>
              <w:rPr>
                <w:rFonts w:ascii="Times New Roman" w:hAnsi="Times New Roman" w:eastAsia="宋体" w:cs="Times New Roman"/>
                <w:color w:val="auto"/>
                <w:sz w:val="24"/>
                <w14:ligatures w14:val="none"/>
              </w:rPr>
              <w:t xml:space="preserve"> </w:t>
            </w:r>
          </w:p>
          <w:p w14:paraId="68209EB0">
            <w:pPr>
              <w:widowControl w:val="0"/>
              <w:spacing w:after="0" w:line="300" w:lineRule="auto"/>
              <w:ind w:right="0" w:firstLine="0"/>
              <w:jc w:val="both"/>
              <w:rPr>
                <w:rFonts w:hint="default"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14:ligatures w14:val="none"/>
              </w:rPr>
              <w:t>2.1.2</w:t>
            </w:r>
            <w:r>
              <w:rPr>
                <w:rFonts w:hint="eastAsia" w:ascii="Times New Roman" w:hAnsi="Times New Roman" w:eastAsia="宋体" w:cs="Times New Roman"/>
                <w:color w:val="auto"/>
                <w:sz w:val="24"/>
                <w:lang w:val="en-US" w:eastAsia="zh-CN"/>
                <w14:ligatures w14:val="none"/>
              </w:rPr>
              <w:t>现有的数字贸易规则范式</w:t>
            </w:r>
          </w:p>
          <w:p w14:paraId="6211994C">
            <w:pPr>
              <w:widowControl w:val="0"/>
              <w:spacing w:after="0" w:line="300" w:lineRule="auto"/>
              <w:ind w:right="0" w:firstLine="0"/>
              <w:jc w:val="both"/>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2.2贸易网络结构的演化与测度</w:t>
            </w:r>
          </w:p>
          <w:p w14:paraId="5832E302">
            <w:pPr>
              <w:widowControl w:val="0"/>
              <w:spacing w:after="0" w:line="300" w:lineRule="auto"/>
              <w:ind w:right="0" w:firstLine="0"/>
              <w:jc w:val="both"/>
              <w:rPr>
                <w:rFonts w:hint="default"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14:ligatures w14:val="none"/>
              </w:rPr>
              <w:t>2.2.1</w:t>
            </w:r>
            <w:r>
              <w:rPr>
                <w:rFonts w:hint="eastAsia" w:ascii="Times New Roman" w:hAnsi="Times New Roman" w:eastAsia="宋体" w:cs="Times New Roman"/>
                <w:color w:val="auto"/>
                <w:sz w:val="24"/>
                <w:lang w:val="en-US" w:eastAsia="zh-CN"/>
                <w14:ligatures w14:val="none"/>
              </w:rPr>
              <w:t>贸易网络的滕峥和结构</w:t>
            </w:r>
          </w:p>
          <w:p w14:paraId="333B9ADF">
            <w:pPr>
              <w:widowControl w:val="0"/>
              <w:spacing w:after="0" w:line="300" w:lineRule="auto"/>
              <w:ind w:right="0" w:firstLine="0"/>
              <w:jc w:val="both"/>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2.2.2服务贸易网络的特殊性与空间集聚</w:t>
            </w:r>
          </w:p>
          <w:p w14:paraId="753F6CA8">
            <w:pPr>
              <w:widowControl w:val="0"/>
              <w:spacing w:after="0" w:line="300" w:lineRule="auto"/>
              <w:ind w:right="0" w:firstLine="0"/>
              <w:jc w:val="both"/>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2.2.3</w:t>
            </w:r>
            <w:r>
              <w:rPr>
                <w:rFonts w:hint="eastAsia" w:ascii="Times New Roman" w:hAnsi="Times New Roman" w:eastAsia="宋体" w:cs="Times New Roman"/>
                <w:color w:val="auto"/>
                <w:sz w:val="24"/>
                <w:lang w:val="en-US" w:eastAsia="zh-CN"/>
                <w14:ligatures w14:val="none"/>
              </w:rPr>
              <w:t>规则和贸易网络的协同演化</w:t>
            </w:r>
            <w:r>
              <w:rPr>
                <w:rFonts w:ascii="Times New Roman" w:hAnsi="Times New Roman" w:eastAsia="宋体" w:cs="Times New Roman"/>
                <w:color w:val="auto"/>
                <w:sz w:val="24"/>
                <w14:ligatures w14:val="none"/>
              </w:rPr>
              <w:t xml:space="preserve"> </w:t>
            </w:r>
          </w:p>
          <w:p w14:paraId="3B10B042">
            <w:pPr>
              <w:widowControl w:val="0"/>
              <w:spacing w:after="0" w:line="300" w:lineRule="auto"/>
              <w:ind w:right="0" w:firstLine="0"/>
              <w:jc w:val="both"/>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2.3出口韧性的形成机制</w:t>
            </w:r>
          </w:p>
          <w:p w14:paraId="7866205E">
            <w:pPr>
              <w:widowControl w:val="0"/>
              <w:spacing w:after="0" w:line="300" w:lineRule="auto"/>
              <w:ind w:right="0" w:firstLine="0"/>
              <w:jc w:val="both"/>
              <w:rPr>
                <w:rFonts w:hint="eastAsia" w:ascii="Times New Roman" w:hAnsi="Times New Roman" w:eastAsia="宋体" w:cs="Times New Roman"/>
                <w:color w:val="auto"/>
                <w:sz w:val="24"/>
                <w:lang w:eastAsia="zh-CN"/>
                <w14:ligatures w14:val="none"/>
              </w:rPr>
            </w:pPr>
            <w:r>
              <w:rPr>
                <w:rFonts w:hint="eastAsia" w:ascii="Times New Roman" w:hAnsi="Times New Roman" w:eastAsia="宋体" w:cs="Times New Roman"/>
                <w:color w:val="auto"/>
                <w:sz w:val="24"/>
                <w14:ligatures w14:val="none"/>
              </w:rPr>
              <w:t>2.3.1韧性的定义</w:t>
            </w:r>
            <w:r>
              <w:rPr>
                <w:rFonts w:hint="eastAsia" w:ascii="Times New Roman" w:hAnsi="Times New Roman" w:eastAsia="宋体" w:cs="Times New Roman"/>
                <w:color w:val="auto"/>
                <w:sz w:val="24"/>
                <w:lang w:val="en-US" w:eastAsia="zh-CN"/>
                <w14:ligatures w14:val="none"/>
              </w:rPr>
              <w:t>方式</w:t>
            </w:r>
          </w:p>
          <w:p w14:paraId="00F4B83A">
            <w:pPr>
              <w:widowControl w:val="0"/>
              <w:spacing w:after="0" w:line="300" w:lineRule="auto"/>
              <w:ind w:right="0" w:firstLine="0"/>
              <w:jc w:val="both"/>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2.3.2数字化技术与出口韧性的微观基础</w:t>
            </w:r>
          </w:p>
          <w:p w14:paraId="474C4922">
            <w:pPr>
              <w:widowControl w:val="0"/>
              <w:spacing w:after="0" w:line="300" w:lineRule="auto"/>
              <w:ind w:right="0" w:firstLine="0"/>
              <w:jc w:val="both"/>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2.3.3网络地位与出口韧性的宏观实证</w:t>
            </w:r>
          </w:p>
          <w:p w14:paraId="43B7DD63">
            <w:pPr>
              <w:widowControl w:val="0"/>
              <w:spacing w:after="0" w:line="300" w:lineRule="auto"/>
              <w:ind w:right="0" w:firstLine="0"/>
              <w:jc w:val="both"/>
              <w:rPr>
                <w:rFonts w:hint="eastAsia"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14:ligatures w14:val="none"/>
              </w:rPr>
              <w:t>2.</w:t>
            </w:r>
            <w:r>
              <w:rPr>
                <w:rFonts w:hint="eastAsia" w:ascii="Times New Roman" w:hAnsi="Times New Roman" w:eastAsia="宋体" w:cs="Times New Roman"/>
                <w:color w:val="auto"/>
                <w:sz w:val="24"/>
                <w:lang w:val="en-US" w:eastAsia="zh-CN"/>
                <w14:ligatures w14:val="none"/>
              </w:rPr>
              <w:t>4文献评述与研究空间</w:t>
            </w:r>
          </w:p>
          <w:p w14:paraId="1D385023">
            <w:pPr>
              <w:widowControl w:val="0"/>
              <w:spacing w:after="0" w:line="300" w:lineRule="auto"/>
              <w:ind w:right="0" w:firstLine="0"/>
              <w:jc w:val="both"/>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三、理论分析与研究假设</w:t>
            </w:r>
          </w:p>
          <w:p w14:paraId="1466FFCC">
            <w:pPr>
              <w:widowControl w:val="0"/>
              <w:spacing w:after="0" w:line="300" w:lineRule="auto"/>
              <w:ind w:right="0" w:firstLine="0"/>
              <w:jc w:val="both"/>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3.1核心概念界定</w:t>
            </w:r>
          </w:p>
          <w:p w14:paraId="4E6FE79C">
            <w:pPr>
              <w:widowControl w:val="0"/>
              <w:spacing w:after="0" w:line="300" w:lineRule="auto"/>
              <w:ind w:right="0" w:firstLine="0"/>
              <w:jc w:val="both"/>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3.1.1数字贸易规则</w:t>
            </w:r>
          </w:p>
          <w:p w14:paraId="361535D9">
            <w:pPr>
              <w:widowControl w:val="0"/>
              <w:spacing w:after="0" w:line="300" w:lineRule="auto"/>
              <w:ind w:right="0" w:firstLine="0"/>
              <w:jc w:val="both"/>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3.1.2数字服务出口网络韧性</w:t>
            </w:r>
            <w:r>
              <w:rPr>
                <w:rFonts w:hint="eastAsia" w:ascii="Times New Roman" w:hAnsi="Times New Roman" w:eastAsia="宋体" w:cs="Times New Roman"/>
                <w:color w:val="auto"/>
                <w:sz w:val="24"/>
                <w14:ligatures w14:val="none"/>
              </w:rPr>
              <w:tab/>
            </w:r>
          </w:p>
          <w:p w14:paraId="66BF8811">
            <w:pPr>
              <w:widowControl w:val="0"/>
              <w:spacing w:after="0" w:line="300" w:lineRule="auto"/>
              <w:ind w:right="0" w:firstLine="0"/>
              <w:jc w:val="both"/>
              <w:rPr>
                <w:rFonts w:hint="eastAsia"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3.</w:t>
            </w:r>
            <w:r>
              <w:rPr>
                <w:rFonts w:hint="eastAsia" w:ascii="Times New Roman" w:hAnsi="Times New Roman" w:eastAsia="宋体" w:cs="Times New Roman"/>
                <w:color w:val="auto"/>
                <w:sz w:val="24"/>
                <w:lang w:val="en-US" w:eastAsia="zh-CN"/>
                <w14:ligatures w14:val="none"/>
              </w:rPr>
              <w:t>2</w:t>
            </w:r>
            <w:r>
              <w:rPr>
                <w:rFonts w:hint="eastAsia" w:ascii="Times New Roman" w:hAnsi="Times New Roman" w:eastAsia="宋体" w:cs="Times New Roman"/>
                <w:color w:val="auto"/>
                <w:sz w:val="24"/>
                <w14:ligatures w14:val="none"/>
              </w:rPr>
              <w:t>直接影响机制（基准假设）</w:t>
            </w:r>
          </w:p>
          <w:p w14:paraId="1FAE337D">
            <w:pPr>
              <w:widowControl w:val="0"/>
              <w:spacing w:after="0" w:line="300" w:lineRule="auto"/>
              <w:ind w:right="0" w:firstLine="0"/>
              <w:jc w:val="both"/>
              <w:rPr>
                <w:rFonts w:hint="default"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lang w:val="en-US" w:eastAsia="zh-CN"/>
                <w14:ligatures w14:val="none"/>
              </w:rPr>
              <w:t>3.3间接传导机制（中介效应）</w:t>
            </w:r>
          </w:p>
          <w:p w14:paraId="38872F18">
            <w:pPr>
              <w:widowControl w:val="0"/>
              <w:numPr>
                <w:ilvl w:val="0"/>
                <w:numId w:val="1"/>
              </w:numPr>
              <w:spacing w:after="0" w:line="300" w:lineRule="auto"/>
              <w:ind w:right="0" w:firstLine="0"/>
              <w:jc w:val="both"/>
              <w:rPr>
                <w:rFonts w:hint="eastAsia"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研究设计</w:t>
            </w:r>
          </w:p>
          <w:p w14:paraId="7E1D5322">
            <w:pPr>
              <w:widowControl w:val="0"/>
              <w:numPr>
                <w:ilvl w:val="0"/>
                <w:numId w:val="0"/>
              </w:numPr>
              <w:spacing w:after="0" w:line="300" w:lineRule="auto"/>
              <w:ind w:right="0" w:rightChars="0"/>
              <w:jc w:val="both"/>
              <w:rPr>
                <w:rFonts w:ascii="Times New Roman" w:hAnsi="Times New Roman" w:eastAsia="宋体" w:cs="Times New Roman"/>
                <w:color w:val="auto"/>
                <w:sz w:val="24"/>
                <w14:ligatures w14:val="none"/>
              </w:rPr>
            </w:pPr>
            <w:r>
              <w:rPr>
                <w:rFonts w:ascii="Times New Roman" w:hAnsi="Times New Roman" w:eastAsia="宋体" w:cs="Times New Roman"/>
                <w:color w:val="auto"/>
                <w:sz w:val="24"/>
                <w14:ligatures w14:val="none"/>
              </w:rPr>
              <w:t>4.1样本选择与数据来源</w:t>
            </w:r>
          </w:p>
          <w:p w14:paraId="332EF0F4">
            <w:pPr>
              <w:widowControl w:val="0"/>
              <w:spacing w:after="0" w:line="300" w:lineRule="auto"/>
              <w:ind w:right="0" w:firstLine="0"/>
              <w:jc w:val="both"/>
              <w:rPr>
                <w:rFonts w:hint="eastAsia"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4.2 变量定义与测度</w:t>
            </w:r>
          </w:p>
          <w:p w14:paraId="0983761D">
            <w:pPr>
              <w:widowControl w:val="0"/>
              <w:spacing w:after="0" w:line="300" w:lineRule="auto"/>
              <w:ind w:right="0" w:firstLine="0"/>
              <w:jc w:val="both"/>
              <w:rPr>
                <w:rFonts w:hint="default" w:ascii="Times New Roman" w:hAnsi="Times New Roman" w:eastAsia="宋体" w:cs="Times New Roman"/>
                <w:color w:val="auto"/>
                <w:sz w:val="24"/>
                <w:lang w:val="en-US" w:eastAsia="zh-CN"/>
                <w14:ligatures w14:val="none"/>
              </w:rPr>
            </w:pPr>
            <w:r>
              <w:rPr>
                <w:rFonts w:ascii="Times New Roman" w:hAnsi="Times New Roman" w:eastAsia="宋体" w:cs="Times New Roman"/>
                <w:color w:val="auto"/>
                <w:sz w:val="24"/>
                <w14:ligatures w14:val="none"/>
              </w:rPr>
              <w:t>4.</w:t>
            </w:r>
            <w:r>
              <w:rPr>
                <w:rFonts w:hint="eastAsia" w:ascii="Times New Roman" w:hAnsi="Times New Roman" w:eastAsia="宋体" w:cs="Times New Roman"/>
                <w:color w:val="auto"/>
                <w:sz w:val="24"/>
                <w:lang w:val="en-US" w:eastAsia="zh-CN"/>
                <w14:ligatures w14:val="none"/>
              </w:rPr>
              <w:t>3模型构建</w:t>
            </w:r>
          </w:p>
          <w:p w14:paraId="5DAF944F">
            <w:pPr>
              <w:widowControl w:val="0"/>
              <w:spacing w:after="0" w:line="300" w:lineRule="auto"/>
              <w:ind w:right="0" w:firstLine="0"/>
              <w:jc w:val="both"/>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五</w:t>
            </w:r>
            <w:r>
              <w:rPr>
                <w:rFonts w:ascii="Times New Roman" w:hAnsi="Times New Roman" w:eastAsia="宋体" w:cs="Times New Roman"/>
                <w:color w:val="auto"/>
                <w:sz w:val="24"/>
                <w14:ligatures w14:val="none"/>
              </w:rPr>
              <w:t>、</w:t>
            </w:r>
            <w:r>
              <w:rPr>
                <w:rFonts w:hint="eastAsia" w:ascii="Times New Roman" w:hAnsi="Times New Roman" w:eastAsia="宋体" w:cs="Times New Roman"/>
                <w:color w:val="auto"/>
                <w:sz w:val="24"/>
                <w14:ligatures w14:val="none"/>
              </w:rPr>
              <w:t>实证结果分析</w:t>
            </w:r>
          </w:p>
          <w:p w14:paraId="745F840A">
            <w:pPr>
              <w:widowControl w:val="0"/>
              <w:spacing w:after="0" w:line="300" w:lineRule="auto"/>
              <w:ind w:right="0" w:firstLine="0"/>
              <w:jc w:val="both"/>
              <w:rPr>
                <w:rFonts w:hint="eastAsia"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5.1描述性统计</w:t>
            </w:r>
          </w:p>
          <w:p w14:paraId="33D988D8">
            <w:pPr>
              <w:widowControl w:val="0"/>
              <w:spacing w:after="0" w:line="300" w:lineRule="auto"/>
              <w:ind w:right="0" w:firstLine="0"/>
              <w:jc w:val="both"/>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5.2基准回归结果</w:t>
            </w:r>
          </w:p>
          <w:p w14:paraId="781B0798">
            <w:pPr>
              <w:widowControl w:val="0"/>
              <w:spacing w:after="0" w:line="300" w:lineRule="auto"/>
              <w:ind w:right="0" w:firstLine="0"/>
              <w:jc w:val="both"/>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lang w:val="en-US" w:eastAsia="zh-CN"/>
                <w14:ligatures w14:val="none"/>
              </w:rPr>
              <w:t>5.3</w:t>
            </w:r>
            <w:r>
              <w:rPr>
                <w:rFonts w:hint="eastAsia" w:ascii="Times New Roman" w:hAnsi="Times New Roman" w:eastAsia="宋体" w:cs="Times New Roman"/>
                <w:color w:val="auto"/>
                <w:sz w:val="24"/>
                <w14:ligatures w14:val="none"/>
              </w:rPr>
              <w:t>平行趋势检验</w:t>
            </w:r>
          </w:p>
          <w:p w14:paraId="3D43F66F">
            <w:pPr>
              <w:widowControl w:val="0"/>
              <w:spacing w:after="0" w:line="300" w:lineRule="auto"/>
              <w:ind w:right="0" w:firstLine="0"/>
              <w:jc w:val="both"/>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5.</w:t>
            </w:r>
            <w:r>
              <w:rPr>
                <w:rFonts w:hint="eastAsia" w:ascii="Times New Roman" w:hAnsi="Times New Roman" w:eastAsia="宋体" w:cs="Times New Roman"/>
                <w:color w:val="auto"/>
                <w:sz w:val="24"/>
                <w:lang w:val="en-US" w:eastAsia="zh-CN"/>
                <w14:ligatures w14:val="none"/>
              </w:rPr>
              <w:t>4</w:t>
            </w:r>
            <w:r>
              <w:rPr>
                <w:rFonts w:ascii="Times New Roman" w:hAnsi="Times New Roman" w:eastAsia="宋体" w:cs="Times New Roman"/>
                <w:color w:val="auto"/>
                <w:sz w:val="24"/>
                <w14:ligatures w14:val="none"/>
              </w:rPr>
              <w:t xml:space="preserve"> 稳健性检验</w:t>
            </w:r>
          </w:p>
          <w:p w14:paraId="35ABAB31">
            <w:pPr>
              <w:widowControl w:val="0"/>
              <w:spacing w:after="0" w:line="300" w:lineRule="auto"/>
              <w:ind w:right="0" w:firstLine="0"/>
              <w:jc w:val="both"/>
              <w:rPr>
                <w:rFonts w:hint="eastAsia"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lang w:val="en-US" w:eastAsia="zh-CN"/>
                <w14:ligatures w14:val="none"/>
              </w:rPr>
              <w:t>六、进一步分析</w:t>
            </w:r>
          </w:p>
          <w:p w14:paraId="5A1EEB9B">
            <w:pPr>
              <w:widowControl w:val="0"/>
              <w:spacing w:after="0" w:line="300" w:lineRule="auto"/>
              <w:ind w:right="0" w:firstLine="0"/>
              <w:jc w:val="both"/>
              <w:rPr>
                <w:rFonts w:hint="eastAsia"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lang w:val="en-US" w:eastAsia="zh-CN"/>
                <w14:ligatures w14:val="none"/>
              </w:rPr>
              <w:t>6.1机制检验（中介效应）</w:t>
            </w:r>
          </w:p>
          <w:p w14:paraId="207463CE">
            <w:pPr>
              <w:widowControl w:val="0"/>
              <w:spacing w:after="0" w:line="300" w:lineRule="auto"/>
              <w:ind w:right="0" w:firstLine="0"/>
              <w:jc w:val="both"/>
              <w:rPr>
                <w:rFonts w:hint="eastAsia"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lang w:val="en-US" w:eastAsia="zh-CN"/>
                <w14:ligatures w14:val="none"/>
              </w:rPr>
              <w:t>6.2异质性分析</w:t>
            </w:r>
          </w:p>
          <w:p w14:paraId="2EF1AC2F">
            <w:pPr>
              <w:widowControl w:val="0"/>
              <w:numPr>
                <w:ilvl w:val="0"/>
                <w:numId w:val="2"/>
              </w:numPr>
              <w:spacing w:after="0" w:line="300" w:lineRule="auto"/>
              <w:ind w:right="0" w:firstLine="0"/>
              <w:jc w:val="both"/>
              <w:rPr>
                <w:rFonts w:hint="eastAsia"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lang w:val="en-US" w:eastAsia="zh-CN"/>
                <w14:ligatures w14:val="none"/>
              </w:rPr>
              <w:t>结论与政策建议</w:t>
            </w:r>
          </w:p>
          <w:p w14:paraId="63E0A1B0">
            <w:pPr>
              <w:widowControl w:val="0"/>
              <w:numPr>
                <w:ilvl w:val="0"/>
                <w:numId w:val="0"/>
              </w:numPr>
              <w:spacing w:after="0" w:line="300" w:lineRule="auto"/>
              <w:ind w:right="0" w:rightChars="0"/>
              <w:jc w:val="both"/>
              <w:rPr>
                <w:rFonts w:hint="default" w:ascii="Times New Roman" w:hAnsi="Times New Roman" w:eastAsia="宋体" w:cs="Times New Roman"/>
                <w:color w:val="auto"/>
                <w:sz w:val="24"/>
                <w:lang w:val="en-US" w:eastAsia="zh-CN"/>
                <w14:ligatures w14:val="none"/>
              </w:rPr>
            </w:pPr>
            <w:r>
              <w:rPr>
                <w:rFonts w:hint="default" w:ascii="Times New Roman" w:hAnsi="Times New Roman" w:eastAsia="宋体" w:cs="Times New Roman"/>
                <w:color w:val="auto"/>
                <w:sz w:val="24"/>
                <w:lang w:val="en-US" w:eastAsia="zh-CN"/>
                <w14:ligatures w14:val="none"/>
              </w:rPr>
              <w:t>7.1 研究结论</w:t>
            </w:r>
          </w:p>
          <w:p w14:paraId="18CC3360">
            <w:pPr>
              <w:widowControl w:val="0"/>
              <w:numPr>
                <w:ilvl w:val="0"/>
                <w:numId w:val="0"/>
              </w:numPr>
              <w:spacing w:after="0" w:line="300" w:lineRule="auto"/>
              <w:ind w:right="0" w:rightChars="0"/>
              <w:jc w:val="both"/>
              <w:rPr>
                <w:rFonts w:hint="default" w:ascii="Times New Roman" w:hAnsi="Times New Roman" w:eastAsia="宋体" w:cs="Times New Roman"/>
                <w:color w:val="auto"/>
                <w:sz w:val="24"/>
                <w:lang w:val="en-US" w:eastAsia="zh-CN"/>
                <w14:ligatures w14:val="none"/>
              </w:rPr>
            </w:pPr>
            <w:r>
              <w:rPr>
                <w:rFonts w:hint="default" w:ascii="Times New Roman" w:hAnsi="Times New Roman" w:eastAsia="宋体" w:cs="Times New Roman"/>
                <w:color w:val="auto"/>
                <w:sz w:val="24"/>
                <w:lang w:val="en-US" w:eastAsia="zh-CN"/>
                <w14:ligatures w14:val="none"/>
              </w:rPr>
              <w:t>7.2 政策建议</w:t>
            </w:r>
          </w:p>
          <w:p w14:paraId="43748F21">
            <w:pPr>
              <w:widowControl w:val="0"/>
              <w:numPr>
                <w:ilvl w:val="0"/>
                <w:numId w:val="0"/>
              </w:numPr>
              <w:spacing w:after="0" w:line="300" w:lineRule="auto"/>
              <w:ind w:right="0" w:rightChars="0"/>
              <w:jc w:val="both"/>
              <w:rPr>
                <w:rFonts w:hint="default" w:ascii="Times New Roman" w:hAnsi="Times New Roman" w:eastAsia="宋体" w:cs="Times New Roman"/>
                <w:color w:val="auto"/>
                <w:sz w:val="24"/>
                <w:lang w:val="en-US" w:eastAsia="zh-CN"/>
                <w14:ligatures w14:val="none"/>
              </w:rPr>
            </w:pPr>
            <w:r>
              <w:rPr>
                <w:rFonts w:hint="default" w:ascii="Times New Roman" w:hAnsi="Times New Roman" w:eastAsia="宋体" w:cs="Times New Roman"/>
                <w:color w:val="auto"/>
                <w:sz w:val="24"/>
                <w:lang w:val="en-US" w:eastAsia="zh-CN"/>
                <w14:ligatures w14:val="none"/>
              </w:rPr>
              <w:t>7.3 研究不足与展望</w:t>
            </w:r>
          </w:p>
          <w:p w14:paraId="07F244FA">
            <w:pPr>
              <w:widowControl w:val="0"/>
              <w:numPr>
                <w:ilvl w:val="0"/>
                <w:numId w:val="0"/>
              </w:numPr>
              <w:spacing w:after="0" w:line="300" w:lineRule="auto"/>
              <w:ind w:right="0" w:rightChars="0"/>
              <w:jc w:val="both"/>
              <w:rPr>
                <w:rFonts w:hint="default" w:ascii="Times New Roman" w:hAnsi="Times New Roman" w:eastAsia="宋体" w:cs="Times New Roman"/>
                <w:color w:val="auto"/>
                <w:sz w:val="24"/>
                <w:lang w:val="en-US" w:eastAsia="zh-CN"/>
                <w14:ligatures w14:val="none"/>
              </w:rPr>
            </w:pPr>
          </w:p>
        </w:tc>
      </w:tr>
    </w:tbl>
    <w:p w14:paraId="63A1B997">
      <w:pPr>
        <w:spacing w:after="0" w:line="259" w:lineRule="auto"/>
        <w:ind w:left="-1726" w:right="31" w:firstLine="0"/>
        <w:rPr>
          <w:rFonts w:hint="eastAsia"/>
        </w:rPr>
      </w:pPr>
    </w:p>
    <w:p w14:paraId="0B8B83EE">
      <w:pPr>
        <w:spacing w:after="177" w:line="259" w:lineRule="auto"/>
        <w:ind w:firstLine="0"/>
        <w:rPr>
          <w:rFonts w:hint="eastAsia" w:ascii="宋体" w:hAnsi="宋体" w:eastAsia="宋体" w:cs="宋体"/>
        </w:rPr>
      </w:pPr>
    </w:p>
    <w:p w14:paraId="26E50C11">
      <w:pPr>
        <w:spacing w:after="177" w:line="259" w:lineRule="auto"/>
        <w:ind w:firstLine="0"/>
        <w:rPr>
          <w:rFonts w:hint="eastAsia" w:ascii="宋体" w:hAnsi="宋体" w:eastAsia="宋体" w:cs="宋体"/>
        </w:rPr>
      </w:pPr>
    </w:p>
    <w:p w14:paraId="4D99265C">
      <w:pPr>
        <w:spacing w:after="177" w:line="259" w:lineRule="auto"/>
        <w:ind w:firstLine="0"/>
        <w:rPr>
          <w:rFonts w:hint="eastAsia" w:ascii="宋体" w:hAnsi="宋体" w:eastAsia="宋体" w:cs="宋体"/>
        </w:rPr>
      </w:pPr>
    </w:p>
    <w:p w14:paraId="43AFA191">
      <w:pPr>
        <w:spacing w:after="177" w:line="259" w:lineRule="auto"/>
        <w:ind w:firstLine="0"/>
        <w:rPr>
          <w:rFonts w:hint="eastAsia" w:ascii="宋体" w:hAnsi="宋体" w:eastAsia="宋体" w:cs="宋体"/>
        </w:rPr>
      </w:pPr>
    </w:p>
    <w:p w14:paraId="07B557C2">
      <w:pPr>
        <w:spacing w:after="177" w:line="259" w:lineRule="auto"/>
        <w:ind w:firstLine="0"/>
        <w:rPr>
          <w:rFonts w:hint="eastAsia" w:ascii="宋体" w:hAnsi="宋体" w:eastAsia="宋体" w:cs="宋体"/>
        </w:rPr>
      </w:pPr>
    </w:p>
    <w:p w14:paraId="021EBA80">
      <w:pPr>
        <w:spacing w:after="177" w:line="259" w:lineRule="auto"/>
        <w:ind w:firstLine="0"/>
        <w:rPr>
          <w:rFonts w:hint="eastAsia" w:ascii="宋体" w:hAnsi="宋体" w:eastAsia="宋体" w:cs="宋体"/>
        </w:rPr>
      </w:pPr>
    </w:p>
    <w:p w14:paraId="510F2A73">
      <w:pPr>
        <w:spacing w:after="177" w:line="259" w:lineRule="auto"/>
        <w:ind w:firstLine="0"/>
        <w:rPr>
          <w:rFonts w:hint="eastAsia" w:ascii="宋体" w:hAnsi="宋体" w:eastAsia="宋体" w:cs="宋体"/>
        </w:rPr>
      </w:pPr>
    </w:p>
    <w:p w14:paraId="7C3E007B">
      <w:pPr>
        <w:spacing w:after="177" w:line="259" w:lineRule="auto"/>
        <w:ind w:firstLine="0"/>
        <w:rPr>
          <w:rFonts w:hint="eastAsia" w:ascii="宋体" w:hAnsi="宋体" w:eastAsia="宋体" w:cs="宋体"/>
        </w:rPr>
      </w:pPr>
    </w:p>
    <w:p w14:paraId="7281ED73">
      <w:pPr>
        <w:spacing w:after="177" w:line="259" w:lineRule="auto"/>
        <w:ind w:firstLine="0"/>
        <w:rPr>
          <w:rFonts w:hint="eastAsia" w:ascii="宋体" w:hAnsi="宋体" w:eastAsia="宋体" w:cs="宋体"/>
        </w:rPr>
      </w:pPr>
    </w:p>
    <w:p w14:paraId="15039FF0">
      <w:pPr>
        <w:spacing w:after="177" w:line="259" w:lineRule="auto"/>
        <w:ind w:firstLine="0"/>
        <w:rPr>
          <w:rFonts w:hint="eastAsia" w:ascii="宋体" w:hAnsi="宋体" w:eastAsia="宋体" w:cs="宋体"/>
        </w:rPr>
      </w:pPr>
    </w:p>
    <w:p w14:paraId="057B3FB4">
      <w:pPr>
        <w:spacing w:after="177" w:line="259" w:lineRule="auto"/>
        <w:ind w:firstLine="0"/>
        <w:rPr>
          <w:rFonts w:hint="eastAsia" w:ascii="宋体" w:hAnsi="宋体" w:eastAsia="宋体" w:cs="宋体"/>
        </w:rPr>
      </w:pPr>
    </w:p>
    <w:p w14:paraId="1B647FB1">
      <w:pPr>
        <w:spacing w:after="177" w:line="259" w:lineRule="auto"/>
        <w:ind w:firstLine="0"/>
        <w:rPr>
          <w:rFonts w:ascii="宋体" w:hAnsi="宋体" w:eastAsia="宋体" w:cs="宋体"/>
        </w:rPr>
      </w:pPr>
    </w:p>
    <w:p w14:paraId="538D8E50">
      <w:pPr>
        <w:spacing w:after="177" w:line="259" w:lineRule="auto"/>
        <w:ind w:firstLine="0"/>
        <w:rPr>
          <w:rFonts w:ascii="宋体" w:hAnsi="宋体" w:eastAsia="宋体" w:cs="宋体"/>
        </w:rPr>
      </w:pPr>
    </w:p>
    <w:p w14:paraId="6FA1A651">
      <w:pPr>
        <w:spacing w:after="177" w:line="259" w:lineRule="auto"/>
        <w:ind w:firstLine="0"/>
        <w:rPr>
          <w:rFonts w:ascii="宋体" w:hAnsi="宋体" w:eastAsia="宋体" w:cs="宋体"/>
        </w:rPr>
      </w:pPr>
    </w:p>
    <w:p w14:paraId="03EF7650">
      <w:pPr>
        <w:spacing w:after="177" w:line="259" w:lineRule="auto"/>
        <w:ind w:firstLine="0"/>
        <w:rPr>
          <w:rFonts w:hint="eastAsia" w:ascii="宋体" w:hAnsi="宋体" w:eastAsia="宋体" w:cs="宋体"/>
        </w:rPr>
      </w:pPr>
    </w:p>
    <w:p w14:paraId="3446854F">
      <w:pPr>
        <w:spacing w:after="177" w:line="259" w:lineRule="auto"/>
        <w:ind w:firstLine="0"/>
        <w:rPr>
          <w:rFonts w:hint="eastAsia" w:ascii="宋体" w:hAnsi="宋体" w:eastAsia="宋体" w:cs="宋体"/>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020F3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5" w:type="dxa"/>
          </w:tcPr>
          <w:p w14:paraId="1E318038">
            <w:pPr>
              <w:spacing w:after="177" w:line="259" w:lineRule="auto"/>
              <w:ind w:firstLine="0"/>
              <w:rPr>
                <w:rFonts w:ascii="Times New Roman" w:hAnsi="Times New Roman" w:cs="Times New Roman" w:eastAsiaTheme="minorEastAsia"/>
                <w:sz w:val="24"/>
              </w:rPr>
            </w:pPr>
            <w:r>
              <w:rPr>
                <w:rFonts w:ascii="宋体" w:hAnsi="宋体" w:eastAsia="宋体" w:cs="宋体"/>
              </w:rPr>
              <w:t xml:space="preserve">三、与论文相关的国内外研究文献综述（要求 </w:t>
            </w:r>
            <w:r>
              <w:rPr>
                <w:rFonts w:ascii="Times New Roman" w:hAnsi="Times New Roman" w:eastAsia="Times New Roman" w:cs="Times New Roman"/>
                <w:b/>
              </w:rPr>
              <w:t xml:space="preserve">2000 </w:t>
            </w:r>
            <w:r>
              <w:rPr>
                <w:rFonts w:ascii="宋体" w:hAnsi="宋体" w:eastAsia="宋体" w:cs="宋体"/>
              </w:rPr>
              <w:t>字以上，可加页）</w:t>
            </w:r>
            <w:r>
              <w:rPr>
                <w:rFonts w:ascii="Times New Roman" w:hAnsi="Times New Roman" w:eastAsia="Times New Roman" w:cs="Times New Roman"/>
                <w:sz w:val="24"/>
              </w:rPr>
              <w:t xml:space="preserve"> </w:t>
            </w:r>
          </w:p>
          <w:p w14:paraId="742E0179">
            <w:pPr>
              <w:widowControl w:val="0"/>
              <w:spacing w:after="0" w:line="300" w:lineRule="auto"/>
              <w:ind w:right="0" w:firstLine="0"/>
              <w:jc w:val="both"/>
              <w:outlineLvl w:val="1"/>
              <w:rPr>
                <w:rFonts w:ascii="Times New Roman" w:hAnsi="Times New Roman" w:eastAsia="黑体" w:cs="Times New Roman"/>
                <w:color w:val="auto"/>
                <w:sz w:val="30"/>
                <w:szCs w:val="30"/>
                <w14:ligatures w14:val="none"/>
              </w:rPr>
            </w:pPr>
            <w:bookmarkStart w:id="0" w:name="_Toc191977612"/>
            <w:r>
              <w:rPr>
                <w:rFonts w:ascii="Times New Roman" w:hAnsi="Times New Roman" w:eastAsia="黑体" w:cs="Times New Roman"/>
                <w:color w:val="auto"/>
                <w:sz w:val="30"/>
                <w:szCs w:val="30"/>
                <w14:ligatures w14:val="none"/>
              </w:rPr>
              <w:t>（</w:t>
            </w:r>
            <w:r>
              <w:rPr>
                <w:rFonts w:hint="eastAsia" w:ascii="Times New Roman" w:hAnsi="Times New Roman" w:eastAsia="黑体" w:cs="Times New Roman"/>
                <w:color w:val="auto"/>
                <w:sz w:val="30"/>
                <w:szCs w:val="30"/>
                <w14:ligatures w14:val="none"/>
              </w:rPr>
              <w:t>一</w:t>
            </w:r>
            <w:r>
              <w:rPr>
                <w:rFonts w:ascii="Times New Roman" w:hAnsi="Times New Roman" w:eastAsia="黑体" w:cs="Times New Roman"/>
                <w:color w:val="auto"/>
                <w:sz w:val="30"/>
                <w:szCs w:val="30"/>
                <w14:ligatures w14:val="none"/>
              </w:rPr>
              <w:t>）国内外研究现状</w:t>
            </w:r>
            <w:bookmarkEnd w:id="0"/>
          </w:p>
          <w:p w14:paraId="23FB64C9">
            <w:pPr>
              <w:widowControl w:val="0"/>
              <w:spacing w:after="0" w:line="300" w:lineRule="auto"/>
              <w:ind w:right="0" w:firstLine="560" w:firstLineChars="200"/>
              <w:jc w:val="both"/>
              <w:outlineLvl w:val="2"/>
              <w:rPr>
                <w:rFonts w:hint="eastAsia" w:ascii="Times New Roman" w:hAnsi="Times New Roman" w:eastAsia="黑体" w:cs="Times New Roman"/>
                <w:color w:val="auto"/>
                <w:szCs w:val="28"/>
                <w:lang w:val="en-US" w:eastAsia="zh-CN"/>
                <w14:ligatures w14:val="none"/>
              </w:rPr>
            </w:pPr>
            <w:bookmarkStart w:id="1" w:name="_Toc191977613"/>
            <w:r>
              <w:rPr>
                <w:rFonts w:ascii="Times New Roman" w:hAnsi="Times New Roman" w:eastAsia="黑体" w:cs="Times New Roman"/>
                <w:color w:val="auto"/>
                <w:szCs w:val="28"/>
                <w14:ligatures w14:val="none"/>
              </w:rPr>
              <w:t>1．</w:t>
            </w:r>
            <w:bookmarkEnd w:id="1"/>
            <w:r>
              <w:rPr>
                <w:rFonts w:hint="eastAsia" w:ascii="Times New Roman" w:hAnsi="Times New Roman" w:eastAsia="黑体" w:cs="Times New Roman"/>
                <w:color w:val="auto"/>
                <w:szCs w:val="28"/>
                <w:lang w:val="en-US" w:eastAsia="zh-CN"/>
                <w14:ligatures w14:val="none"/>
              </w:rPr>
              <w:t>引言</w:t>
            </w:r>
          </w:p>
          <w:p w14:paraId="61A19F57">
            <w:pPr>
              <w:widowControl w:val="0"/>
              <w:spacing w:after="0" w:line="300" w:lineRule="auto"/>
              <w:ind w:right="0" w:firstLine="480" w:firstLineChars="200"/>
              <w:jc w:val="both"/>
              <w:outlineLvl w:val="2"/>
              <w:rPr>
                <w:rFonts w:hint="eastAsia"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lang w:val="en-US" w:eastAsia="zh-CN"/>
                <w14:ligatures w14:val="none"/>
              </w:rPr>
              <w:t>在数字技术重塑全球经济版图的当下，数字贸易已超越传统的货物贸易，成为连接全球价值链的关键纽带。然而，随着地缘政治博弈的加剧和外部冲击（如公共卫生事件、局部冲突）的常态化，如何提升出口的抗风险能力——即“韧性”，成为各国政策制定者和学术界关注的核心议题。数字贸易规则作为全球数字治理的制度基石，其是否能通过重塑贸易网络结构进而赋能出口韧性，是一个具有重要理论价值和现实意义的命题。本章将围绕“数字贸易规则”、“贸易网络结构”与“出口韧性”三个核心维度，系统梳理国内外相关文献，厘清相关概念的演进脉络，并在此基础上阐述本文的研究切入点。</w:t>
            </w:r>
          </w:p>
          <w:p w14:paraId="2D45E794">
            <w:pPr>
              <w:widowControl w:val="0"/>
              <w:numPr>
                <w:ilvl w:val="0"/>
                <w:numId w:val="0"/>
              </w:numPr>
              <w:spacing w:after="0" w:line="300" w:lineRule="auto"/>
              <w:ind w:right="0" w:rightChars="0" w:firstLine="560" w:firstLineChars="200"/>
              <w:jc w:val="both"/>
              <w:outlineLvl w:val="2"/>
              <w:rPr>
                <w:rFonts w:hint="eastAsia" w:ascii="Times New Roman" w:hAnsi="Times New Roman" w:eastAsia="黑体" w:cs="Times New Roman"/>
                <w:color w:val="auto"/>
                <w:szCs w:val="28"/>
                <w:lang w:val="en-US" w:eastAsia="zh-CN"/>
                <w14:ligatures w14:val="none"/>
              </w:rPr>
            </w:pPr>
            <w:r>
              <w:rPr>
                <w:rFonts w:hint="eastAsia" w:ascii="Times New Roman" w:hAnsi="Times New Roman" w:eastAsia="黑体" w:cs="Times New Roman"/>
                <w:color w:val="auto"/>
                <w:kern w:val="2"/>
                <w:sz w:val="28"/>
                <w:szCs w:val="28"/>
                <w:lang w:val="en-US" w:eastAsia="zh-CN" w:bidi="ar-SA"/>
                <w14:ligatures w14:val="none"/>
              </w:rPr>
              <w:t>2.</w:t>
            </w:r>
            <w:r>
              <w:rPr>
                <w:rFonts w:hint="eastAsia" w:ascii="Times New Roman" w:hAnsi="Times New Roman" w:eastAsia="黑体" w:cs="Times New Roman"/>
                <w:color w:val="auto"/>
                <w:szCs w:val="28"/>
                <w:lang w:val="en-US" w:eastAsia="zh-CN"/>
                <w14:ligatures w14:val="none"/>
              </w:rPr>
              <w:t>对数字贸易规则的界定的演化历程</w:t>
            </w:r>
          </w:p>
          <w:p w14:paraId="59AFB5D6">
            <w:pPr>
              <w:widowControl w:val="0"/>
              <w:spacing w:after="0" w:line="300" w:lineRule="auto"/>
              <w:ind w:right="0" w:firstLine="480" w:firstLineChars="200"/>
              <w:jc w:val="both"/>
              <w:outlineLvl w:val="2"/>
              <w:rPr>
                <w:rFonts w:hint="eastAsia"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lang w:val="en-US" w:eastAsia="zh-CN"/>
                <w14:ligatures w14:val="none"/>
              </w:rPr>
              <w:t>学界对数字贸易规则的认识经历了由深到浅的过程。在早期的论文之中，很少有人直接提出“数字贸易规则”这一概念，更多将其局限于“电子商务”的框架下，大多聚焦在传统贸易领域中的关税问题，即进一步削减或是取消相关的关税（如WTO的电子传输免关税），还有将互联网作为一种工具来促进传统货物贸易的便利化。然而，随着数据科学的不断发展以及人工智能在最近二十年的突破，基于电子商务的数字贸易规则定义已经无法涵盖当前的贸易实践。</w:t>
            </w:r>
          </w:p>
          <w:p w14:paraId="48C1E791">
            <w:pPr>
              <w:widowControl w:val="0"/>
              <w:spacing w:after="0" w:line="300" w:lineRule="auto"/>
              <w:ind w:right="0" w:firstLine="480" w:firstLineChars="200"/>
              <w:jc w:val="both"/>
              <w:outlineLvl w:val="2"/>
              <w:rPr>
                <w:rFonts w:hint="eastAsia" w:ascii="Times New Roman" w:hAnsi="Times New Roman" w:eastAsia="宋体" w:cs="Times New Roman"/>
                <w:color w:val="auto"/>
                <w:sz w:val="24"/>
                <w:vertAlign w:val="baseline"/>
                <w:lang w:val="en-US" w:eastAsia="zh-CN"/>
                <w14:ligatures w14:val="none"/>
              </w:rPr>
            </w:pPr>
            <w:r>
              <w:rPr>
                <w:rFonts w:hint="eastAsia" w:ascii="Times New Roman" w:hAnsi="Times New Roman" w:eastAsia="宋体" w:cs="Times New Roman"/>
                <w:color w:val="auto"/>
                <w:sz w:val="24"/>
                <w:lang w:val="en-US" w:eastAsia="zh-CN"/>
                <w14:ligatures w14:val="none"/>
              </w:rPr>
              <w:t>Alschner（2022）</w:t>
            </w:r>
            <w:r>
              <w:rPr>
                <w:rFonts w:hint="eastAsia" w:ascii="Times New Roman" w:hAnsi="Times New Roman" w:eastAsia="宋体" w:cs="Times New Roman"/>
                <w:color w:val="auto"/>
                <w:sz w:val="24"/>
                <w:vertAlign w:val="superscript"/>
                <w:lang w:val="en-US" w:eastAsia="zh-CN"/>
                <w14:ligatures w14:val="none"/>
              </w:rPr>
              <w:fldChar w:fldCharType="begin"/>
            </w:r>
            <w:r>
              <w:rPr>
                <w:rFonts w:hint="eastAsia" w:ascii="Times New Roman" w:hAnsi="Times New Roman" w:eastAsia="宋体" w:cs="Times New Roman"/>
                <w:color w:val="auto"/>
                <w:sz w:val="24"/>
                <w:vertAlign w:val="superscript"/>
                <w:lang w:val="en-US" w:eastAsia="zh-CN"/>
                <w14:ligatures w14:val="none"/>
              </w:rPr>
              <w:instrText xml:space="preserve"> REF _Ref20197 \r \h </w:instrText>
            </w:r>
            <w:r>
              <w:rPr>
                <w:rFonts w:hint="eastAsia" w:ascii="Times New Roman" w:hAnsi="Times New Roman" w:eastAsia="宋体" w:cs="Times New Roman"/>
                <w:color w:val="auto"/>
                <w:sz w:val="24"/>
                <w:vertAlign w:val="superscript"/>
                <w:lang w:val="en-US" w:eastAsia="zh-CN"/>
                <w14:ligatures w14:val="none"/>
              </w:rPr>
              <w:fldChar w:fldCharType="separate"/>
            </w:r>
            <w:r>
              <w:rPr>
                <w:rFonts w:hint="eastAsia" w:ascii="Times New Roman" w:hAnsi="Times New Roman" w:eastAsia="宋体" w:cs="Times New Roman"/>
                <w:color w:val="auto"/>
                <w:sz w:val="24"/>
                <w:vertAlign w:val="superscript"/>
                <w:lang w:val="en-US" w:eastAsia="zh-CN"/>
                <w14:ligatures w14:val="none"/>
              </w:rPr>
              <w:t>[12]</w:t>
            </w:r>
            <w:r>
              <w:rPr>
                <w:rFonts w:hint="eastAsia" w:ascii="Times New Roman" w:hAnsi="Times New Roman" w:eastAsia="宋体" w:cs="Times New Roman"/>
                <w:color w:val="auto"/>
                <w:sz w:val="24"/>
                <w:vertAlign w:val="superscript"/>
                <w:lang w:val="en-US" w:eastAsia="zh-CN"/>
                <w14:ligatures w14:val="none"/>
              </w:rPr>
              <w:fldChar w:fldCharType="end"/>
            </w:r>
            <w:r>
              <w:rPr>
                <w:rFonts w:hint="eastAsia" w:ascii="Times New Roman" w:hAnsi="Times New Roman" w:eastAsia="宋体" w:cs="Times New Roman"/>
                <w:color w:val="auto"/>
                <w:sz w:val="24"/>
                <w:vertAlign w:val="superscript"/>
                <w:lang w:val="en-US" w:eastAsia="zh-CN"/>
                <w14:ligatures w14:val="none"/>
              </w:rPr>
              <w:t xml:space="preserve"> </w:t>
            </w:r>
            <w:r>
              <w:rPr>
                <w:rFonts w:hint="eastAsia" w:ascii="Times New Roman" w:hAnsi="Times New Roman" w:eastAsia="宋体" w:cs="Times New Roman"/>
                <w:color w:val="auto"/>
                <w:sz w:val="24"/>
                <w:vertAlign w:val="baseline"/>
                <w:lang w:val="en-US" w:eastAsia="zh-CN"/>
                <w14:ligatures w14:val="none"/>
              </w:rPr>
              <w:t>在其法学研究中，深刻剖析了从“电子商务”到“数字贸易”的术语转向。他指出，这不仅仅是措辞的更迭，更代表着法律规制重心的根本性转移：即从单纯的“边境上”措施（如无纸化贸易），转向了更为敏感的“边境后”规制，包括跨境数据流动限制、源代码披露要求、算法透明度以及数字产品非歧视待遇等深层结构性问题。这种概念的扩展使得数字贸易规则的内涵变得极为丰富且复杂。</w:t>
            </w:r>
          </w:p>
          <w:p w14:paraId="297EBD66">
            <w:pPr>
              <w:widowControl w:val="0"/>
              <w:spacing w:after="0" w:line="300" w:lineRule="auto"/>
              <w:ind w:right="0" w:firstLine="480" w:firstLineChars="200"/>
              <w:jc w:val="both"/>
              <w:outlineLvl w:val="2"/>
              <w:rPr>
                <w:rFonts w:hint="default" w:ascii="Times New Roman" w:hAnsi="Times New Roman" w:eastAsia="宋体" w:cs="Times New Roman"/>
                <w:color w:val="auto"/>
                <w:sz w:val="24"/>
                <w:vertAlign w:val="baseline"/>
                <w:lang w:val="en-US" w:eastAsia="zh-CN"/>
                <w14:ligatures w14:val="none"/>
              </w:rPr>
            </w:pPr>
            <w:r>
              <w:rPr>
                <w:rFonts w:hint="default" w:ascii="Times New Roman" w:hAnsi="Times New Roman" w:eastAsia="宋体" w:cs="Times New Roman"/>
                <w:color w:val="auto"/>
                <w:sz w:val="24"/>
                <w:vertAlign w:val="baseline"/>
                <w:lang w:val="en-US" w:eastAsia="zh-CN"/>
                <w14:ligatures w14:val="none"/>
              </w:rPr>
              <w:t>在规则的具体制定与治理模式上，现有文献普遍认为全球尚未形成统一的多边规则，而是呈现出明显的碎片化特征。Yujia He and Ka Zeng (202</w:t>
            </w:r>
            <w:r>
              <w:rPr>
                <w:rFonts w:hint="eastAsia" w:ascii="Times New Roman" w:hAnsi="Times New Roman" w:eastAsia="宋体" w:cs="Times New Roman"/>
                <w:color w:val="auto"/>
                <w:sz w:val="24"/>
                <w:vertAlign w:val="baseline"/>
                <w:lang w:val="en-US" w:eastAsia="zh-CN"/>
                <w14:ligatures w14:val="none"/>
              </w:rPr>
              <w:t>4</w:t>
            </w:r>
            <w:r>
              <w:rPr>
                <w:rFonts w:hint="default" w:ascii="Times New Roman" w:hAnsi="Times New Roman" w:eastAsia="宋体" w:cs="Times New Roman"/>
                <w:color w:val="auto"/>
                <w:sz w:val="24"/>
                <w:vertAlign w:val="baseline"/>
                <w:lang w:val="en-US" w:eastAsia="zh-CN"/>
                <w14:ligatures w14:val="none"/>
              </w:rPr>
              <w:t xml:space="preserve">) </w:t>
            </w:r>
            <w:r>
              <w:rPr>
                <w:rFonts w:hint="default" w:ascii="Times New Roman" w:hAnsi="Times New Roman" w:eastAsia="宋体" w:cs="Times New Roman"/>
                <w:color w:val="auto"/>
                <w:sz w:val="24"/>
                <w:vertAlign w:val="superscript"/>
                <w:lang w:val="en-US" w:eastAsia="zh-CN"/>
                <w14:ligatures w14:val="none"/>
              </w:rPr>
              <w:fldChar w:fldCharType="begin"/>
            </w:r>
            <w:r>
              <w:rPr>
                <w:rFonts w:hint="default" w:ascii="Times New Roman" w:hAnsi="Times New Roman" w:eastAsia="宋体" w:cs="Times New Roman"/>
                <w:color w:val="auto"/>
                <w:sz w:val="24"/>
                <w:vertAlign w:val="superscript"/>
                <w:lang w:val="en-US" w:eastAsia="zh-CN"/>
                <w14:ligatures w14:val="none"/>
              </w:rPr>
              <w:instrText xml:space="preserve"> REF _Ref23391 \r \h </w:instrText>
            </w:r>
            <w:r>
              <w:rPr>
                <w:rFonts w:hint="default" w:ascii="Times New Roman" w:hAnsi="Times New Roman" w:eastAsia="宋体" w:cs="Times New Roman"/>
                <w:color w:val="auto"/>
                <w:sz w:val="24"/>
                <w:vertAlign w:val="superscript"/>
                <w:lang w:val="en-US" w:eastAsia="zh-CN"/>
                <w14:ligatures w14:val="none"/>
              </w:rPr>
              <w:fldChar w:fldCharType="separate"/>
            </w:r>
            <w:r>
              <w:rPr>
                <w:rFonts w:hint="default" w:ascii="Times New Roman" w:hAnsi="Times New Roman" w:eastAsia="宋体" w:cs="Times New Roman"/>
                <w:color w:val="auto"/>
                <w:sz w:val="24"/>
                <w:vertAlign w:val="superscript"/>
                <w:lang w:val="en-US" w:eastAsia="zh-CN"/>
                <w14:ligatures w14:val="none"/>
              </w:rPr>
              <w:t>[19]</w:t>
            </w:r>
            <w:r>
              <w:rPr>
                <w:rFonts w:hint="default" w:ascii="Times New Roman" w:hAnsi="Times New Roman" w:eastAsia="宋体" w:cs="Times New Roman"/>
                <w:color w:val="auto"/>
                <w:sz w:val="24"/>
                <w:vertAlign w:val="superscript"/>
                <w:lang w:val="en-US" w:eastAsia="zh-CN"/>
                <w14:ligatures w14:val="none"/>
              </w:rPr>
              <w:fldChar w:fldCharType="end"/>
            </w:r>
            <w:r>
              <w:rPr>
                <w:rFonts w:hint="default" w:ascii="Times New Roman" w:hAnsi="Times New Roman" w:eastAsia="宋体" w:cs="Times New Roman"/>
                <w:color w:val="auto"/>
                <w:sz w:val="24"/>
                <w:vertAlign w:val="baseline"/>
                <w:lang w:val="en-US" w:eastAsia="zh-CN"/>
                <w14:ligatures w14:val="none"/>
              </w:rPr>
              <w:t xml:space="preserve">详细梳理了当前全球数字贸易治理的三种主要范式：强调数据自由流动和企业主导的“美式模式”、强调隐私保护和政府强监管的“欧式模式”，以及中国正在积极构建的“发展导向型”模式。她指出，中国作为后发大国，试图在维护国家数据安全与促进贸易便利化之间寻找平衡，这种“发展导向型议程”旨在纠正发达国家主导的规则体系中的不平等现象。这种治理模式的差异根源于“数字主权”的兴起。Moerel 和 Timmers (2021) </w:t>
            </w:r>
            <w:r>
              <w:rPr>
                <w:rFonts w:hint="default" w:ascii="Times New Roman" w:hAnsi="Times New Roman" w:eastAsia="宋体" w:cs="Times New Roman"/>
                <w:color w:val="auto"/>
                <w:sz w:val="24"/>
                <w:vertAlign w:val="baseline"/>
                <w:lang w:val="en-US" w:eastAsia="zh-CN"/>
                <w14:ligatures w14:val="none"/>
              </w:rPr>
              <w:fldChar w:fldCharType="begin"/>
            </w:r>
            <w:r>
              <w:rPr>
                <w:rFonts w:hint="default" w:ascii="Times New Roman" w:hAnsi="Times New Roman" w:eastAsia="宋体" w:cs="Times New Roman"/>
                <w:color w:val="auto"/>
                <w:sz w:val="24"/>
                <w:vertAlign w:val="baseline"/>
                <w:lang w:val="en-US" w:eastAsia="zh-CN"/>
                <w14:ligatures w14:val="none"/>
              </w:rPr>
              <w:instrText xml:space="preserve"> REF _Ref193362556 \r \h </w:instrText>
            </w:r>
            <w:r>
              <w:rPr>
                <w:rFonts w:hint="default" w:ascii="Times New Roman" w:hAnsi="Times New Roman" w:eastAsia="宋体" w:cs="Times New Roman"/>
                <w:color w:val="auto"/>
                <w:sz w:val="24"/>
                <w:vertAlign w:val="baseline"/>
                <w:lang w:val="en-US" w:eastAsia="zh-CN"/>
                <w14:ligatures w14:val="none"/>
              </w:rPr>
              <w:fldChar w:fldCharType="separate"/>
            </w:r>
            <w:r>
              <w:rPr>
                <w:rFonts w:hint="default" w:ascii="Times New Roman" w:hAnsi="Times New Roman" w:eastAsia="宋体" w:cs="Times New Roman"/>
                <w:color w:val="auto"/>
                <w:sz w:val="24"/>
                <w:vertAlign w:val="superscript"/>
                <w:lang w:val="en-US" w:eastAsia="zh-CN"/>
                <w14:ligatures w14:val="none"/>
              </w:rPr>
              <w:t>[9]</w:t>
            </w:r>
            <w:r>
              <w:rPr>
                <w:rFonts w:hint="default" w:ascii="Times New Roman" w:hAnsi="Times New Roman" w:eastAsia="宋体" w:cs="Times New Roman"/>
                <w:color w:val="auto"/>
                <w:sz w:val="24"/>
                <w:vertAlign w:val="baseline"/>
                <w:lang w:val="en-US" w:eastAsia="zh-CN"/>
                <w14:ligatures w14:val="none"/>
              </w:rPr>
              <w:fldChar w:fldCharType="end"/>
            </w:r>
            <w:r>
              <w:rPr>
                <w:rFonts w:hint="default" w:ascii="Times New Roman" w:hAnsi="Times New Roman" w:eastAsia="宋体" w:cs="Times New Roman"/>
                <w:color w:val="auto"/>
                <w:sz w:val="24"/>
                <w:vertAlign w:val="baseline"/>
                <w:lang w:val="en-US" w:eastAsia="zh-CN"/>
                <w14:ligatures w14:val="none"/>
              </w:rPr>
              <w:t>的研究强调，各国在制定数字贸易规则时面临着“不可能三角”般的困境，即难以同时实现“贸易自由化最大化”、“监管完全自主”和“数据绝对安全”。这种主权张力导致了数据本地化措施的泛滥，使得通过双边或区域协定（RTA）来协调规则成为必然选择。</w:t>
            </w:r>
          </w:p>
          <w:p w14:paraId="1F9C6628">
            <w:pPr>
              <w:widowControl w:val="0"/>
              <w:spacing w:after="0" w:line="300" w:lineRule="auto"/>
              <w:ind w:right="0" w:firstLine="480" w:firstLineChars="200"/>
              <w:jc w:val="both"/>
              <w:outlineLvl w:val="2"/>
              <w:rPr>
                <w:rFonts w:hint="default" w:ascii="Times New Roman" w:hAnsi="Times New Roman" w:eastAsia="宋体" w:cs="Times New Roman"/>
                <w:color w:val="auto"/>
                <w:sz w:val="24"/>
                <w:vertAlign w:val="baseline"/>
                <w:lang w:val="en-US" w:eastAsia="zh-CN"/>
                <w14:ligatures w14:val="none"/>
              </w:rPr>
            </w:pPr>
            <w:r>
              <w:rPr>
                <w:rFonts w:hint="default" w:ascii="Times New Roman" w:hAnsi="Times New Roman" w:eastAsia="宋体" w:cs="Times New Roman"/>
                <w:color w:val="auto"/>
                <w:sz w:val="24"/>
                <w:vertAlign w:val="baseline"/>
                <w:lang w:val="en-US" w:eastAsia="zh-CN"/>
                <w14:ligatures w14:val="none"/>
              </w:rPr>
              <w:t>面对多边谈判的僵局，新一代数字贸易协定展现出了制度设计的灵活性。Peters (2023)</w:t>
            </w:r>
            <w:r>
              <w:rPr>
                <w:rFonts w:hint="default" w:ascii="Times New Roman" w:hAnsi="Times New Roman" w:eastAsia="宋体" w:cs="Times New Roman"/>
                <w:color w:val="auto"/>
                <w:sz w:val="24"/>
                <w:vertAlign w:val="superscript"/>
                <w:lang w:val="en-US" w:eastAsia="zh-CN"/>
                <w14:ligatures w14:val="none"/>
              </w:rPr>
              <w:t xml:space="preserve"> </w:t>
            </w:r>
            <w:r>
              <w:rPr>
                <w:rFonts w:hint="default" w:ascii="Times New Roman" w:hAnsi="Times New Roman" w:eastAsia="宋体" w:cs="Times New Roman"/>
                <w:color w:val="auto"/>
                <w:sz w:val="24"/>
                <w:vertAlign w:val="superscript"/>
                <w:lang w:val="en-US" w:eastAsia="zh-CN"/>
                <w14:ligatures w14:val="none"/>
              </w:rPr>
              <w:fldChar w:fldCharType="begin"/>
            </w:r>
            <w:r>
              <w:rPr>
                <w:rFonts w:hint="default" w:ascii="Times New Roman" w:hAnsi="Times New Roman" w:eastAsia="宋体" w:cs="Times New Roman"/>
                <w:color w:val="auto"/>
                <w:sz w:val="24"/>
                <w:vertAlign w:val="superscript"/>
                <w:lang w:val="en-US" w:eastAsia="zh-CN"/>
                <w14:ligatures w14:val="none"/>
              </w:rPr>
              <w:instrText xml:space="preserve"> REF _Ref23831 \r \h </w:instrText>
            </w:r>
            <w:r>
              <w:rPr>
                <w:rFonts w:hint="default" w:ascii="Times New Roman" w:hAnsi="Times New Roman" w:eastAsia="宋体" w:cs="Times New Roman"/>
                <w:color w:val="auto"/>
                <w:sz w:val="24"/>
                <w:vertAlign w:val="superscript"/>
                <w:lang w:val="en-US" w:eastAsia="zh-CN"/>
                <w14:ligatures w14:val="none"/>
              </w:rPr>
              <w:fldChar w:fldCharType="separate"/>
            </w:r>
            <w:r>
              <w:rPr>
                <w:rFonts w:hint="default" w:ascii="Times New Roman" w:hAnsi="Times New Roman" w:eastAsia="宋体" w:cs="Times New Roman"/>
                <w:color w:val="auto"/>
                <w:sz w:val="24"/>
                <w:vertAlign w:val="superscript"/>
                <w:lang w:val="en-US" w:eastAsia="zh-CN"/>
                <w14:ligatures w14:val="none"/>
              </w:rPr>
              <w:t>[4]</w:t>
            </w:r>
            <w:r>
              <w:rPr>
                <w:rFonts w:hint="default" w:ascii="Times New Roman" w:hAnsi="Times New Roman" w:eastAsia="宋体" w:cs="Times New Roman"/>
                <w:color w:val="auto"/>
                <w:sz w:val="24"/>
                <w:vertAlign w:val="superscript"/>
                <w:lang w:val="en-US" w:eastAsia="zh-CN"/>
                <w14:ligatures w14:val="none"/>
              </w:rPr>
              <w:fldChar w:fldCharType="end"/>
            </w:r>
            <w:r>
              <w:rPr>
                <w:rFonts w:hint="default" w:ascii="Times New Roman" w:hAnsi="Times New Roman" w:eastAsia="宋体" w:cs="Times New Roman"/>
                <w:color w:val="auto"/>
                <w:sz w:val="24"/>
                <w:vertAlign w:val="baseline"/>
                <w:lang w:val="en-US" w:eastAsia="zh-CN"/>
                <w14:ligatures w14:val="none"/>
              </w:rPr>
              <w:t>以DEPA（数字经济伙伴关系协定）为例，深入分析了数字贸易规则的“模块化（Modularity）”特征。与传统FTA的一揽子承诺不同，DEPA允许成员国在数字身份、电子发票、金融科技等具体模块上进行选择性合作。这种“积木式”的规则设计不仅降低了缔约成本，更为不同发展阶段国家间的数字合作提供了极具弹性的制度框架，被视为未来规则演进的重要方向。</w:t>
            </w:r>
          </w:p>
          <w:p w14:paraId="58140A49">
            <w:pPr>
              <w:widowControl w:val="0"/>
              <w:spacing w:after="0" w:line="300" w:lineRule="auto"/>
              <w:ind w:right="0" w:firstLine="560" w:firstLineChars="200"/>
              <w:outlineLvl w:val="0"/>
              <w:rPr>
                <w:rFonts w:hint="eastAsia" w:ascii="黑体" w:hAnsi="黑体" w:eastAsia="黑体" w:cs="黑体"/>
                <w:color w:val="auto"/>
                <w:sz w:val="30"/>
                <w:szCs w:val="30"/>
                <w:lang w:val="en-US" w:eastAsia="zh-CN"/>
                <w14:ligatures w14:val="none"/>
              </w:rPr>
            </w:pPr>
            <w:r>
              <w:rPr>
                <w:rFonts w:hint="eastAsia" w:ascii="黑体" w:hAnsi="黑体" w:eastAsia="黑体" w:cs="黑体"/>
              </w:rPr>
              <w:fldChar w:fldCharType="begin"/>
            </w:r>
            <w:r>
              <w:rPr>
                <w:rFonts w:hint="eastAsia" w:ascii="黑体" w:hAnsi="黑体" w:eastAsia="黑体" w:cs="黑体"/>
              </w:rPr>
              <w:instrText xml:space="preserve"> HYPERLINK \l "_Toc191977615" </w:instrText>
            </w:r>
            <w:r>
              <w:rPr>
                <w:rFonts w:hint="eastAsia" w:ascii="黑体" w:hAnsi="黑体" w:eastAsia="黑体" w:cs="黑体"/>
              </w:rPr>
              <w:fldChar w:fldCharType="separate"/>
            </w:r>
            <w:r>
              <w:rPr>
                <w:rFonts w:hint="eastAsia" w:ascii="黑体" w:hAnsi="黑体" w:eastAsia="黑体" w:cs="黑体"/>
                <w:color w:val="auto"/>
                <w:sz w:val="30"/>
                <w:szCs w:val="30"/>
                <w14:ligatures w14:val="none"/>
              </w:rPr>
              <w:t>3.</w:t>
            </w:r>
            <w:r>
              <w:rPr>
                <w:rFonts w:hint="eastAsia" w:ascii="黑体" w:hAnsi="黑体" w:eastAsia="黑体" w:cs="黑体"/>
                <w:color w:val="auto"/>
                <w:sz w:val="21"/>
                <w14:ligatures w14:val="none"/>
              </w:rPr>
              <w:t xml:space="preserve"> </w:t>
            </w:r>
            <w:r>
              <w:rPr>
                <w:rFonts w:hint="eastAsia" w:ascii="黑体" w:hAnsi="黑体" w:eastAsia="黑体" w:cs="黑体"/>
                <w:color w:val="auto"/>
                <w:sz w:val="30"/>
                <w:szCs w:val="30"/>
                <w14:ligatures w14:val="none"/>
              </w:rPr>
              <w:t>针对</w:t>
            </w:r>
            <w:r>
              <w:rPr>
                <w:rFonts w:hint="eastAsia" w:ascii="黑体" w:hAnsi="黑体" w:eastAsia="黑体" w:cs="黑体"/>
                <w:color w:val="auto"/>
                <w:sz w:val="30"/>
                <w:szCs w:val="30"/>
                <w:lang w:val="en-US" w:eastAsia="zh-CN"/>
                <w14:ligatures w14:val="none"/>
              </w:rPr>
              <w:t>国际贸易网络</w:t>
            </w:r>
            <w:r>
              <w:rPr>
                <w:rFonts w:hint="eastAsia" w:ascii="黑体" w:hAnsi="黑体" w:eastAsia="黑体" w:cs="黑体"/>
                <w:color w:val="auto"/>
                <w:sz w:val="30"/>
                <w:szCs w:val="30"/>
                <w14:ligatures w14:val="none"/>
              </w:rPr>
              <w:fldChar w:fldCharType="end"/>
            </w:r>
            <w:r>
              <w:rPr>
                <w:rFonts w:hint="eastAsia" w:ascii="黑体" w:hAnsi="黑体" w:eastAsia="黑体" w:cs="黑体"/>
                <w:color w:val="auto"/>
                <w:sz w:val="30"/>
                <w:szCs w:val="30"/>
                <w:lang w:val="en-US" w:eastAsia="zh-CN"/>
                <w14:ligatures w14:val="none"/>
              </w:rPr>
              <w:t>的研究</w:t>
            </w:r>
          </w:p>
          <w:p w14:paraId="01AE082B">
            <w:pPr>
              <w:widowControl w:val="0"/>
              <w:spacing w:after="0" w:line="300" w:lineRule="auto"/>
              <w:ind w:right="0" w:firstLine="480" w:firstLineChars="200"/>
              <w:outlineLvl w:val="0"/>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lang w:val="en-US" w:eastAsia="zh-CN"/>
                <w14:ligatures w14:val="none"/>
              </w:rPr>
              <w:t>当今时代的学者们</w:t>
            </w:r>
            <w:r>
              <w:rPr>
                <w:rFonts w:ascii="Times New Roman" w:hAnsi="Times New Roman" w:eastAsia="宋体" w:cs="Times New Roman"/>
                <w:color w:val="auto"/>
                <w:sz w:val="24"/>
                <w14:ligatures w14:val="none"/>
              </w:rPr>
              <w:t>将社会网络分析（SNA）引入国际贸易研究，为理解全球经济的复杂关联提供了全新的方法论视角。现有文献不仅刻画了贸易网络的物理形态，更开始深入探讨制度规则如何重塑这些网络。</w:t>
            </w:r>
          </w:p>
          <w:p w14:paraId="615D5E9E">
            <w:pPr>
              <w:widowControl w:val="0"/>
              <w:spacing w:after="0" w:line="300" w:lineRule="auto"/>
              <w:ind w:right="0" w:firstLine="480" w:firstLineChars="200"/>
              <w:outlineLvl w:val="0"/>
              <w:rPr>
                <w:rFonts w:hint="eastAsia"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lang w:val="en-US" w:eastAsia="zh-CN"/>
                <w14:ligatures w14:val="none"/>
              </w:rPr>
              <w:t xml:space="preserve">国际贸易并非简单的双边关系加总，而是一个复杂的生态系统。陈银飞 (2011) </w:t>
            </w:r>
            <w:r>
              <w:rPr>
                <w:rFonts w:hint="eastAsia" w:ascii="Times New Roman" w:hAnsi="Times New Roman" w:eastAsia="宋体" w:cs="Times New Roman"/>
                <w:color w:val="auto"/>
                <w:sz w:val="24"/>
                <w:vertAlign w:val="superscript"/>
                <w:lang w:val="en-US" w:eastAsia="zh-CN"/>
                <w14:ligatures w14:val="none"/>
              </w:rPr>
              <w:fldChar w:fldCharType="begin"/>
            </w:r>
            <w:r>
              <w:rPr>
                <w:rFonts w:hint="eastAsia" w:ascii="Times New Roman" w:hAnsi="Times New Roman" w:eastAsia="宋体" w:cs="Times New Roman"/>
                <w:color w:val="auto"/>
                <w:sz w:val="24"/>
                <w:vertAlign w:val="superscript"/>
                <w:lang w:val="en-US" w:eastAsia="zh-CN"/>
                <w14:ligatures w14:val="none"/>
              </w:rPr>
              <w:instrText xml:space="preserve"> REF _Ref27100 \r \h </w:instrText>
            </w:r>
            <w:r>
              <w:rPr>
                <w:rFonts w:hint="eastAsia" w:ascii="Times New Roman" w:hAnsi="Times New Roman" w:eastAsia="宋体" w:cs="Times New Roman"/>
                <w:color w:val="auto"/>
                <w:sz w:val="24"/>
                <w:vertAlign w:val="superscript"/>
                <w:lang w:val="en-US" w:eastAsia="zh-CN"/>
                <w14:ligatures w14:val="none"/>
              </w:rPr>
              <w:fldChar w:fldCharType="separate"/>
            </w:r>
            <w:r>
              <w:rPr>
                <w:rFonts w:hint="eastAsia" w:ascii="Times New Roman" w:hAnsi="Times New Roman" w:eastAsia="宋体" w:cs="Times New Roman"/>
                <w:color w:val="auto"/>
                <w:sz w:val="24"/>
                <w:vertAlign w:val="superscript"/>
                <w:lang w:val="en-US" w:eastAsia="zh-CN"/>
                <w14:ligatures w14:val="none"/>
              </w:rPr>
              <w:t>[14]</w:t>
            </w:r>
            <w:r>
              <w:rPr>
                <w:rFonts w:hint="eastAsia" w:ascii="Times New Roman" w:hAnsi="Times New Roman" w:eastAsia="宋体" w:cs="Times New Roman"/>
                <w:color w:val="auto"/>
                <w:sz w:val="24"/>
                <w:vertAlign w:val="superscript"/>
                <w:lang w:val="en-US" w:eastAsia="zh-CN"/>
                <w14:ligatures w14:val="none"/>
              </w:rPr>
              <w:fldChar w:fldCharType="end"/>
            </w:r>
            <w:r>
              <w:rPr>
                <w:rFonts w:hint="eastAsia" w:ascii="Times New Roman" w:hAnsi="Times New Roman" w:eastAsia="宋体" w:cs="Times New Roman"/>
                <w:color w:val="auto"/>
                <w:sz w:val="24"/>
                <w:lang w:val="en-US" w:eastAsia="zh-CN"/>
                <w14:ligatures w14:val="none"/>
              </w:rPr>
              <w:t>较早利用社会网络分析法，基于2000-2009年的数据揭示了世界贸易格局中长期存在的“核心-边缘（Core-Periphery）”结构。研究发现，少数发达国家占据了网络的绝对中心，控制了大部分贸易流量和信息流，而发展中国家则多处于依附地位。</w:t>
            </w:r>
          </w:p>
          <w:p w14:paraId="4E4AD4A7">
            <w:pPr>
              <w:widowControl w:val="0"/>
              <w:spacing w:after="0" w:line="300" w:lineRule="auto"/>
              <w:ind w:right="0" w:firstLine="480" w:firstLineChars="200"/>
              <w:outlineLvl w:val="0"/>
              <w:rPr>
                <w:rFonts w:hint="eastAsia"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lang w:val="en-US" w:eastAsia="zh-CN"/>
                <w14:ligatures w14:val="none"/>
              </w:rPr>
              <w:t>这种网络结构的形成往往伴随着显著的溢出效应。姜峰 (2025)</w:t>
            </w:r>
            <w:r>
              <w:rPr>
                <w:rFonts w:hint="eastAsia" w:ascii="Times New Roman" w:hAnsi="Times New Roman" w:eastAsia="宋体" w:cs="Times New Roman"/>
                <w:color w:val="auto"/>
                <w:sz w:val="24"/>
                <w:vertAlign w:val="superscript"/>
                <w:lang w:val="en-US" w:eastAsia="zh-CN"/>
                <w14:ligatures w14:val="none"/>
              </w:rPr>
              <w:fldChar w:fldCharType="begin"/>
            </w:r>
            <w:r>
              <w:rPr>
                <w:rFonts w:hint="eastAsia" w:ascii="Times New Roman" w:hAnsi="Times New Roman" w:eastAsia="宋体" w:cs="Times New Roman"/>
                <w:color w:val="auto"/>
                <w:sz w:val="24"/>
                <w:vertAlign w:val="superscript"/>
                <w:lang w:val="en-US" w:eastAsia="zh-CN"/>
                <w14:ligatures w14:val="none"/>
              </w:rPr>
              <w:instrText xml:space="preserve"> REF _Ref27685 \r \h </w:instrText>
            </w:r>
            <w:r>
              <w:rPr>
                <w:rFonts w:hint="eastAsia" w:ascii="Times New Roman" w:hAnsi="Times New Roman" w:eastAsia="宋体" w:cs="Times New Roman"/>
                <w:color w:val="auto"/>
                <w:sz w:val="24"/>
                <w:vertAlign w:val="superscript"/>
                <w:lang w:val="en-US" w:eastAsia="zh-CN"/>
                <w14:ligatures w14:val="none"/>
              </w:rPr>
              <w:fldChar w:fldCharType="separate"/>
            </w:r>
            <w:r>
              <w:rPr>
                <w:rFonts w:hint="eastAsia" w:ascii="Times New Roman" w:hAnsi="Times New Roman" w:eastAsia="宋体" w:cs="Times New Roman"/>
                <w:color w:val="auto"/>
                <w:sz w:val="24"/>
                <w:vertAlign w:val="superscript"/>
                <w:lang w:val="en-US" w:eastAsia="zh-CN"/>
                <w14:ligatures w14:val="none"/>
              </w:rPr>
              <w:t>[18]</w:t>
            </w:r>
            <w:r>
              <w:rPr>
                <w:rFonts w:hint="eastAsia" w:ascii="Times New Roman" w:hAnsi="Times New Roman" w:eastAsia="宋体" w:cs="Times New Roman"/>
                <w:color w:val="auto"/>
                <w:sz w:val="24"/>
                <w:vertAlign w:val="superscript"/>
                <w:lang w:val="en-US" w:eastAsia="zh-CN"/>
                <w14:ligatures w14:val="none"/>
              </w:rPr>
              <w:fldChar w:fldCharType="end"/>
            </w:r>
            <w:r>
              <w:rPr>
                <w:rFonts w:hint="eastAsia" w:ascii="Times New Roman" w:hAnsi="Times New Roman" w:eastAsia="宋体" w:cs="Times New Roman"/>
                <w:color w:val="auto"/>
                <w:sz w:val="24"/>
                <w:vertAlign w:val="superscript"/>
                <w:lang w:val="en-US" w:eastAsia="zh-CN"/>
                <w14:ligatures w14:val="none"/>
              </w:rPr>
              <w:t xml:space="preserve"> </w:t>
            </w:r>
            <w:r>
              <w:rPr>
                <w:rFonts w:hint="eastAsia" w:ascii="Times New Roman" w:hAnsi="Times New Roman" w:eastAsia="宋体" w:cs="Times New Roman"/>
                <w:color w:val="auto"/>
                <w:sz w:val="24"/>
                <w:lang w:val="en-US" w:eastAsia="zh-CN"/>
                <w14:ligatures w14:val="none"/>
              </w:rPr>
              <w:t>基于全球贸易网络视角，证实了“中心节点”的带动作用。他发现，中国作为新兴的贸易中心，其出口增长能够通过网络传导机制，显著推动其他金砖成员国的出口增长。这种正向溢出依赖于紧密的贸易网络连接，证明了融入核心网络对于后发国家的重要性。</w:t>
            </w:r>
          </w:p>
          <w:p w14:paraId="439404C7">
            <w:pPr>
              <w:widowControl w:val="0"/>
              <w:spacing w:after="0" w:line="300" w:lineRule="auto"/>
              <w:ind w:right="0" w:firstLine="480" w:firstLineChars="200"/>
              <w:outlineLvl w:val="0"/>
              <w:rPr>
                <w:rFonts w:hint="eastAsia"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lang w:val="en-US" w:eastAsia="zh-CN"/>
                <w14:ligatures w14:val="none"/>
              </w:rPr>
              <w:t>相较于货物贸易，服务贸易的网络结构具有其独特性。方慧 (2025)</w:t>
            </w:r>
            <w:r>
              <w:rPr>
                <w:rFonts w:hint="eastAsia" w:ascii="Times New Roman" w:hAnsi="Times New Roman" w:eastAsia="宋体" w:cs="Times New Roman"/>
                <w:color w:val="auto"/>
                <w:sz w:val="24"/>
                <w:vertAlign w:val="superscript"/>
                <w:lang w:val="en-US" w:eastAsia="zh-CN"/>
                <w14:ligatures w14:val="none"/>
              </w:rPr>
              <w:fldChar w:fldCharType="begin"/>
            </w:r>
            <w:r>
              <w:rPr>
                <w:rFonts w:hint="eastAsia" w:ascii="Times New Roman" w:hAnsi="Times New Roman" w:eastAsia="宋体" w:cs="Times New Roman"/>
                <w:color w:val="auto"/>
                <w:sz w:val="24"/>
                <w:vertAlign w:val="superscript"/>
                <w:lang w:val="en-US" w:eastAsia="zh-CN"/>
                <w14:ligatures w14:val="none"/>
              </w:rPr>
              <w:instrText xml:space="preserve"> REF _Ref193359583 \r \h </w:instrText>
            </w:r>
            <w:r>
              <w:rPr>
                <w:rFonts w:hint="eastAsia" w:ascii="Times New Roman" w:hAnsi="Times New Roman" w:eastAsia="宋体" w:cs="Times New Roman"/>
                <w:color w:val="auto"/>
                <w:sz w:val="24"/>
                <w:vertAlign w:val="superscript"/>
                <w:lang w:val="en-US" w:eastAsia="zh-CN"/>
                <w14:ligatures w14:val="none"/>
              </w:rPr>
              <w:fldChar w:fldCharType="separate"/>
            </w:r>
            <w:r>
              <w:rPr>
                <w:rFonts w:hint="eastAsia" w:ascii="Times New Roman" w:hAnsi="Times New Roman" w:eastAsia="宋体" w:cs="Times New Roman"/>
                <w:color w:val="auto"/>
                <w:sz w:val="24"/>
                <w:vertAlign w:val="superscript"/>
                <w:lang w:val="en-US" w:eastAsia="zh-CN"/>
                <w14:ligatures w14:val="none"/>
              </w:rPr>
              <w:t>[15]</w:t>
            </w:r>
            <w:r>
              <w:rPr>
                <w:rFonts w:hint="eastAsia" w:ascii="Times New Roman" w:hAnsi="Times New Roman" w:eastAsia="宋体" w:cs="Times New Roman"/>
                <w:color w:val="auto"/>
                <w:sz w:val="24"/>
                <w:vertAlign w:val="superscript"/>
                <w:lang w:val="en-US" w:eastAsia="zh-CN"/>
                <w14:ligatures w14:val="none"/>
              </w:rPr>
              <w:fldChar w:fldCharType="end"/>
            </w:r>
            <w:r>
              <w:rPr>
                <w:rFonts w:hint="eastAsia" w:ascii="Times New Roman" w:hAnsi="Times New Roman" w:eastAsia="宋体" w:cs="Times New Roman"/>
                <w:color w:val="auto"/>
                <w:sz w:val="24"/>
                <w:lang w:val="en-US" w:eastAsia="zh-CN"/>
                <w14:ligatures w14:val="none"/>
              </w:rPr>
              <w:t xml:space="preserve"> 专门聚焦于“服务业增加值贸易网络”，研究发现该网络具有比货物贸易更显著的空间集聚特征和更强的路径依赖性。由于服务贸易（特别是数字服务）对语言、文化和制度环境的高度敏感，其网络连接往往更倾向于在制度距离较近的国家之间形成。这一发现为本文研究数字服务出口提供了重要的经验证据，即数字服务的流动不仅受经济因素驱动，更受制度环境的约束。</w:t>
            </w:r>
          </w:p>
          <w:p w14:paraId="50B5709C">
            <w:pPr>
              <w:widowControl w:val="0"/>
              <w:spacing w:after="0" w:line="300" w:lineRule="auto"/>
              <w:ind w:right="0" w:firstLine="480" w:firstLineChars="200"/>
              <w:outlineLvl w:val="0"/>
              <w:rPr>
                <w:rFonts w:hint="eastAsia"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lang w:val="en-US" w:eastAsia="zh-CN"/>
                <w14:ligatures w14:val="none"/>
              </w:rPr>
              <w:t xml:space="preserve">制度经济学认为，制度是降低交易成本的关键。在网络视角下，这一理论演化为“规则网络驱动贸易网络”。殷凤 (2025) </w:t>
            </w:r>
            <w:r>
              <w:rPr>
                <w:rFonts w:hint="eastAsia" w:ascii="Times New Roman" w:hAnsi="Times New Roman" w:eastAsia="宋体" w:cs="Times New Roman"/>
                <w:color w:val="auto"/>
                <w:sz w:val="24"/>
                <w:vertAlign w:val="superscript"/>
                <w:lang w:val="en-US" w:eastAsia="zh-CN"/>
                <w14:ligatures w14:val="none"/>
              </w:rPr>
              <w:fldChar w:fldCharType="begin"/>
            </w:r>
            <w:r>
              <w:rPr>
                <w:rFonts w:hint="eastAsia" w:ascii="Times New Roman" w:hAnsi="Times New Roman" w:eastAsia="宋体" w:cs="Times New Roman"/>
                <w:color w:val="auto"/>
                <w:sz w:val="24"/>
                <w:vertAlign w:val="superscript"/>
                <w:lang w:val="en-US" w:eastAsia="zh-CN"/>
                <w14:ligatures w14:val="none"/>
              </w:rPr>
              <w:instrText xml:space="preserve"> REF _Ref28358 \r \h </w:instrText>
            </w:r>
            <w:r>
              <w:rPr>
                <w:rFonts w:hint="eastAsia" w:ascii="Times New Roman" w:hAnsi="Times New Roman" w:eastAsia="宋体" w:cs="Times New Roman"/>
                <w:color w:val="auto"/>
                <w:sz w:val="24"/>
                <w:vertAlign w:val="superscript"/>
                <w:lang w:val="en-US" w:eastAsia="zh-CN"/>
                <w14:ligatures w14:val="none"/>
              </w:rPr>
              <w:fldChar w:fldCharType="separate"/>
            </w:r>
            <w:r>
              <w:rPr>
                <w:rFonts w:hint="eastAsia" w:ascii="Times New Roman" w:hAnsi="Times New Roman" w:eastAsia="宋体" w:cs="Times New Roman"/>
                <w:color w:val="auto"/>
                <w:sz w:val="24"/>
                <w:vertAlign w:val="superscript"/>
                <w:lang w:val="en-US" w:eastAsia="zh-CN"/>
                <w14:ligatures w14:val="none"/>
              </w:rPr>
              <w:t>[6]</w:t>
            </w:r>
            <w:r>
              <w:rPr>
                <w:rFonts w:hint="eastAsia" w:ascii="Times New Roman" w:hAnsi="Times New Roman" w:eastAsia="宋体" w:cs="Times New Roman"/>
                <w:color w:val="auto"/>
                <w:sz w:val="24"/>
                <w:vertAlign w:val="superscript"/>
                <w:lang w:val="en-US" w:eastAsia="zh-CN"/>
                <w14:ligatures w14:val="none"/>
              </w:rPr>
              <w:fldChar w:fldCharType="end"/>
            </w:r>
            <w:r>
              <w:rPr>
                <w:rFonts w:hint="eastAsia" w:ascii="Times New Roman" w:hAnsi="Times New Roman" w:eastAsia="宋体" w:cs="Times New Roman"/>
                <w:color w:val="auto"/>
                <w:sz w:val="24"/>
                <w:lang w:val="en-US" w:eastAsia="zh-CN"/>
                <w14:ligatures w14:val="none"/>
              </w:rPr>
              <w:t>利用时序指数随机图模型（TERGM）这一前沿方法，证实了RTA数字贸易规则网络与增加值贸易网络之间存在显著的协同演化关系。即，两国若在数字规则上签署了协定（建立了规则连接），其在实际贸易网络中形成高强度连接的概率将显著增加。</w:t>
            </w:r>
          </w:p>
          <w:p w14:paraId="5F0ECF48">
            <w:pPr>
              <w:widowControl w:val="0"/>
              <w:spacing w:after="0" w:line="300" w:lineRule="auto"/>
              <w:ind w:right="0" w:firstLine="480" w:firstLineChars="200"/>
              <w:outlineLvl w:val="0"/>
              <w:rPr>
                <w:rFonts w:hint="eastAsia"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lang w:val="en-US" w:eastAsia="zh-CN"/>
                <w14:ligatures w14:val="none"/>
              </w:rPr>
              <w:t>赵明亮 (2025)</w:t>
            </w:r>
            <w:r>
              <w:rPr>
                <w:rFonts w:hint="eastAsia" w:ascii="Times New Roman" w:hAnsi="Times New Roman" w:eastAsia="宋体" w:cs="Times New Roman"/>
                <w:color w:val="auto"/>
                <w:sz w:val="24"/>
                <w:vertAlign w:val="superscript"/>
                <w:lang w:val="en-US" w:eastAsia="zh-CN"/>
                <w14:ligatures w14:val="none"/>
              </w:rPr>
              <w:fldChar w:fldCharType="begin"/>
            </w:r>
            <w:r>
              <w:rPr>
                <w:rFonts w:hint="eastAsia" w:ascii="Times New Roman" w:hAnsi="Times New Roman" w:eastAsia="宋体" w:cs="Times New Roman"/>
                <w:color w:val="auto"/>
                <w:sz w:val="24"/>
                <w:vertAlign w:val="superscript"/>
                <w:lang w:val="en-US" w:eastAsia="zh-CN"/>
                <w14:ligatures w14:val="none"/>
              </w:rPr>
              <w:instrText xml:space="preserve"> REF _Ref28629 \r \h </w:instrText>
            </w:r>
            <w:r>
              <w:rPr>
                <w:rFonts w:hint="eastAsia" w:ascii="Times New Roman" w:hAnsi="Times New Roman" w:eastAsia="宋体" w:cs="Times New Roman"/>
                <w:color w:val="auto"/>
                <w:sz w:val="24"/>
                <w:vertAlign w:val="superscript"/>
                <w:lang w:val="en-US" w:eastAsia="zh-CN"/>
                <w14:ligatures w14:val="none"/>
              </w:rPr>
              <w:fldChar w:fldCharType="separate"/>
            </w:r>
            <w:r>
              <w:rPr>
                <w:rFonts w:hint="eastAsia" w:ascii="Times New Roman" w:hAnsi="Times New Roman" w:eastAsia="宋体" w:cs="Times New Roman"/>
                <w:color w:val="auto"/>
                <w:sz w:val="24"/>
                <w:vertAlign w:val="superscript"/>
                <w:lang w:val="en-US" w:eastAsia="zh-CN"/>
                <w14:ligatures w14:val="none"/>
              </w:rPr>
              <w:t>[16]</w:t>
            </w:r>
            <w:r>
              <w:rPr>
                <w:rFonts w:hint="eastAsia" w:ascii="Times New Roman" w:hAnsi="Times New Roman" w:eastAsia="宋体" w:cs="Times New Roman"/>
                <w:color w:val="auto"/>
                <w:sz w:val="24"/>
                <w:vertAlign w:val="superscript"/>
                <w:lang w:val="en-US" w:eastAsia="zh-CN"/>
                <w14:ligatures w14:val="none"/>
              </w:rPr>
              <w:fldChar w:fldCharType="end"/>
            </w:r>
            <w:r>
              <w:rPr>
                <w:rFonts w:hint="eastAsia" w:ascii="Times New Roman" w:hAnsi="Times New Roman" w:eastAsia="宋体" w:cs="Times New Roman"/>
                <w:color w:val="auto"/>
                <w:sz w:val="24"/>
                <w:vertAlign w:val="superscript"/>
                <w:lang w:val="en-US" w:eastAsia="zh-CN"/>
                <w14:ligatures w14:val="none"/>
              </w:rPr>
              <w:t xml:space="preserve"> </w:t>
            </w:r>
            <w:r>
              <w:rPr>
                <w:rFonts w:hint="eastAsia" w:ascii="Times New Roman" w:hAnsi="Times New Roman" w:eastAsia="宋体" w:cs="Times New Roman"/>
                <w:color w:val="auto"/>
                <w:sz w:val="24"/>
                <w:lang w:val="en-US" w:eastAsia="zh-CN"/>
                <w14:ligatures w14:val="none"/>
              </w:rPr>
              <w:t>进一步从全球价值链（GVC）的视角细化了这一机制。他指出，数字贸易规则的深化通过降低信息不对称、提升契约执行效率和减少监管异质性，显著促进了全球价值链合作网络的广度与深度。规则的“软联通”成为了物理网络“硬联通”的先导条件。</w:t>
            </w:r>
          </w:p>
          <w:p w14:paraId="2A7F5685">
            <w:pPr>
              <w:widowControl w:val="0"/>
              <w:numPr>
                <w:ilvl w:val="0"/>
                <w:numId w:val="0"/>
              </w:numPr>
              <w:spacing w:after="0" w:line="300" w:lineRule="auto"/>
              <w:ind w:left="0" w:leftChars="0" w:right="0" w:rightChars="0" w:firstLine="560" w:firstLineChars="200"/>
              <w:outlineLvl w:val="0"/>
              <w:rPr>
                <w:rFonts w:hint="eastAsia" w:ascii="黑体" w:hAnsi="黑体" w:eastAsia="黑体" w:cs="黑体"/>
                <w:lang w:val="en-US" w:eastAsia="zh-CN"/>
              </w:rPr>
            </w:pPr>
            <w:r>
              <w:rPr>
                <w:rFonts w:hint="eastAsia" w:ascii="黑体" w:hAnsi="黑体" w:eastAsia="黑体" w:cs="黑体"/>
                <w:color w:val="000000"/>
                <w:kern w:val="2"/>
                <w:sz w:val="28"/>
                <w:szCs w:val="24"/>
                <w:lang w:val="en-US" w:eastAsia="zh-CN" w:bidi="ar-SA"/>
                <w14:ligatures w14:val="standardContextual"/>
              </w:rPr>
              <w:t>4.</w:t>
            </w:r>
            <w:r>
              <w:rPr>
                <w:rFonts w:hint="eastAsia" w:ascii="黑体" w:hAnsi="黑体" w:eastAsia="黑体" w:cs="黑体"/>
                <w:lang w:val="en-US" w:eastAsia="zh-CN"/>
              </w:rPr>
              <w:t>对出口韧性的已有研究</w:t>
            </w:r>
          </w:p>
          <w:p w14:paraId="2A5C2B60">
            <w:pPr>
              <w:widowControl w:val="0"/>
              <w:spacing w:after="0" w:line="300" w:lineRule="auto"/>
              <w:ind w:right="0" w:firstLine="480" w:firstLineChars="200"/>
              <w:outlineLvl w:val="0"/>
              <w:rPr>
                <w:rFonts w:hint="eastAsia"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lang w:val="en-US" w:eastAsia="zh-CN"/>
                <w14:ligatures w14:val="none"/>
              </w:rPr>
              <w:t>在“黑天鹅”事件频发的背景下，单纯追求出口效率已不足以应对挑战，兼顾“安全”与“发展”的“韧性（Resilience）”概念应运而生。但在实际研究中，韧性的定义则各有千秋，总体上可以分为两大流派——“工程韧性”和“生态韧性”。前者是指遭受冲击之后恢复到原有均衡状态的速度，后者则是指遭受冲击之后石英并演化出新均衡的能力。Amini 等 (2010)</w:t>
            </w:r>
            <w:r>
              <w:rPr>
                <w:rFonts w:hint="eastAsia" w:ascii="Times New Roman" w:hAnsi="Times New Roman" w:eastAsia="宋体" w:cs="Times New Roman"/>
                <w:color w:val="auto"/>
                <w:sz w:val="24"/>
                <w:vertAlign w:val="superscript"/>
                <w:lang w:val="en-US" w:eastAsia="zh-CN"/>
                <w14:ligatures w14:val="none"/>
              </w:rPr>
              <w:t xml:space="preserve"> </w:t>
            </w:r>
            <w:r>
              <w:rPr>
                <w:rFonts w:hint="eastAsia" w:ascii="Times New Roman" w:hAnsi="Times New Roman" w:eastAsia="宋体" w:cs="Times New Roman"/>
                <w:color w:val="auto"/>
                <w:sz w:val="24"/>
                <w:vertAlign w:val="superscript"/>
                <w:lang w:val="en-US" w:eastAsia="zh-CN"/>
                <w14:ligatures w14:val="none"/>
              </w:rPr>
              <w:fldChar w:fldCharType="begin"/>
            </w:r>
            <w:r>
              <w:rPr>
                <w:rFonts w:hint="eastAsia" w:ascii="Times New Roman" w:hAnsi="Times New Roman" w:eastAsia="宋体" w:cs="Times New Roman"/>
                <w:color w:val="auto"/>
                <w:sz w:val="24"/>
                <w:vertAlign w:val="superscript"/>
                <w:lang w:val="en-US" w:eastAsia="zh-CN"/>
                <w14:ligatures w14:val="none"/>
              </w:rPr>
              <w:instrText xml:space="preserve"> REF _Ref193360684 \r \h </w:instrText>
            </w:r>
            <w:r>
              <w:rPr>
                <w:rFonts w:hint="eastAsia" w:ascii="Times New Roman" w:hAnsi="Times New Roman" w:eastAsia="宋体" w:cs="Times New Roman"/>
                <w:color w:val="auto"/>
                <w:sz w:val="24"/>
                <w:vertAlign w:val="superscript"/>
                <w:lang w:val="en-US" w:eastAsia="zh-CN"/>
                <w14:ligatures w14:val="none"/>
              </w:rPr>
              <w:fldChar w:fldCharType="separate"/>
            </w:r>
            <w:r>
              <w:rPr>
                <w:rFonts w:hint="eastAsia" w:ascii="Times New Roman" w:hAnsi="Times New Roman" w:eastAsia="宋体" w:cs="Times New Roman"/>
                <w:color w:val="auto"/>
                <w:sz w:val="24"/>
                <w:vertAlign w:val="superscript"/>
                <w:lang w:val="en-US" w:eastAsia="zh-CN"/>
                <w14:ligatures w14:val="none"/>
              </w:rPr>
              <w:t>[7]</w:t>
            </w:r>
            <w:r>
              <w:rPr>
                <w:rFonts w:hint="eastAsia" w:ascii="Times New Roman" w:hAnsi="Times New Roman" w:eastAsia="宋体" w:cs="Times New Roman"/>
                <w:color w:val="auto"/>
                <w:sz w:val="24"/>
                <w:vertAlign w:val="superscript"/>
                <w:lang w:val="en-US" w:eastAsia="zh-CN"/>
                <w14:ligatures w14:val="none"/>
              </w:rPr>
              <w:fldChar w:fldCharType="end"/>
            </w:r>
            <w:r>
              <w:rPr>
                <w:rFonts w:hint="eastAsia" w:ascii="Times New Roman" w:hAnsi="Times New Roman" w:eastAsia="宋体" w:cs="Times New Roman"/>
                <w:color w:val="auto"/>
                <w:sz w:val="24"/>
                <w:lang w:val="en-US" w:eastAsia="zh-CN"/>
                <w14:ligatures w14:val="none"/>
              </w:rPr>
              <w:t>在金融网络压力测试的研究中指出，网络的连通性本身就是双刃剑：既能分散风险（提升韧性），也可能在极端情况下加速危机传染（降低韧性）。这种基于复杂网络理论的视角，为评估贸易网络的系统性风险提供了重要参照。</w:t>
            </w:r>
          </w:p>
          <w:p w14:paraId="65B0E059">
            <w:pPr>
              <w:widowControl w:val="0"/>
              <w:spacing w:after="0" w:line="300" w:lineRule="auto"/>
              <w:ind w:right="0" w:firstLine="480" w:firstLineChars="200"/>
              <w:outlineLvl w:val="0"/>
              <w:rPr>
                <w:rFonts w:hint="default"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lang w:val="en-US" w:eastAsia="zh-CN"/>
                <w14:ligatures w14:val="none"/>
              </w:rPr>
              <w:t xml:space="preserve">随着技术日新月异，被认为能够在提升微观主体韧性的过程中发挥关键作用。Li 等 (2024) </w:t>
            </w:r>
            <w:r>
              <w:rPr>
                <w:rFonts w:hint="eastAsia" w:ascii="Times New Roman" w:hAnsi="Times New Roman" w:eastAsia="宋体" w:cs="Times New Roman"/>
                <w:color w:val="auto"/>
                <w:sz w:val="24"/>
                <w:vertAlign w:val="superscript"/>
                <w:lang w:val="en-US" w:eastAsia="zh-CN"/>
                <w14:ligatures w14:val="none"/>
              </w:rPr>
              <w:fldChar w:fldCharType="begin"/>
            </w:r>
            <w:r>
              <w:rPr>
                <w:rFonts w:hint="eastAsia" w:ascii="Times New Roman" w:hAnsi="Times New Roman" w:eastAsia="宋体" w:cs="Times New Roman"/>
                <w:color w:val="auto"/>
                <w:sz w:val="24"/>
                <w:vertAlign w:val="superscript"/>
                <w:lang w:val="en-US" w:eastAsia="zh-CN"/>
                <w14:ligatures w14:val="none"/>
              </w:rPr>
              <w:instrText xml:space="preserve"> REF _Ref193374069 \r \h </w:instrText>
            </w:r>
            <w:r>
              <w:rPr>
                <w:rFonts w:hint="eastAsia" w:ascii="Times New Roman" w:hAnsi="Times New Roman" w:eastAsia="宋体" w:cs="Times New Roman"/>
                <w:color w:val="auto"/>
                <w:sz w:val="24"/>
                <w:vertAlign w:val="superscript"/>
                <w:lang w:val="en-US" w:eastAsia="zh-CN"/>
                <w14:ligatures w14:val="none"/>
              </w:rPr>
              <w:fldChar w:fldCharType="separate"/>
            </w:r>
            <w:r>
              <w:rPr>
                <w:rFonts w:hint="eastAsia" w:ascii="Times New Roman" w:hAnsi="Times New Roman" w:eastAsia="宋体" w:cs="Times New Roman"/>
                <w:color w:val="auto"/>
                <w:sz w:val="24"/>
                <w:vertAlign w:val="superscript"/>
                <w:lang w:val="en-US" w:eastAsia="zh-CN"/>
                <w14:ligatures w14:val="none"/>
              </w:rPr>
              <w:t>[11]</w:t>
            </w:r>
            <w:r>
              <w:rPr>
                <w:rFonts w:hint="eastAsia" w:ascii="Times New Roman" w:hAnsi="Times New Roman" w:eastAsia="宋体" w:cs="Times New Roman"/>
                <w:color w:val="auto"/>
                <w:sz w:val="24"/>
                <w:vertAlign w:val="superscript"/>
                <w:lang w:val="en-US" w:eastAsia="zh-CN"/>
                <w14:ligatures w14:val="none"/>
              </w:rPr>
              <w:fldChar w:fldCharType="end"/>
            </w:r>
            <w:r>
              <w:rPr>
                <w:rFonts w:hint="eastAsia" w:ascii="Times New Roman" w:hAnsi="Times New Roman" w:eastAsia="宋体" w:cs="Times New Roman"/>
                <w:color w:val="auto"/>
                <w:sz w:val="24"/>
                <w:lang w:val="en-US" w:eastAsia="zh-CN"/>
                <w14:ligatures w14:val="none"/>
              </w:rPr>
              <w:t>引入了机器学习与大语言模型（LLMs）来分析动荡环境下的韧性导航，其研究表明，数字化技术能够帮助企业更精准地预测市场波动、优化供应链决策。在新冠疫情背景下的实证研究也证实，电子商务的使用显著增强了企业的出口韧性，那些数字化程度高的企业在物理隔离期间展现出了更强的生存能力和恢复力。</w:t>
            </w:r>
          </w:p>
          <w:p w14:paraId="2DDDAE5F">
            <w:pPr>
              <w:widowControl w:val="0"/>
              <w:spacing w:after="0" w:line="300" w:lineRule="auto"/>
              <w:ind w:right="0" w:firstLine="200"/>
              <w:jc w:val="both"/>
              <w:rPr>
                <w:rFonts w:ascii="Times New Roman" w:hAnsi="Times New Roman" w:eastAsia="宋体" w:cs="Times New Roman"/>
                <w:color w:val="auto"/>
                <w:sz w:val="24"/>
                <w14:ligatures w14:val="none"/>
              </w:rPr>
            </w:pPr>
            <w:r>
              <w:rPr>
                <w:rFonts w:hint="eastAsia" w:ascii="Times New Roman" w:hAnsi="Times New Roman" w:eastAsia="宋体" w:cs="Times New Roman"/>
                <w:color w:val="auto"/>
                <w:sz w:val="24"/>
                <w14:ligatures w14:val="none"/>
              </w:rPr>
              <w:t xml:space="preserve">    </w:t>
            </w:r>
          </w:p>
          <w:p w14:paraId="747FEF7B">
            <w:pPr>
              <w:widowControl w:val="0"/>
              <w:spacing w:after="0" w:line="300" w:lineRule="auto"/>
              <w:ind w:right="0" w:firstLine="0"/>
              <w:outlineLvl w:val="0"/>
              <w:rPr>
                <w:rFonts w:ascii="Times New Roman" w:hAnsi="Times New Roman" w:eastAsia="黑体" w:cs="Times New Roman"/>
                <w:color w:val="auto"/>
                <w:szCs w:val="28"/>
                <w14:ligatures w14:val="none"/>
              </w:rPr>
            </w:pPr>
            <w:r>
              <w:fldChar w:fldCharType="begin"/>
            </w:r>
            <w:r>
              <w:instrText xml:space="preserve"> HYPERLINK \l "_Toc191977616" </w:instrText>
            </w:r>
            <w:r>
              <w:fldChar w:fldCharType="separate"/>
            </w:r>
            <w:r>
              <w:rPr>
                <w:rFonts w:ascii="Times New Roman" w:hAnsi="Times New Roman" w:eastAsia="黑体" w:cs="Times New Roman"/>
                <w:color w:val="auto"/>
                <w:szCs w:val="28"/>
                <w14:ligatures w14:val="none"/>
              </w:rPr>
              <w:t>（二）文献</w:t>
            </w:r>
            <w:r>
              <w:rPr>
                <w:rFonts w:hint="eastAsia" w:ascii="Times New Roman" w:hAnsi="Times New Roman" w:eastAsia="黑体" w:cs="Times New Roman"/>
                <w:color w:val="auto"/>
                <w:szCs w:val="28"/>
                <w14:ligatures w14:val="none"/>
              </w:rPr>
              <w:t>评</w:t>
            </w:r>
            <w:r>
              <w:rPr>
                <w:rFonts w:ascii="Times New Roman" w:hAnsi="Times New Roman" w:eastAsia="黑体" w:cs="Times New Roman"/>
                <w:color w:val="auto"/>
                <w:szCs w:val="28"/>
                <w14:ligatures w14:val="none"/>
              </w:rPr>
              <w:t>述</w:t>
            </w:r>
            <w:r>
              <w:rPr>
                <w:rFonts w:ascii="Times New Roman" w:hAnsi="Times New Roman" w:eastAsia="黑体" w:cs="Times New Roman"/>
                <w:color w:val="auto"/>
                <w:szCs w:val="28"/>
                <w14:ligatures w14:val="none"/>
              </w:rPr>
              <w:fldChar w:fldCharType="end"/>
            </w:r>
          </w:p>
          <w:p w14:paraId="19755311">
            <w:pPr>
              <w:widowControl w:val="0"/>
              <w:spacing w:after="0" w:line="300" w:lineRule="auto"/>
              <w:ind w:right="0" w:firstLine="480" w:firstLineChars="200"/>
              <w:outlineLvl w:val="0"/>
              <w:rPr>
                <w:rFonts w:hint="eastAsia"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lang w:val="en-US" w:eastAsia="zh-CN"/>
                <w14:ligatures w14:val="none"/>
              </w:rPr>
              <w:t>综上所述，既有研究已在数字贸易规则的治理内涵、贸易网络的结构演化以及出口韧性的形成机制等方面取得了丰硕成果，构建了较为完整的理论大厦。特别是 Jing 等 (2026)</w:t>
            </w:r>
            <w:r>
              <w:rPr>
                <w:rFonts w:hint="eastAsia" w:ascii="Times New Roman" w:hAnsi="Times New Roman" w:eastAsia="宋体" w:cs="Times New Roman"/>
                <w:color w:val="auto"/>
                <w:sz w:val="24"/>
                <w:vertAlign w:val="superscript"/>
                <w:lang w:val="en-US" w:eastAsia="zh-CN"/>
                <w14:ligatures w14:val="none"/>
              </w:rPr>
              <w:fldChar w:fldCharType="begin"/>
            </w:r>
            <w:r>
              <w:rPr>
                <w:rFonts w:hint="eastAsia" w:ascii="Times New Roman" w:hAnsi="Times New Roman" w:eastAsia="宋体" w:cs="Times New Roman"/>
                <w:color w:val="auto"/>
                <w:sz w:val="24"/>
                <w:vertAlign w:val="superscript"/>
                <w:lang w:val="en-US" w:eastAsia="zh-CN"/>
                <w14:ligatures w14:val="none"/>
              </w:rPr>
              <w:instrText xml:space="preserve"> REF _Ref1184 \r \h </w:instrText>
            </w:r>
            <w:r>
              <w:rPr>
                <w:rFonts w:hint="eastAsia" w:ascii="Times New Roman" w:hAnsi="Times New Roman" w:eastAsia="宋体" w:cs="Times New Roman"/>
                <w:color w:val="auto"/>
                <w:sz w:val="24"/>
                <w:vertAlign w:val="superscript"/>
                <w:lang w:val="en-US" w:eastAsia="zh-CN"/>
                <w14:ligatures w14:val="none"/>
              </w:rPr>
              <w:fldChar w:fldCharType="separate"/>
            </w:r>
            <w:r>
              <w:rPr>
                <w:rFonts w:hint="eastAsia" w:ascii="Times New Roman" w:hAnsi="Times New Roman" w:eastAsia="宋体" w:cs="Times New Roman"/>
                <w:color w:val="auto"/>
                <w:sz w:val="24"/>
                <w:vertAlign w:val="superscript"/>
                <w:lang w:val="en-US" w:eastAsia="zh-CN"/>
                <w14:ligatures w14:val="none"/>
              </w:rPr>
              <w:t>[10]</w:t>
            </w:r>
            <w:r>
              <w:rPr>
                <w:rFonts w:hint="eastAsia" w:ascii="Times New Roman" w:hAnsi="Times New Roman" w:eastAsia="宋体" w:cs="Times New Roman"/>
                <w:color w:val="auto"/>
                <w:sz w:val="24"/>
                <w:vertAlign w:val="superscript"/>
                <w:lang w:val="en-US" w:eastAsia="zh-CN"/>
                <w14:ligatures w14:val="none"/>
              </w:rPr>
              <w:fldChar w:fldCharType="end"/>
            </w:r>
            <w:r>
              <w:rPr>
                <w:rFonts w:hint="eastAsia" w:ascii="Times New Roman" w:hAnsi="Times New Roman" w:eastAsia="宋体" w:cs="Times New Roman"/>
                <w:color w:val="auto"/>
                <w:sz w:val="24"/>
                <w:vertAlign w:val="superscript"/>
                <w:lang w:val="en-US" w:eastAsia="zh-CN"/>
                <w14:ligatures w14:val="none"/>
              </w:rPr>
              <w:t xml:space="preserve"> </w:t>
            </w:r>
            <w:r>
              <w:rPr>
                <w:rFonts w:hint="eastAsia" w:ascii="Times New Roman" w:hAnsi="Times New Roman" w:eastAsia="宋体" w:cs="Times New Roman"/>
                <w:color w:val="auto"/>
                <w:sz w:val="24"/>
                <w:lang w:val="en-US" w:eastAsia="zh-CN"/>
                <w14:ligatures w14:val="none"/>
              </w:rPr>
              <w:t>关于网络地位与韧性的研究，以及 刘采斌 (2025)</w:t>
            </w:r>
            <w:r>
              <w:rPr>
                <w:rFonts w:hint="eastAsia" w:ascii="Times New Roman" w:hAnsi="Times New Roman" w:eastAsia="宋体" w:cs="Times New Roman"/>
                <w:color w:val="auto"/>
                <w:sz w:val="24"/>
                <w:vertAlign w:val="superscript"/>
                <w:lang w:val="en-US" w:eastAsia="zh-CN"/>
                <w14:ligatures w14:val="none"/>
              </w:rPr>
              <w:t xml:space="preserve"> </w:t>
            </w:r>
            <w:r>
              <w:rPr>
                <w:rFonts w:hint="eastAsia" w:ascii="Times New Roman" w:hAnsi="Times New Roman" w:eastAsia="宋体" w:cs="Times New Roman"/>
                <w:color w:val="auto"/>
                <w:sz w:val="24"/>
                <w:vertAlign w:val="superscript"/>
                <w:lang w:val="en-US" w:eastAsia="zh-CN"/>
                <w14:ligatures w14:val="none"/>
              </w:rPr>
              <w:fldChar w:fldCharType="begin"/>
            </w:r>
            <w:r>
              <w:rPr>
                <w:rFonts w:hint="eastAsia" w:ascii="Times New Roman" w:hAnsi="Times New Roman" w:eastAsia="宋体" w:cs="Times New Roman"/>
                <w:color w:val="auto"/>
                <w:sz w:val="24"/>
                <w:vertAlign w:val="superscript"/>
                <w:lang w:val="en-US" w:eastAsia="zh-CN"/>
                <w14:ligatures w14:val="none"/>
              </w:rPr>
              <w:instrText xml:space="preserve"> REF _Ref772 \r \h </w:instrText>
            </w:r>
            <w:r>
              <w:rPr>
                <w:rFonts w:hint="eastAsia" w:ascii="Times New Roman" w:hAnsi="Times New Roman" w:eastAsia="宋体" w:cs="Times New Roman"/>
                <w:color w:val="auto"/>
                <w:sz w:val="24"/>
                <w:vertAlign w:val="superscript"/>
                <w:lang w:val="en-US" w:eastAsia="zh-CN"/>
                <w14:ligatures w14:val="none"/>
              </w:rPr>
              <w:fldChar w:fldCharType="separate"/>
            </w:r>
            <w:r>
              <w:rPr>
                <w:rFonts w:hint="eastAsia" w:ascii="Times New Roman" w:hAnsi="Times New Roman" w:eastAsia="宋体" w:cs="Times New Roman"/>
                <w:color w:val="auto"/>
                <w:sz w:val="24"/>
                <w:vertAlign w:val="superscript"/>
                <w:lang w:val="en-US" w:eastAsia="zh-CN"/>
                <w14:ligatures w14:val="none"/>
              </w:rPr>
              <w:t>[18]</w:t>
            </w:r>
            <w:r>
              <w:rPr>
                <w:rFonts w:hint="eastAsia" w:ascii="Times New Roman" w:hAnsi="Times New Roman" w:eastAsia="宋体" w:cs="Times New Roman"/>
                <w:color w:val="auto"/>
                <w:sz w:val="24"/>
                <w:vertAlign w:val="superscript"/>
                <w:lang w:val="en-US" w:eastAsia="zh-CN"/>
                <w14:ligatures w14:val="none"/>
              </w:rPr>
              <w:fldChar w:fldCharType="end"/>
            </w:r>
            <w:r>
              <w:rPr>
                <w:rFonts w:hint="eastAsia" w:ascii="Times New Roman" w:hAnsi="Times New Roman" w:eastAsia="宋体" w:cs="Times New Roman"/>
                <w:color w:val="auto"/>
                <w:sz w:val="24"/>
                <w:lang w:val="en-US" w:eastAsia="zh-CN"/>
                <w14:ligatures w14:val="none"/>
              </w:rPr>
              <w:t>关于规则网络赋能价值链的研究，为后续探索提供了坚实的基石。</w:t>
            </w:r>
          </w:p>
          <w:p w14:paraId="4B61F5AE">
            <w:pPr>
              <w:widowControl w:val="0"/>
              <w:spacing w:after="0" w:line="300" w:lineRule="auto"/>
              <w:ind w:right="0" w:firstLine="480" w:firstLineChars="200"/>
              <w:outlineLvl w:val="0"/>
              <w:rPr>
                <w:rFonts w:hint="eastAsia"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lang w:val="en-US" w:eastAsia="zh-CN"/>
                <w14:ligatures w14:val="none"/>
              </w:rPr>
              <w:t>然而，通过对相关文献的深度审视，仍可发现现有研究存在以下不足，这构成了本文的研究契机：</w:t>
            </w:r>
          </w:p>
          <w:p w14:paraId="5E9F90CC">
            <w:pPr>
              <w:widowControl w:val="0"/>
              <w:spacing w:after="0" w:line="300" w:lineRule="auto"/>
              <w:ind w:right="0" w:firstLine="480" w:firstLineChars="200"/>
              <w:outlineLvl w:val="0"/>
              <w:rPr>
                <w:rFonts w:hint="eastAsia"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lang w:val="en-US" w:eastAsia="zh-CN"/>
                <w14:ligatures w14:val="none"/>
              </w:rPr>
              <w:t>第一，研究对象的错位与缺失。 现有关于“网络韧性”的前沿实证研究几乎无一例外地聚焦于制造业或整体货物贸易。然而，数字服务具有无形性、即时性、高波动性以及对数据跨境流动的高度依赖性。其韧性的形成逻辑可能与制造业存在本质差异（例如，制造业依赖物理供应链的备份，而数字服务依赖数据流动的通畅）。目前，专门针对数字服务出口网络韧性的研究尚属空白。</w:t>
            </w:r>
          </w:p>
          <w:p w14:paraId="4B67C678">
            <w:pPr>
              <w:widowControl w:val="0"/>
              <w:spacing w:after="0" w:line="300" w:lineRule="auto"/>
              <w:ind w:right="0" w:firstLine="480" w:firstLineChars="200"/>
              <w:outlineLvl w:val="0"/>
              <w:rPr>
                <w:rFonts w:hint="eastAsia"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lang w:val="en-US" w:eastAsia="zh-CN"/>
                <w14:ligatures w14:val="none"/>
              </w:rPr>
              <w:t>第二，传导机制的“黑箱”尚未完全打开。 虽然既有文献分别证实了“规则影响网络”（殷凤, 2025）和“网络影响韧性”（许朝凯, 2023），但关于“数字贸易规则”究竟是如何通过重塑“网络中心度”或改变“网络结构异质性”这一具体中介路径，进而最终提升韧性的完整链条，缺乏系统的理论推导与实证检验。</w:t>
            </w:r>
          </w:p>
          <w:p w14:paraId="7215EC9E">
            <w:pPr>
              <w:widowControl w:val="0"/>
              <w:spacing w:after="0" w:line="300" w:lineRule="auto"/>
              <w:ind w:right="0" w:firstLine="480" w:firstLineChars="200"/>
              <w:outlineLvl w:val="0"/>
              <w:rPr>
                <w:rFonts w:hint="eastAsia"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lang w:val="en-US" w:eastAsia="zh-CN"/>
                <w14:ligatures w14:val="none"/>
              </w:rPr>
              <w:t>第三，对规则条款异质性的关注不足。 现有量化研究多采用“是否签署协定”的0/1虚拟变量，较少深入挖掘不同类型的数字贸易条款（如促进数据自由流动的“开放型条款”与强调数据本地化的“限制型条款”）对网络韧性可能产生的截然相反的影响。</w:t>
            </w:r>
          </w:p>
          <w:p w14:paraId="7E82DD11">
            <w:pPr>
              <w:widowControl w:val="0"/>
              <w:spacing w:after="0" w:line="300" w:lineRule="auto"/>
              <w:ind w:right="0" w:firstLine="480" w:firstLineChars="200"/>
              <w:outlineLvl w:val="0"/>
              <w:rPr>
                <w:rFonts w:hint="eastAsia" w:ascii="Times New Roman" w:hAnsi="Times New Roman" w:eastAsia="宋体" w:cs="Times New Roman"/>
                <w:color w:val="auto"/>
                <w:sz w:val="24"/>
                <w:lang w:val="en-US" w:eastAsia="zh-CN"/>
                <w14:ligatures w14:val="none"/>
              </w:rPr>
            </w:pPr>
            <w:r>
              <w:rPr>
                <w:rFonts w:hint="eastAsia" w:ascii="Times New Roman" w:hAnsi="Times New Roman" w:eastAsia="宋体" w:cs="Times New Roman"/>
                <w:color w:val="auto"/>
                <w:sz w:val="24"/>
                <w:lang w:val="en-US" w:eastAsia="zh-CN"/>
                <w14:ligatures w14:val="none"/>
              </w:rPr>
              <w:t>鉴于此，本文拟基于TAPED数据库和OECD-TiVA数据，结合社会网络分（SNA）与计量经济学方法，实证检验数字贸易规则对数字服务出口网络韧性的影响效应，并深入剖析其作用机制，以期弥补上述研究缺口，为中国提升数字贸易强国地位提供理论支撑与政策参考。</w:t>
            </w:r>
          </w:p>
          <w:p w14:paraId="15357164">
            <w:pPr>
              <w:widowControl w:val="0"/>
              <w:spacing w:after="0" w:line="300" w:lineRule="auto"/>
              <w:ind w:right="0" w:firstLine="480" w:firstLineChars="200"/>
              <w:outlineLvl w:val="0"/>
              <w:rPr>
                <w:rFonts w:hint="eastAsia" w:ascii="Times New Roman" w:hAnsi="Times New Roman" w:eastAsia="宋体" w:cs="Times New Roman"/>
                <w:color w:val="auto"/>
                <w:sz w:val="24"/>
                <w:lang w:val="en-US" w:eastAsia="zh-CN"/>
                <w14:ligatures w14:val="none"/>
              </w:rPr>
            </w:pPr>
          </w:p>
          <w:p w14:paraId="1D12FFE3">
            <w:pPr>
              <w:widowControl w:val="0"/>
              <w:spacing w:after="0" w:line="300" w:lineRule="auto"/>
              <w:ind w:right="0" w:firstLine="0"/>
              <w:outlineLvl w:val="0"/>
              <w:rPr>
                <w:rFonts w:ascii="Times New Roman" w:hAnsi="Times New Roman" w:eastAsia="黑体" w:cs="Times New Roman"/>
                <w:color w:val="auto"/>
                <w:szCs w:val="28"/>
                <w14:ligatures w14:val="none"/>
              </w:rPr>
            </w:pPr>
          </w:p>
          <w:p w14:paraId="4EFD9ED0">
            <w:pPr>
              <w:spacing w:line="300" w:lineRule="auto"/>
              <w:ind w:firstLine="560" w:firstLineChars="200"/>
              <w:jc w:val="center"/>
              <w:rPr>
                <w:rFonts w:hint="eastAsia" w:ascii="宋体" w:hAnsi="宋体" w:eastAsia="宋体" w:cs="宋体"/>
              </w:rPr>
            </w:pPr>
            <w:r>
              <w:rPr>
                <w:rFonts w:hint="eastAsia" w:ascii="宋体" w:hAnsi="宋体" w:eastAsia="宋体" w:cs="宋体"/>
              </w:rPr>
              <w:t xml:space="preserve">  </w:t>
            </w:r>
          </w:p>
          <w:p w14:paraId="34CA84F0">
            <w:pPr>
              <w:spacing w:line="300" w:lineRule="auto"/>
              <w:ind w:firstLine="482" w:firstLineChars="200"/>
              <w:jc w:val="center"/>
              <w:rPr>
                <w:rFonts w:ascii="Times New Roman" w:hAnsi="Times New Roman" w:eastAsia="宋体" w:cs="Times New Roman"/>
                <w:b/>
                <w:bCs/>
                <w:color w:val="auto"/>
                <w:sz w:val="24"/>
                <w14:ligatures w14:val="none"/>
              </w:rPr>
            </w:pPr>
            <w:r>
              <w:rPr>
                <w:rFonts w:hint="eastAsia" w:ascii="Times New Roman" w:hAnsi="Times New Roman" w:eastAsia="宋体" w:cs="Times New Roman"/>
                <w:b/>
                <w:bCs/>
                <w:color w:val="auto"/>
                <w:sz w:val="24"/>
                <w14:ligatures w14:val="none"/>
              </w:rPr>
              <w:t>参考文献</w:t>
            </w:r>
          </w:p>
          <w:p w14:paraId="15ED4FAF">
            <w:pPr>
              <w:widowControl w:val="0"/>
              <w:numPr>
                <w:ilvl w:val="0"/>
                <w:numId w:val="3"/>
              </w:numPr>
              <w:spacing w:after="0" w:line="300" w:lineRule="auto"/>
              <w:ind w:right="0"/>
              <w:jc w:val="both"/>
              <w:rPr>
                <w:rFonts w:ascii="Times New Roman" w:hAnsi="Times New Roman" w:eastAsia="宋体" w:cs="Times New Roman"/>
                <w:bCs/>
                <w:color w:val="auto"/>
                <w:sz w:val="24"/>
                <w14:ligatures w14:val="none"/>
              </w:rPr>
            </w:pPr>
            <w:bookmarkStart w:id="2" w:name="_Ref193211353"/>
            <w:r>
              <w:rPr>
                <w:rFonts w:ascii="Times New Roman" w:hAnsi="Times New Roman" w:eastAsia="宋体" w:cs="Times New Roman"/>
                <w:bCs/>
                <w:color w:val="auto"/>
                <w:sz w:val="24"/>
                <w14:ligatures w14:val="none"/>
              </w:rPr>
              <w:t>Jones E, Collins P, Grosse Ruse-Khan H, et al. AI Governance and the Future of Digital Trade Policy[J]. University of Oxford Blavatnik School of Government Policy Brief, 2024.</w:t>
            </w:r>
          </w:p>
          <w:bookmarkEnd w:id="2"/>
          <w:p w14:paraId="34493BD0">
            <w:pPr>
              <w:widowControl w:val="0"/>
              <w:numPr>
                <w:ilvl w:val="0"/>
                <w:numId w:val="3"/>
              </w:numPr>
              <w:spacing w:after="0" w:line="300" w:lineRule="auto"/>
              <w:ind w:right="0"/>
              <w:jc w:val="both"/>
              <w:rPr>
                <w:rFonts w:ascii="Times New Roman" w:hAnsi="Times New Roman" w:eastAsia="宋体" w:cs="Times New Roman"/>
                <w:bCs/>
                <w:color w:val="auto"/>
                <w:sz w:val="24"/>
                <w14:ligatures w14:val="none"/>
              </w:rPr>
            </w:pPr>
            <w:bookmarkStart w:id="3" w:name="_Ref193359247"/>
            <w:bookmarkStart w:id="4" w:name="_Ref193357986"/>
            <w:r>
              <w:rPr>
                <w:rFonts w:ascii="Times New Roman" w:hAnsi="Times New Roman" w:eastAsia="宋体" w:cs="Times New Roman"/>
                <w:bCs/>
                <w:color w:val="auto"/>
                <w:sz w:val="24"/>
                <w14:ligatures w14:val="none"/>
              </w:rPr>
              <w:t>Huang K, Madnick S, Zhang F, et al. Varieties of public–private co-governance on cybersecurity within the digital trade: implications from Huawei’s 5G[J]. Journal of Chinese Governance, 2022, 7(1): 81-110.</w:t>
            </w:r>
            <w:bookmarkEnd w:id="3"/>
            <w:bookmarkEnd w:id="4"/>
          </w:p>
          <w:p w14:paraId="21C7748E">
            <w:pPr>
              <w:widowControl w:val="0"/>
              <w:numPr>
                <w:ilvl w:val="0"/>
                <w:numId w:val="3"/>
              </w:numPr>
              <w:spacing w:after="0" w:line="300" w:lineRule="auto"/>
              <w:ind w:right="0"/>
              <w:jc w:val="both"/>
              <w:rPr>
                <w:rFonts w:ascii="Times New Roman" w:hAnsi="Times New Roman" w:eastAsia="宋体" w:cs="Times New Roman"/>
                <w:color w:val="auto"/>
                <w:sz w:val="24"/>
                <w14:ligatures w14:val="none"/>
              </w:rPr>
            </w:pPr>
            <w:bookmarkStart w:id="5" w:name="_Ref193359382"/>
            <w:bookmarkStart w:id="6" w:name="_Ref193358151"/>
            <w:r>
              <w:rPr>
                <w:rFonts w:ascii="Times New Roman" w:hAnsi="Times New Roman" w:eastAsia="宋体" w:cs="Times New Roman"/>
                <w:color w:val="auto"/>
                <w:sz w:val="24"/>
                <w14:ligatures w14:val="none"/>
              </w:rPr>
              <w:t>Chen Y, Gao Y. Comparative analysis of digital trade development strategies and governance approaches[J]. Journal of Digital Economy, 2022, 1(3): 227-238.</w:t>
            </w:r>
            <w:bookmarkEnd w:id="5"/>
            <w:bookmarkEnd w:id="6"/>
            <w:bookmarkStart w:id="7" w:name="_Ref193358214"/>
          </w:p>
          <w:bookmarkEnd w:id="7"/>
          <w:p w14:paraId="270DC9E5">
            <w:pPr>
              <w:widowControl w:val="0"/>
              <w:numPr>
                <w:ilvl w:val="0"/>
                <w:numId w:val="3"/>
              </w:numPr>
              <w:spacing w:after="0" w:line="300" w:lineRule="auto"/>
              <w:ind w:right="0"/>
              <w:jc w:val="both"/>
              <w:rPr>
                <w:rFonts w:ascii="Times New Roman" w:hAnsi="Times New Roman" w:eastAsia="宋体" w:cs="Times New Roman"/>
                <w:color w:val="auto"/>
                <w:sz w:val="24"/>
                <w14:ligatures w14:val="none"/>
              </w:rPr>
            </w:pPr>
            <w:bookmarkStart w:id="8" w:name="_Ref23831"/>
            <w:bookmarkStart w:id="9" w:name="_Ref193360991"/>
            <w:r>
              <w:rPr>
                <w:rFonts w:ascii="Times New Roman" w:hAnsi="Times New Roman" w:eastAsia="宋体" w:cs="Times New Roman"/>
                <w:bCs/>
                <w:color w:val="auto"/>
                <w:sz w:val="24"/>
                <w14:ligatures w14:val="none"/>
              </w:rPr>
              <w:t>Peters M A. Digital trade, digital economy and the digital economy partnership agreement (DEPA)[J]. Educational Philosophy and Theory, 2023, 55(7): 747-755.</w:t>
            </w:r>
            <w:bookmarkEnd w:id="8"/>
          </w:p>
          <w:bookmarkEnd w:id="9"/>
          <w:p w14:paraId="6840246C">
            <w:pPr>
              <w:widowControl w:val="0"/>
              <w:numPr>
                <w:ilvl w:val="0"/>
                <w:numId w:val="3"/>
              </w:numPr>
              <w:spacing w:after="0" w:line="300" w:lineRule="auto"/>
              <w:ind w:right="0"/>
              <w:jc w:val="left"/>
              <w:rPr>
                <w:rFonts w:ascii="Times New Roman" w:hAnsi="Times New Roman" w:eastAsia="宋体" w:cs="Times New Roman"/>
                <w:bCs/>
                <w:color w:val="auto"/>
                <w:sz w:val="24"/>
                <w14:ligatures w14:val="none"/>
              </w:rPr>
            </w:pPr>
            <w:bookmarkStart w:id="10" w:name="_Ref193360030"/>
            <w:r>
              <w:rPr>
                <w:rFonts w:ascii="Times New Roman" w:hAnsi="Times New Roman" w:eastAsia="宋体" w:cs="Times New Roman"/>
                <w:bCs/>
                <w:color w:val="auto"/>
                <w:sz w:val="24"/>
                <w14:ligatures w14:val="none"/>
              </w:rPr>
              <w:t>López González, J. and J. Ferencz (2018), “Digital Trade and Market Openness”,</w:t>
            </w:r>
            <w:r>
              <w:rPr>
                <w:rFonts w:hint="default" w:ascii="Times New Roman" w:hAnsi="Times New Roman" w:eastAsia="宋体" w:cs="Times New Roman"/>
                <w:bCs/>
                <w:color w:val="auto"/>
                <w:sz w:val="24"/>
                <w14:ligatures w14:val="none"/>
              </w:rPr>
              <w:t> OECD Trade</w:t>
            </w:r>
            <w:r>
              <w:rPr>
                <w:rFonts w:hint="eastAsia" w:ascii="Times New Roman" w:hAnsi="Times New Roman" w:eastAsia="宋体" w:cs="Times New Roman"/>
                <w:bCs/>
                <w:color w:val="auto"/>
                <w:sz w:val="24"/>
                <w:lang w:val="en-US" w:eastAsia="zh-CN"/>
                <w14:ligatures w14:val="none"/>
              </w:rPr>
              <w:t xml:space="preserve"> </w:t>
            </w:r>
            <w:r>
              <w:rPr>
                <w:rFonts w:hint="default" w:ascii="Times New Roman" w:hAnsi="Times New Roman" w:eastAsia="宋体" w:cs="Times New Roman"/>
                <w:bCs/>
                <w:color w:val="auto"/>
                <w:sz w:val="24"/>
                <w14:ligatures w14:val="none"/>
              </w:rPr>
              <w:t>Policy Papers, No. 217, OECD</w:t>
            </w:r>
            <w:r>
              <w:rPr>
                <w:rFonts w:hint="eastAsia" w:ascii="Times New Roman" w:hAnsi="Times New Roman" w:eastAsia="宋体" w:cs="Times New Roman"/>
                <w:bCs/>
                <w:color w:val="auto"/>
                <w:sz w:val="24"/>
                <w:lang w:val="en-US" w:eastAsia="zh-CN"/>
                <w14:ligatures w14:val="none"/>
              </w:rPr>
              <w:t xml:space="preserve"> </w:t>
            </w:r>
            <w:r>
              <w:rPr>
                <w:rFonts w:hint="default" w:ascii="Times New Roman" w:hAnsi="Times New Roman" w:eastAsia="宋体" w:cs="Times New Roman"/>
                <w:bCs/>
                <w:color w:val="auto"/>
                <w:sz w:val="24"/>
                <w14:ligatures w14:val="none"/>
              </w:rPr>
              <w:t>Publishing,</w:t>
            </w:r>
            <w:r>
              <w:rPr>
                <w:rFonts w:hint="eastAsia" w:ascii="Times New Roman" w:hAnsi="Times New Roman" w:eastAsia="宋体" w:cs="Times New Roman"/>
                <w:bCs/>
                <w:color w:val="auto"/>
                <w:sz w:val="24"/>
                <w:lang w:val="en-US" w:eastAsia="zh-CN"/>
                <w14:ligatures w14:val="none"/>
              </w:rPr>
              <w:t xml:space="preserve">  </w:t>
            </w:r>
            <w:r>
              <w:rPr>
                <w:rFonts w:hint="default" w:ascii="Times New Roman" w:hAnsi="Times New Roman" w:eastAsia="宋体" w:cs="Times New Roman"/>
                <w:bCs/>
                <w:color w:val="auto"/>
                <w:sz w:val="24"/>
                <w14:ligatures w14:val="none"/>
              </w:rPr>
              <w:t>Paris, </w:t>
            </w:r>
            <w:r>
              <w:rPr>
                <w:rFonts w:hint="default" w:ascii="Times New Roman" w:hAnsi="Times New Roman" w:eastAsia="宋体" w:cs="Times New Roman"/>
                <w:bCs/>
                <w:color w:val="auto"/>
                <w:sz w:val="24"/>
                <w14:ligatures w14:val="none"/>
              </w:rPr>
              <w:fldChar w:fldCharType="begin"/>
            </w:r>
            <w:r>
              <w:rPr>
                <w:rFonts w:hint="default" w:ascii="Times New Roman" w:hAnsi="Times New Roman" w:eastAsia="宋体" w:cs="Times New Roman"/>
                <w:bCs/>
                <w:color w:val="auto"/>
                <w:sz w:val="24"/>
                <w14:ligatures w14:val="none"/>
              </w:rPr>
              <w:instrText xml:space="preserve"> HYPERLINK "https://doi.org/10.1787/1bd89c9a-en" \t "https://www.oecd.org/en/publications/_blank" </w:instrText>
            </w:r>
            <w:r>
              <w:rPr>
                <w:rFonts w:hint="default" w:ascii="Times New Roman" w:hAnsi="Times New Roman" w:eastAsia="宋体" w:cs="Times New Roman"/>
                <w:bCs/>
                <w:color w:val="auto"/>
                <w:sz w:val="24"/>
                <w14:ligatures w14:val="none"/>
              </w:rPr>
              <w:fldChar w:fldCharType="separate"/>
            </w:r>
            <w:r>
              <w:rPr>
                <w:rFonts w:hint="default" w:ascii="Times New Roman" w:hAnsi="Times New Roman" w:eastAsia="宋体" w:cs="Times New Roman"/>
                <w:bCs/>
                <w:color w:val="auto"/>
                <w:sz w:val="24"/>
                <w14:ligatures w14:val="none"/>
              </w:rPr>
              <w:t>https://doi.org/10.1787/1bd89c9a-en</w:t>
            </w:r>
            <w:r>
              <w:rPr>
                <w:rFonts w:hint="default" w:ascii="Times New Roman" w:hAnsi="Times New Roman" w:eastAsia="宋体" w:cs="Times New Roman"/>
                <w:bCs/>
                <w:color w:val="auto"/>
                <w:sz w:val="24"/>
                <w14:ligatures w14:val="none"/>
              </w:rPr>
              <w:fldChar w:fldCharType="end"/>
            </w:r>
            <w:r>
              <w:rPr>
                <w:rFonts w:hint="default" w:ascii="Times New Roman" w:hAnsi="Times New Roman" w:eastAsia="宋体" w:cs="Times New Roman"/>
                <w:bCs/>
                <w:color w:val="auto"/>
                <w:sz w:val="24"/>
                <w14:ligatures w14:val="none"/>
              </w:rPr>
              <w:t>.</w:t>
            </w:r>
          </w:p>
          <w:bookmarkEnd w:id="10"/>
          <w:p w14:paraId="37C50B14">
            <w:pPr>
              <w:widowControl w:val="0"/>
              <w:numPr>
                <w:ilvl w:val="0"/>
                <w:numId w:val="3"/>
              </w:numPr>
              <w:spacing w:after="0" w:line="300" w:lineRule="auto"/>
              <w:ind w:right="0"/>
              <w:jc w:val="both"/>
              <w:rPr>
                <w:rFonts w:hint="eastAsia" w:ascii="Times New Roman" w:hAnsi="Times New Roman" w:eastAsia="宋体" w:cs="Times New Roman"/>
                <w:bCs/>
                <w:color w:val="auto"/>
                <w:sz w:val="24"/>
                <w14:ligatures w14:val="none"/>
              </w:rPr>
            </w:pPr>
            <w:bookmarkStart w:id="11" w:name="_Ref28358"/>
            <w:bookmarkStart w:id="12" w:name="_Ref193360223"/>
            <w:r>
              <w:rPr>
                <w:rFonts w:hint="eastAsia" w:ascii="Times New Roman" w:hAnsi="Times New Roman" w:eastAsia="宋体" w:cs="Times New Roman"/>
                <w:bCs/>
                <w:color w:val="auto"/>
                <w:sz w:val="24"/>
                <w14:ligatures w14:val="none"/>
              </w:rPr>
              <w:t>殷凤,孙明雪,李平.RTA数字贸易规则网络对增加值贸易网络动态演化的影响——基于时序指数随机图模型的研究[J/OL].国际经贸探索,1-18[2026-01-07].https://doi.org/10.13687/j.cnki.gjjmts.20251229.001.</w:t>
            </w:r>
            <w:bookmarkEnd w:id="11"/>
          </w:p>
          <w:bookmarkEnd w:id="12"/>
          <w:p w14:paraId="3F137F63">
            <w:pPr>
              <w:widowControl w:val="0"/>
              <w:numPr>
                <w:ilvl w:val="0"/>
                <w:numId w:val="3"/>
              </w:numPr>
              <w:spacing w:after="0" w:line="300" w:lineRule="auto"/>
              <w:ind w:right="0"/>
              <w:jc w:val="both"/>
              <w:rPr>
                <w:rFonts w:ascii="Times New Roman" w:hAnsi="Times New Roman" w:eastAsia="宋体" w:cs="Times New Roman"/>
                <w:bCs/>
                <w:color w:val="auto"/>
                <w:sz w:val="24"/>
                <w14:ligatures w14:val="none"/>
              </w:rPr>
            </w:pPr>
            <w:bookmarkStart w:id="13" w:name="_Ref193360684"/>
            <w:r>
              <w:rPr>
                <w:rFonts w:ascii="Times New Roman" w:hAnsi="Times New Roman" w:eastAsia="宋体" w:cs="Times New Roman"/>
                <w:bCs/>
                <w:color w:val="auto"/>
                <w:sz w:val="24"/>
                <w14:ligatures w14:val="none"/>
              </w:rPr>
              <w:t xml:space="preserve">Amini H, Cont R, Minca A. Stress testing the resilience of financial networks[J]. International Journal of Theoretical and applied finance, 2012, 15(01): 1250006.Herghelegiu, C. Product standards, information asymmetry, and consumer protection. [J]Journal of Consumer Policy, </w:t>
            </w:r>
            <w:r>
              <w:rPr>
                <w:rFonts w:hint="eastAsia" w:ascii="Times New Roman" w:hAnsi="Times New Roman" w:eastAsia="宋体" w:cs="Times New Roman"/>
                <w:bCs/>
                <w:color w:val="auto"/>
                <w:sz w:val="24"/>
                <w14:ligatures w14:val="none"/>
              </w:rPr>
              <w:t>2018</w:t>
            </w:r>
            <w:r>
              <w:rPr>
                <w:rFonts w:ascii="Times New Roman" w:hAnsi="Times New Roman" w:eastAsia="宋体" w:cs="Times New Roman"/>
                <w:bCs/>
                <w:color w:val="auto"/>
                <w:sz w:val="24"/>
                <w14:ligatures w14:val="none"/>
              </w:rPr>
              <w:t>(3), 345–360.</w:t>
            </w:r>
            <w:bookmarkEnd w:id="13"/>
          </w:p>
          <w:p w14:paraId="3E4B633B">
            <w:pPr>
              <w:widowControl w:val="0"/>
              <w:numPr>
                <w:ilvl w:val="0"/>
                <w:numId w:val="3"/>
              </w:numPr>
              <w:spacing w:after="0" w:line="300" w:lineRule="auto"/>
              <w:ind w:right="0"/>
              <w:jc w:val="both"/>
              <w:rPr>
                <w:rFonts w:ascii="Times New Roman" w:hAnsi="Times New Roman" w:eastAsia="宋体" w:cs="Times New Roman"/>
                <w:bCs/>
                <w:color w:val="auto"/>
                <w:sz w:val="24"/>
                <w14:ligatures w14:val="none"/>
              </w:rPr>
            </w:pPr>
            <w:bookmarkStart w:id="14" w:name="_Ref193361815"/>
            <w:r>
              <w:rPr>
                <w:rFonts w:ascii="Times New Roman" w:hAnsi="Times New Roman" w:eastAsia="宋体" w:cs="Times New Roman"/>
                <w:bCs/>
                <w:color w:val="auto"/>
                <w:sz w:val="24"/>
                <w14:ligatures w14:val="none"/>
              </w:rPr>
              <w:t>Wuest T, Kusiak A, Dai T, et al. Impact of COVID-19 on manufacturing and supply networks—The case for AI-Inspired digital transformation (SSRN Scholarly Paper ID 3593540)[J]. Social Science Research Network, 2020.</w:t>
            </w:r>
            <w:bookmarkEnd w:id="14"/>
          </w:p>
          <w:p w14:paraId="1686AE20">
            <w:pPr>
              <w:widowControl w:val="0"/>
              <w:numPr>
                <w:ilvl w:val="0"/>
                <w:numId w:val="3"/>
              </w:numPr>
              <w:spacing w:after="0" w:line="300" w:lineRule="auto"/>
              <w:ind w:right="0"/>
              <w:jc w:val="both"/>
              <w:rPr>
                <w:rFonts w:ascii="Times New Roman" w:hAnsi="Times New Roman" w:eastAsia="宋体" w:cs="Times New Roman"/>
                <w:bCs/>
                <w:color w:val="auto"/>
                <w:sz w:val="24"/>
                <w14:ligatures w14:val="none"/>
              </w:rPr>
            </w:pPr>
            <w:bookmarkStart w:id="15" w:name="_Ref193362556"/>
            <w:r>
              <w:rPr>
                <w:rFonts w:ascii="Times New Roman" w:hAnsi="Times New Roman" w:eastAsia="宋体" w:cs="Times New Roman"/>
                <w:bCs/>
                <w:color w:val="auto"/>
                <w:sz w:val="24"/>
                <w14:ligatures w14:val="none"/>
              </w:rPr>
              <w:t>Moerel L, Timmers P. Reflections on digital sovereignty[J]. EU cyber direct, research in focus series, 2021.</w:t>
            </w:r>
            <w:bookmarkEnd w:id="15"/>
          </w:p>
          <w:p w14:paraId="5864DBD3">
            <w:pPr>
              <w:widowControl w:val="0"/>
              <w:numPr>
                <w:ilvl w:val="0"/>
                <w:numId w:val="3"/>
              </w:numPr>
              <w:spacing w:after="0" w:line="300" w:lineRule="auto"/>
              <w:ind w:right="0"/>
              <w:jc w:val="both"/>
              <w:rPr>
                <w:rFonts w:ascii="Times New Roman" w:hAnsi="Times New Roman" w:eastAsia="宋体" w:cs="Times New Roman"/>
                <w:bCs/>
                <w:color w:val="auto"/>
                <w:sz w:val="24"/>
                <w14:ligatures w14:val="none"/>
              </w:rPr>
            </w:pPr>
            <w:bookmarkStart w:id="16" w:name="_Ref1184"/>
            <w:bookmarkStart w:id="17" w:name="_Ref194418217"/>
            <w:r>
              <w:rPr>
                <w:rFonts w:ascii="Times New Roman" w:hAnsi="Times New Roman" w:eastAsia="宋体" w:cs="Times New Roman"/>
                <w:bCs/>
                <w:color w:val="auto"/>
                <w:sz w:val="24"/>
                <w14:ligatures w14:val="none"/>
              </w:rPr>
              <w:t>Jing L, Hong L. International Trade Network Status and Manufacturing Export Resilience: Empirical Evidence from 64 Economies[J]. Li and shuzheng, Liu, International Trade Network Status and Manufacturing Export Resilience: Empirical Evidence from, 64.</w:t>
            </w:r>
            <w:bookmarkEnd w:id="16"/>
          </w:p>
          <w:p w14:paraId="7A1B70DF">
            <w:pPr>
              <w:widowControl w:val="0"/>
              <w:numPr>
                <w:ilvl w:val="0"/>
                <w:numId w:val="3"/>
              </w:numPr>
              <w:spacing w:after="0" w:line="300" w:lineRule="auto"/>
              <w:ind w:right="0"/>
              <w:jc w:val="both"/>
              <w:rPr>
                <w:rFonts w:ascii="Times New Roman" w:hAnsi="Times New Roman" w:eastAsia="宋体" w:cs="Times New Roman"/>
                <w:bCs/>
                <w:color w:val="auto"/>
                <w:sz w:val="24"/>
                <w14:ligatures w14:val="none"/>
              </w:rPr>
            </w:pPr>
            <w:r>
              <w:rPr>
                <w:rFonts w:hint="eastAsia" w:ascii="Times New Roman" w:hAnsi="Times New Roman" w:eastAsia="宋体" w:cs="Times New Roman"/>
                <w:color w:val="auto"/>
                <w:sz w:val="24"/>
                <w14:ligatures w14:val="none"/>
              </w:rPr>
              <w:t>Li and shuzheng, Liu, International Trade Network Status and Manufacturing Export Resilience: Empirical Evidence from, 64.</w:t>
            </w:r>
            <w:r>
              <w:rPr>
                <w:rFonts w:ascii="Times New Roman" w:hAnsi="Times New Roman" w:eastAsia="宋体" w:cs="Times New Roman"/>
                <w:bCs/>
                <w:color w:val="auto"/>
                <w:sz w:val="24"/>
                <w14:ligatures w14:val="none"/>
              </w:rPr>
              <w:t>Baldwin R, Evenett S. Value Chains and the Great Rebalancing[R]. CEPR, 2015.</w:t>
            </w:r>
            <w:bookmarkEnd w:id="17"/>
          </w:p>
          <w:p w14:paraId="0FE6A08B">
            <w:pPr>
              <w:widowControl w:val="0"/>
              <w:numPr>
                <w:ilvl w:val="0"/>
                <w:numId w:val="3"/>
              </w:numPr>
              <w:spacing w:after="0" w:line="300" w:lineRule="auto"/>
              <w:ind w:right="0"/>
              <w:jc w:val="both"/>
              <w:rPr>
                <w:rFonts w:ascii="Times New Roman" w:hAnsi="Times New Roman" w:eastAsia="宋体" w:cs="Times New Roman"/>
                <w:bCs/>
                <w:color w:val="auto"/>
                <w:sz w:val="24"/>
                <w14:ligatures w14:val="none"/>
              </w:rPr>
            </w:pPr>
            <w:bookmarkStart w:id="18" w:name="_Ref193374069"/>
            <w:r>
              <w:rPr>
                <w:rFonts w:hint="eastAsia" w:ascii="Times New Roman" w:hAnsi="Times New Roman" w:eastAsia="宋体" w:cs="Times New Roman"/>
                <w:color w:val="auto"/>
                <w:sz w:val="24"/>
                <w14:ligatures w14:val="none"/>
              </w:rPr>
              <w:t>Li X, DING L, Zhao Y. Navigating Turbulence with Large Language Models and Neural Network: A Machine Learning Approach to Predicting Resilience Across Global Automotive Supply Networks[J]. Available at SSRN 4991288.</w:t>
            </w:r>
            <w:bookmarkEnd w:id="18"/>
          </w:p>
          <w:p w14:paraId="4F876322">
            <w:pPr>
              <w:widowControl w:val="0"/>
              <w:numPr>
                <w:ilvl w:val="0"/>
                <w:numId w:val="3"/>
              </w:numPr>
              <w:spacing w:after="0" w:line="300" w:lineRule="auto"/>
              <w:ind w:right="0"/>
              <w:jc w:val="both"/>
              <w:rPr>
                <w:rFonts w:ascii="Times New Roman" w:hAnsi="Times New Roman" w:eastAsia="宋体" w:cs="Times New Roman"/>
                <w:bCs/>
                <w:color w:val="auto"/>
                <w:sz w:val="24"/>
                <w14:ligatures w14:val="none"/>
              </w:rPr>
            </w:pPr>
            <w:bookmarkStart w:id="19" w:name="_Ref20197"/>
            <w:bookmarkStart w:id="20" w:name="_Ref193358809"/>
            <w:bookmarkStart w:id="21" w:name="_Ref194415927"/>
            <w:r>
              <w:rPr>
                <w:rFonts w:ascii="Times New Roman" w:hAnsi="Times New Roman" w:eastAsia="宋体" w:cs="Times New Roman"/>
                <w:bCs/>
                <w:color w:val="auto"/>
                <w:sz w:val="24"/>
                <w14:ligatures w14:val="none"/>
              </w:rPr>
              <w:t>Alschner W. E-commerce or digital trade? Why the difference should matter to trade lawyers[M]//Research Handbook on Digital Trade. Edward Elgar Publishing, 2023: 54-72.</w:t>
            </w:r>
            <w:bookmarkEnd w:id="19"/>
          </w:p>
          <w:p w14:paraId="0EBDC2BB">
            <w:pPr>
              <w:widowControl w:val="0"/>
              <w:numPr>
                <w:ilvl w:val="0"/>
                <w:numId w:val="3"/>
              </w:numPr>
              <w:spacing w:after="0" w:line="300" w:lineRule="auto"/>
              <w:ind w:right="0"/>
              <w:jc w:val="both"/>
              <w:rPr>
                <w:rFonts w:ascii="Times New Roman" w:hAnsi="Times New Roman" w:eastAsia="宋体" w:cs="Times New Roman"/>
                <w:bCs/>
                <w:color w:val="auto"/>
                <w:sz w:val="24"/>
                <w14:ligatures w14:val="none"/>
              </w:rPr>
            </w:pPr>
            <w:r>
              <w:rPr>
                <w:rFonts w:ascii="Times New Roman" w:hAnsi="Times New Roman" w:eastAsia="宋体" w:cs="Times New Roman"/>
                <w:bCs/>
                <w:color w:val="auto"/>
                <w:sz w:val="24"/>
                <w14:ligatures w14:val="none"/>
              </w:rPr>
              <w:t>Maskus,K.E.&amp;J.S.Wilson.&amp;T.Otsuki.Qualifying the Impacts of Technical Barriers to Trade:A Framework for Analysis[R].World Bank,2001.</w:t>
            </w:r>
            <w:bookmarkEnd w:id="20"/>
            <w:r>
              <w:rPr>
                <w:rFonts w:ascii="Times New Roman" w:hAnsi="Times New Roman" w:eastAsia="宋体" w:cs="Times New Roman"/>
                <w:color w:val="auto"/>
                <w:sz w:val="24"/>
                <w14:ligatures w14:val="none"/>
              </w:rPr>
              <w:t xml:space="preserve"> </w:t>
            </w:r>
          </w:p>
          <w:bookmarkEnd w:id="21"/>
          <w:p w14:paraId="140BDF97">
            <w:pPr>
              <w:widowControl w:val="0"/>
              <w:numPr>
                <w:ilvl w:val="0"/>
                <w:numId w:val="3"/>
              </w:numPr>
              <w:spacing w:after="0" w:line="300" w:lineRule="auto"/>
              <w:ind w:right="0"/>
              <w:jc w:val="both"/>
              <w:rPr>
                <w:rFonts w:ascii="Times New Roman" w:hAnsi="Times New Roman" w:eastAsia="宋体" w:cs="Times New Roman"/>
                <w:bCs/>
                <w:color w:val="auto"/>
                <w:sz w:val="24"/>
                <w14:ligatures w14:val="none"/>
              </w:rPr>
            </w:pPr>
            <w:bookmarkStart w:id="22" w:name="_Ref27100"/>
            <w:bookmarkStart w:id="23" w:name="_Ref194420172"/>
            <w:r>
              <w:rPr>
                <w:rFonts w:hint="eastAsia" w:ascii="Times New Roman" w:hAnsi="Times New Roman" w:eastAsia="宋体" w:cs="Times New Roman"/>
                <w:bCs/>
                <w:color w:val="auto"/>
                <w:sz w:val="24"/>
                <w14:ligatures w14:val="none"/>
              </w:rPr>
              <w:t>陈银飞.2000-2009年世界贸易格局的社会网络分析[J].国际贸易问题,2011,(11):31-42.DOI:10.13510/j.cnki.jit.2011.11.005.</w:t>
            </w:r>
            <w:bookmarkEnd w:id="22"/>
          </w:p>
          <w:bookmarkEnd w:id="23"/>
          <w:p w14:paraId="795DF91D">
            <w:pPr>
              <w:widowControl w:val="0"/>
              <w:numPr>
                <w:ilvl w:val="0"/>
                <w:numId w:val="3"/>
              </w:numPr>
              <w:spacing w:after="0" w:line="300" w:lineRule="auto"/>
              <w:ind w:right="0"/>
              <w:jc w:val="both"/>
              <w:rPr>
                <w:rFonts w:ascii="Times New Roman" w:hAnsi="Times New Roman" w:eastAsia="宋体" w:cs="Times New Roman"/>
                <w:bCs/>
                <w:color w:val="auto"/>
                <w:sz w:val="24"/>
                <w14:ligatures w14:val="none"/>
              </w:rPr>
            </w:pPr>
            <w:bookmarkStart w:id="24" w:name="_Ref194421124"/>
            <w:bookmarkStart w:id="25" w:name="_Ref193359583"/>
            <w:r>
              <w:rPr>
                <w:rFonts w:ascii="Times New Roman" w:hAnsi="Times New Roman" w:eastAsia="宋体" w:cs="Times New Roman"/>
                <w:bCs/>
                <w:color w:val="auto"/>
                <w:sz w:val="24"/>
                <w14:ligatures w14:val="none"/>
              </w:rPr>
              <w:t>方慧,解欢品.服务业增加值贸易网络的空间格局与动态演变——基于“一带一路”沿线国家的研究[J/OL].山东师范大学学报(社会科学版),1-15[2026-01-22].https://link.cnki.net/urlid/37.1066.C.20251229.1708.004.</w:t>
            </w:r>
            <w:bookmarkEnd w:id="24"/>
            <w:bookmarkEnd w:id="25"/>
          </w:p>
          <w:p w14:paraId="0EFED176">
            <w:pPr>
              <w:widowControl w:val="0"/>
              <w:numPr>
                <w:ilvl w:val="0"/>
                <w:numId w:val="3"/>
              </w:numPr>
              <w:spacing w:after="0" w:line="300" w:lineRule="auto"/>
              <w:ind w:right="0"/>
              <w:jc w:val="both"/>
              <w:rPr>
                <w:rFonts w:ascii="Times New Roman" w:hAnsi="Times New Roman" w:eastAsia="宋体" w:cs="Times New Roman"/>
                <w:bCs/>
                <w:color w:val="auto"/>
                <w:sz w:val="24"/>
                <w14:ligatures w14:val="none"/>
              </w:rPr>
            </w:pPr>
            <w:bookmarkStart w:id="26" w:name="_Ref28629"/>
            <w:r>
              <w:rPr>
                <w:rFonts w:ascii="Times New Roman" w:hAnsi="Times New Roman" w:eastAsia="宋体" w:cs="Times New Roman"/>
                <w:bCs/>
                <w:color w:val="auto"/>
                <w:sz w:val="24"/>
                <w14:ligatures w14:val="none"/>
              </w:rPr>
              <w:t>赵明亮,张海盟,孙威.数字贸易规则深化对全球价值链合作网络演进的影响[J/OL].地理学报,1-15[2026-01-22].https://link.cnki.net/urlid/11.1856.p.20251118.1031.002.</w:t>
            </w:r>
            <w:bookmarkEnd w:id="26"/>
          </w:p>
          <w:p w14:paraId="27198F5F">
            <w:pPr>
              <w:widowControl w:val="0"/>
              <w:numPr>
                <w:ilvl w:val="0"/>
                <w:numId w:val="3"/>
              </w:numPr>
              <w:spacing w:after="0" w:line="300" w:lineRule="auto"/>
              <w:ind w:right="0"/>
              <w:jc w:val="both"/>
              <w:rPr>
                <w:rFonts w:ascii="Times New Roman" w:hAnsi="Times New Roman" w:eastAsia="宋体" w:cs="Times New Roman"/>
                <w:bCs/>
                <w:color w:val="auto"/>
                <w:sz w:val="24"/>
                <w14:ligatures w14:val="none"/>
              </w:rPr>
            </w:pPr>
            <w:bookmarkStart w:id="27" w:name="_Ref772"/>
            <w:r>
              <w:rPr>
                <w:rFonts w:ascii="Times New Roman" w:hAnsi="Times New Roman" w:eastAsia="宋体" w:cs="Times New Roman"/>
                <w:bCs/>
                <w:color w:val="auto"/>
                <w:sz w:val="24"/>
                <w14:ligatures w14:val="none"/>
              </w:rPr>
              <w:t>刘采斌,史恩义.数字贸易规则网络赋能制造业全球价值链韧性的影响研究——基于数字竞争力的视角[J].现代财经(天津财经大学学报),2025,45(12):91-108.DOI:10.19559/j.cnki.12-1387.2025.12.006.</w:t>
            </w:r>
            <w:bookmarkEnd w:id="27"/>
          </w:p>
          <w:p w14:paraId="4843FB61">
            <w:pPr>
              <w:widowControl w:val="0"/>
              <w:numPr>
                <w:ilvl w:val="0"/>
                <w:numId w:val="3"/>
              </w:numPr>
              <w:spacing w:after="0" w:line="300" w:lineRule="auto"/>
              <w:ind w:right="0"/>
              <w:jc w:val="both"/>
              <w:rPr>
                <w:rFonts w:ascii="Times New Roman" w:hAnsi="Times New Roman" w:eastAsia="宋体" w:cs="Times New Roman"/>
                <w:bCs/>
                <w:color w:val="auto"/>
                <w:sz w:val="24"/>
                <w14:ligatures w14:val="none"/>
              </w:rPr>
            </w:pPr>
            <w:bookmarkStart w:id="28" w:name="_Ref27685"/>
            <w:r>
              <w:rPr>
                <w:rFonts w:ascii="Times New Roman" w:hAnsi="Times New Roman" w:eastAsia="宋体" w:cs="Times New Roman"/>
                <w:bCs/>
                <w:color w:val="auto"/>
                <w:sz w:val="24"/>
                <w14:ligatures w14:val="none"/>
              </w:rPr>
              <w:t>姜峰,蓝庆新.中国出口是否推动其他金砖成员国出口增长：基于全球贸易网络视角[J].世界经济研究,2025,(06):36-52+135.DOI:10.13516/j.cnki.wes.2025.06.009.</w:t>
            </w:r>
            <w:bookmarkEnd w:id="28"/>
          </w:p>
          <w:p w14:paraId="5CC7CFFB">
            <w:pPr>
              <w:widowControl w:val="0"/>
              <w:numPr>
                <w:ilvl w:val="0"/>
                <w:numId w:val="3"/>
              </w:numPr>
              <w:spacing w:after="0" w:line="300" w:lineRule="auto"/>
              <w:ind w:right="0"/>
              <w:jc w:val="both"/>
              <w:rPr>
                <w:rFonts w:ascii="Times New Roman" w:hAnsi="Times New Roman" w:eastAsia="宋体" w:cs="Times New Roman"/>
                <w:bCs/>
                <w:color w:val="auto"/>
                <w:sz w:val="24"/>
                <w14:ligatures w14:val="none"/>
              </w:rPr>
            </w:pPr>
            <w:r>
              <w:rPr>
                <w:rFonts w:ascii="Times New Roman" w:hAnsi="Times New Roman" w:eastAsia="宋体" w:cs="Times New Roman"/>
                <w:bCs/>
                <w:color w:val="auto"/>
                <w:sz w:val="24"/>
                <w14:ligatures w14:val="none"/>
              </w:rPr>
              <w:t>He Y, Zeng K. China in global digital trade governance: towards a development-oriented agenda?[J]. International Affairs, 2024, 100(5): 2195-2215.</w:t>
            </w:r>
          </w:p>
          <w:p w14:paraId="66AF669A">
            <w:pPr>
              <w:widowControl w:val="0"/>
              <w:numPr>
                <w:ilvl w:val="0"/>
                <w:numId w:val="3"/>
              </w:numPr>
              <w:spacing w:after="0" w:line="300" w:lineRule="auto"/>
              <w:ind w:right="0"/>
              <w:jc w:val="both"/>
              <w:rPr>
                <w:rFonts w:ascii="Times New Roman" w:hAnsi="Times New Roman" w:eastAsia="宋体" w:cs="Times New Roman"/>
                <w:bCs/>
                <w:color w:val="auto"/>
                <w:sz w:val="24"/>
                <w14:ligatures w14:val="none"/>
              </w:rPr>
            </w:pPr>
            <w:r>
              <w:rPr>
                <w:rFonts w:ascii="Times New Roman" w:hAnsi="Times New Roman" w:eastAsia="宋体" w:cs="Times New Roman"/>
                <w:bCs/>
                <w:color w:val="auto"/>
                <w:sz w:val="24"/>
                <w14:ligatures w14:val="none"/>
              </w:rPr>
              <w:t>Jones E, Collins P, Grosse Ruse-Khan H, et al. AI Governance and the Future of Digital Trade Policy[J]. University of Oxford Blavatnik School of Government Policy Brief, 2024.</w:t>
            </w:r>
          </w:p>
          <w:p w14:paraId="5CDFD2D6">
            <w:pPr>
              <w:numPr>
                <w:ilvl w:val="0"/>
                <w:numId w:val="0"/>
              </w:numPr>
              <w:spacing w:after="177" w:line="259" w:lineRule="auto"/>
              <w:ind w:right="27" w:rightChars="0"/>
              <w:rPr>
                <w:rFonts w:hint="eastAsia" w:ascii="Times New Roman" w:hAnsi="Times New Roman" w:eastAsia="宋体" w:cs="Times New Roman"/>
                <w:bCs/>
                <w:color w:val="auto"/>
                <w:sz w:val="24"/>
                <w14:ligatures w14:val="none"/>
              </w:rPr>
            </w:pPr>
          </w:p>
          <w:p w14:paraId="67B481CE">
            <w:pPr>
              <w:spacing w:after="177" w:line="259" w:lineRule="auto"/>
              <w:ind w:firstLine="0"/>
              <w:rPr>
                <w:rFonts w:hint="eastAsia" w:ascii="宋体" w:hAnsi="宋体" w:eastAsia="宋体" w:cs="宋体"/>
              </w:rPr>
            </w:pPr>
          </w:p>
          <w:p w14:paraId="5A9254FD">
            <w:pPr>
              <w:spacing w:after="0" w:line="300" w:lineRule="auto"/>
              <w:ind w:right="0" w:firstLine="0"/>
              <w:rPr>
                <w:rFonts w:hint="eastAsia" w:ascii="宋体" w:hAnsi="宋体" w:eastAsia="宋体"/>
                <w:sz w:val="24"/>
              </w:rPr>
            </w:pPr>
            <w:r>
              <w:rPr>
                <w:rFonts w:ascii="宋体" w:hAnsi="宋体" w:eastAsia="宋体"/>
                <w:sz w:val="24"/>
              </w:rPr>
              <w:t xml:space="preserve">附：论文工作计划安排 </w:t>
            </w:r>
          </w:p>
          <w:p w14:paraId="3AD34AE6">
            <w:pPr>
              <w:spacing w:after="0" w:line="300" w:lineRule="auto"/>
              <w:ind w:right="0" w:firstLine="0"/>
              <w:rPr>
                <w:rFonts w:hint="eastAsia" w:ascii="宋体" w:hAnsi="宋体" w:eastAsia="宋体"/>
                <w:sz w:val="24"/>
              </w:rPr>
            </w:pPr>
            <w:r>
              <w:rPr>
                <w:rFonts w:ascii="宋体" w:hAnsi="宋体" w:eastAsia="宋体"/>
                <w:sz w:val="24"/>
              </w:rPr>
              <w:t xml:space="preserve">①2022年12月28日—2023年1月20日，确定选题 </w:t>
            </w:r>
          </w:p>
          <w:p w14:paraId="617E0208">
            <w:pPr>
              <w:spacing w:after="0" w:line="300" w:lineRule="auto"/>
              <w:ind w:right="0" w:firstLine="0"/>
              <w:rPr>
                <w:rFonts w:hint="eastAsia" w:ascii="宋体" w:hAnsi="宋体" w:eastAsia="宋体"/>
                <w:sz w:val="24"/>
              </w:rPr>
            </w:pPr>
            <w:r>
              <w:rPr>
                <w:rFonts w:ascii="宋体" w:hAnsi="宋体" w:eastAsia="宋体"/>
                <w:sz w:val="24"/>
              </w:rPr>
              <w:t xml:space="preserve">②2023年1月20日—2023年2月20日，查询阅读相关文献，撰写文献综述，明确研究目的和意义、提纲，提交导师审阅 </w:t>
            </w:r>
          </w:p>
          <w:p w14:paraId="3A20CADE">
            <w:pPr>
              <w:spacing w:after="0" w:line="300" w:lineRule="auto"/>
              <w:ind w:right="0" w:firstLine="0"/>
              <w:rPr>
                <w:rFonts w:hint="eastAsia" w:ascii="宋体" w:hAnsi="宋体" w:eastAsia="宋体"/>
                <w:sz w:val="24"/>
              </w:rPr>
            </w:pPr>
            <w:r>
              <w:rPr>
                <w:rFonts w:ascii="宋体" w:hAnsi="宋体" w:eastAsia="宋体"/>
                <w:sz w:val="24"/>
              </w:rPr>
              <w:t xml:space="preserve">③2023年2月20日—2023年3月20日，完成开题报告 </w:t>
            </w:r>
          </w:p>
          <w:p w14:paraId="60ED5BD3">
            <w:pPr>
              <w:spacing w:after="0" w:line="300" w:lineRule="auto"/>
              <w:ind w:right="0" w:firstLine="0"/>
              <w:rPr>
                <w:rFonts w:hint="eastAsia" w:ascii="宋体" w:hAnsi="宋体" w:eastAsia="宋体"/>
                <w:sz w:val="24"/>
              </w:rPr>
            </w:pPr>
            <w:r>
              <w:rPr>
                <w:rFonts w:ascii="宋体" w:hAnsi="宋体" w:eastAsia="宋体"/>
                <w:sz w:val="24"/>
              </w:rPr>
              <w:t xml:space="preserve">④2023年3月20日—2023年4月20日，着手翻译外文文献，并完成论文初稿，提交导师审阅 </w:t>
            </w:r>
          </w:p>
          <w:p w14:paraId="50FBAEED">
            <w:pPr>
              <w:spacing w:after="0" w:line="300" w:lineRule="auto"/>
              <w:ind w:right="0" w:firstLine="0"/>
              <w:rPr>
                <w:rFonts w:hint="eastAsia" w:ascii="宋体" w:hAnsi="宋体" w:eastAsia="宋体"/>
                <w:sz w:val="24"/>
              </w:rPr>
            </w:pPr>
            <w:r>
              <w:rPr>
                <w:rFonts w:ascii="宋体" w:hAnsi="宋体" w:eastAsia="宋体"/>
                <w:sz w:val="24"/>
              </w:rPr>
              <w:t xml:space="preserve">⑤2023年4月20日—2023年5月10日，完成外文翻译，根据指导老师意见，修改初稿，提交二稿 </w:t>
            </w:r>
          </w:p>
          <w:p w14:paraId="627297AE">
            <w:pPr>
              <w:spacing w:after="0" w:line="300" w:lineRule="auto"/>
              <w:ind w:right="0" w:firstLine="0"/>
              <w:jc w:val="both"/>
              <w:rPr>
                <w:rFonts w:hint="eastAsia" w:ascii="宋体" w:hAnsi="宋体" w:eastAsia="宋体"/>
                <w:sz w:val="24"/>
              </w:rPr>
            </w:pPr>
            <w:r>
              <w:rPr>
                <w:rFonts w:ascii="宋体" w:hAnsi="宋体" w:eastAsia="宋体"/>
                <w:sz w:val="24"/>
              </w:rPr>
              <w:t xml:space="preserve">⑥2023年5月10日—2023年5月20日，根据指导老师意见，修改二稿，完成定稿 </w:t>
            </w:r>
          </w:p>
          <w:p w14:paraId="41C01C6C">
            <w:pPr>
              <w:spacing w:after="177" w:line="259" w:lineRule="auto"/>
              <w:ind w:firstLine="0"/>
              <w:rPr>
                <w:rFonts w:hint="eastAsia" w:ascii="宋体" w:hAnsi="宋体" w:eastAsia="宋体" w:cs="宋体"/>
              </w:rPr>
            </w:pPr>
          </w:p>
        </w:tc>
      </w:tr>
    </w:tbl>
    <w:p w14:paraId="6023B61A">
      <w:pPr>
        <w:spacing w:after="0" w:line="259" w:lineRule="auto"/>
        <w:ind w:left="-1440" w:right="10466" w:firstLine="0"/>
        <w:rPr>
          <w:rFonts w:hint="eastAsia"/>
        </w:rPr>
      </w:pPr>
    </w:p>
    <w:tbl>
      <w:tblPr>
        <w:tblStyle w:val="12"/>
        <w:tblW w:w="9362" w:type="dxa"/>
        <w:tblInd w:w="178" w:type="dxa"/>
        <w:tblLayout w:type="autofit"/>
        <w:tblCellMar>
          <w:top w:w="47" w:type="dxa"/>
          <w:left w:w="108" w:type="dxa"/>
          <w:bottom w:w="0" w:type="dxa"/>
          <w:right w:w="1" w:type="dxa"/>
        </w:tblCellMar>
      </w:tblPr>
      <w:tblGrid>
        <w:gridCol w:w="9362"/>
      </w:tblGrid>
      <w:tr w14:paraId="6116D4F8">
        <w:trPr>
          <w:trHeight w:val="9376" w:hRule="atLeast"/>
        </w:trPr>
        <w:tc>
          <w:tcPr>
            <w:tcW w:w="9362" w:type="dxa"/>
            <w:tcBorders>
              <w:top w:val="single" w:color="000000" w:sz="4" w:space="0"/>
              <w:left w:val="single" w:color="000000" w:sz="4" w:space="0"/>
              <w:bottom w:val="single" w:color="000000" w:sz="4" w:space="0"/>
              <w:right w:val="single" w:color="000000" w:sz="4" w:space="0"/>
            </w:tcBorders>
          </w:tcPr>
          <w:p w14:paraId="35F3B295">
            <w:pPr>
              <w:spacing w:after="0" w:line="259" w:lineRule="auto"/>
              <w:ind w:right="0" w:firstLine="0"/>
              <w:rPr>
                <w:rFonts w:hint="eastAsia"/>
              </w:rPr>
            </w:pPr>
            <w:r>
              <w:rPr>
                <w:rFonts w:hint="eastAsia"/>
              </w:rPr>
              <w:t>指导老师意见</w:t>
            </w:r>
          </w:p>
        </w:tc>
      </w:tr>
      <w:tr w14:paraId="31D4AB56">
        <w:tblPrEx>
          <w:tblCellMar>
            <w:top w:w="47" w:type="dxa"/>
            <w:left w:w="108" w:type="dxa"/>
            <w:bottom w:w="0" w:type="dxa"/>
            <w:right w:w="1" w:type="dxa"/>
          </w:tblCellMar>
        </w:tblPrEx>
        <w:trPr>
          <w:trHeight w:val="4369" w:hRule="atLeast"/>
        </w:trPr>
        <w:tc>
          <w:tcPr>
            <w:tcW w:w="9362" w:type="dxa"/>
            <w:tcBorders>
              <w:top w:val="single" w:color="000000" w:sz="4" w:space="0"/>
              <w:left w:val="single" w:color="000000" w:sz="4" w:space="0"/>
              <w:bottom w:val="single" w:color="000000" w:sz="4" w:space="0"/>
              <w:right w:val="single" w:color="000000" w:sz="4" w:space="0"/>
            </w:tcBorders>
          </w:tcPr>
          <w:p w14:paraId="43F51BF0">
            <w:pPr>
              <w:spacing w:after="151" w:line="259" w:lineRule="auto"/>
              <w:ind w:right="0" w:firstLine="0"/>
              <w:rPr>
                <w:rFonts w:hint="eastAsia"/>
              </w:rPr>
            </w:pPr>
            <w:r>
              <w:rPr>
                <w:rFonts w:ascii="宋体" w:hAnsi="宋体" w:eastAsia="宋体" w:cs="宋体"/>
              </w:rPr>
              <w:t>四、指导教师意见</w:t>
            </w:r>
            <w:r>
              <w:rPr>
                <w:rFonts w:ascii="宋体" w:hAnsi="宋体" w:eastAsia="宋体" w:cs="宋体"/>
                <w:sz w:val="24"/>
              </w:rPr>
              <w:t xml:space="preserve"> </w:t>
            </w:r>
          </w:p>
          <w:p w14:paraId="2D3DAAF8">
            <w:pPr>
              <w:spacing w:after="0" w:line="259" w:lineRule="auto"/>
              <w:ind w:right="0" w:firstLine="559"/>
              <w:rPr>
                <w:rFonts w:hint="eastAsia"/>
              </w:rPr>
            </w:pPr>
          </w:p>
        </w:tc>
      </w:tr>
      <w:tr w14:paraId="1F1F7D9F">
        <w:tblPrEx>
          <w:tblCellMar>
            <w:top w:w="47" w:type="dxa"/>
            <w:left w:w="108" w:type="dxa"/>
            <w:bottom w:w="0" w:type="dxa"/>
            <w:right w:w="1" w:type="dxa"/>
          </w:tblCellMar>
        </w:tblPrEx>
        <w:trPr>
          <w:trHeight w:val="6705" w:hRule="atLeast"/>
        </w:trPr>
        <w:tc>
          <w:tcPr>
            <w:tcW w:w="9362" w:type="dxa"/>
            <w:tcBorders>
              <w:top w:val="single" w:color="000000" w:sz="4" w:space="0"/>
              <w:left w:val="single" w:color="000000" w:sz="4" w:space="0"/>
              <w:bottom w:val="single" w:color="000000" w:sz="4" w:space="0"/>
              <w:right w:val="single" w:color="000000" w:sz="4" w:space="0"/>
            </w:tcBorders>
          </w:tcPr>
          <w:p w14:paraId="12AD5841">
            <w:pPr>
              <w:spacing w:after="0" w:line="259" w:lineRule="auto"/>
              <w:ind w:right="110" w:firstLine="0"/>
              <w:jc w:val="center"/>
              <w:rPr>
                <w:rFonts w:hint="eastAsia"/>
              </w:rPr>
            </w:pPr>
            <w:r>
              <w:rPr>
                <w:rFonts w:ascii="宋体" w:hAnsi="宋体" w:eastAsia="宋体" w:cs="宋体"/>
                <w:sz w:val="24"/>
              </w:rPr>
              <w:t xml:space="preserve"> </w:t>
            </w:r>
          </w:p>
        </w:tc>
      </w:tr>
    </w:tbl>
    <w:p w14:paraId="16230598">
      <w:pPr>
        <w:spacing w:after="0" w:line="259" w:lineRule="auto"/>
        <w:ind w:left="360" w:right="0" w:firstLine="0"/>
        <w:jc w:val="both"/>
        <w:rPr>
          <w:rFonts w:hint="eastAsia"/>
        </w:rPr>
      </w:pPr>
      <w:r>
        <w:rPr>
          <w:rFonts w:ascii="Times New Roman" w:hAnsi="Times New Roman" w:eastAsia="Times New Roman" w:cs="Times New Roman"/>
          <w:sz w:val="21"/>
        </w:rPr>
        <w:t xml:space="preserve"> </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20" w:footer="95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E8D6A">
    <w:pPr>
      <w:tabs>
        <w:tab w:val="center" w:pos="4513"/>
      </w:tabs>
      <w:spacing w:after="0" w:line="259" w:lineRule="auto"/>
      <w:ind w:right="0" w:firstLine="0"/>
      <w:rPr>
        <w:rFonts w:hint="eastAsia"/>
      </w:rPr>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fldChar w:fldCharType="begin"/>
    </w:r>
    <w:r>
      <w:instrText xml:space="preserve"> PAGE   \* MERGEFORMAT </w:instrText>
    </w:r>
    <w:r>
      <w:fldChar w:fldCharType="separate"/>
    </w:r>
    <w:r>
      <w:rPr>
        <w:rFonts w:ascii="Times New Roman" w:hAnsi="Times New Roman" w:eastAsia="Times New Roman" w:cs="Times New Roman"/>
        <w:b/>
        <w:sz w:val="21"/>
      </w:rPr>
      <w:t>1</w:t>
    </w:r>
    <w:r>
      <w:rPr>
        <w:rFonts w:ascii="Times New Roman" w:hAnsi="Times New Roman" w:eastAsia="Times New Roman" w:cs="Times New Roman"/>
        <w:b/>
        <w:sz w:val="21"/>
      </w:rPr>
      <w:fldChar w:fldCharType="end"/>
    </w:r>
    <w:r>
      <w:rPr>
        <w:rFonts w:ascii="Times New Roman" w:hAnsi="Times New Roman" w:eastAsia="Times New Roman" w:cs="Times New Roman"/>
        <w:b/>
        <w:sz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E31A6">
    <w:pPr>
      <w:tabs>
        <w:tab w:val="center" w:pos="4513"/>
      </w:tabs>
      <w:spacing w:after="0" w:line="259" w:lineRule="auto"/>
      <w:ind w:right="0" w:firstLine="0"/>
      <w:rPr>
        <w:rFonts w:hint="eastAsia"/>
      </w:rPr>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fldChar w:fldCharType="begin"/>
    </w:r>
    <w:r>
      <w:instrText xml:space="preserve"> PAGE   \* MERGEFORMAT </w:instrText>
    </w:r>
    <w:r>
      <w:fldChar w:fldCharType="separate"/>
    </w:r>
    <w:r>
      <w:rPr>
        <w:rFonts w:ascii="Times New Roman" w:hAnsi="Times New Roman" w:eastAsia="Times New Roman" w:cs="Times New Roman"/>
        <w:b/>
        <w:sz w:val="21"/>
      </w:rPr>
      <w:t>1</w:t>
    </w:r>
    <w:r>
      <w:rPr>
        <w:rFonts w:ascii="Times New Roman" w:hAnsi="Times New Roman" w:eastAsia="Times New Roman" w:cs="Times New Roman"/>
        <w:b/>
        <w:sz w:val="21"/>
      </w:rPr>
      <w:fldChar w:fldCharType="end"/>
    </w:r>
    <w:r>
      <w:rPr>
        <w:rFonts w:ascii="Times New Roman" w:hAnsi="Times New Roman" w:eastAsia="Times New Roman" w:cs="Times New Roman"/>
        <w:b/>
        <w:sz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48719">
    <w:pPr>
      <w:tabs>
        <w:tab w:val="center" w:pos="4513"/>
      </w:tabs>
      <w:spacing w:after="0" w:line="259" w:lineRule="auto"/>
      <w:ind w:right="0" w:firstLine="0"/>
      <w:rPr>
        <w:rFonts w:hint="eastAsia"/>
      </w:rPr>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fldChar w:fldCharType="begin"/>
    </w:r>
    <w:r>
      <w:instrText xml:space="preserve"> PAGE   \* MERGEFORMAT </w:instrText>
    </w:r>
    <w:r>
      <w:fldChar w:fldCharType="separate"/>
    </w:r>
    <w:r>
      <w:rPr>
        <w:rFonts w:ascii="Times New Roman" w:hAnsi="Times New Roman" w:eastAsia="Times New Roman" w:cs="Times New Roman"/>
        <w:b/>
        <w:sz w:val="21"/>
      </w:rPr>
      <w:t>1</w:t>
    </w:r>
    <w:r>
      <w:rPr>
        <w:rFonts w:ascii="Times New Roman" w:hAnsi="Times New Roman" w:eastAsia="Times New Roman" w:cs="Times New Roman"/>
        <w:b/>
        <w:sz w:val="21"/>
      </w:rPr>
      <w:fldChar w:fldCharType="end"/>
    </w:r>
    <w:r>
      <w:rPr>
        <w:rFonts w:ascii="Times New Roman" w:hAnsi="Times New Roman" w:eastAsia="Times New Roman" w:cs="Times New Roman"/>
        <w:b/>
        <w:sz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58" w:lineRule="auto"/>
      </w:pPr>
    </w:p>
  </w:footnote>
  <w:footnote w:type="continuationSeparator" w:id="1">
    <w:p>
      <w:pPr>
        <w:spacing w:before="0" w:after="0" w:line="358"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6683D">
    <w:pPr>
      <w:spacing w:after="160" w:line="259" w:lineRule="auto"/>
      <w:ind w:right="0" w:firstLine="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54258">
    <w:pPr>
      <w:spacing w:after="160" w:line="259" w:lineRule="auto"/>
      <w:ind w:right="0" w:firstLine="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9EF02">
    <w:pPr>
      <w:spacing w:after="160" w:line="259" w:lineRule="auto"/>
      <w:ind w:right="0" w:firstLine="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76801A"/>
    <w:multiLevelType w:val="singleLevel"/>
    <w:tmpl w:val="0776801A"/>
    <w:lvl w:ilvl="0" w:tentative="0">
      <w:start w:val="4"/>
      <w:numFmt w:val="chineseCounting"/>
      <w:suff w:val="nothing"/>
      <w:lvlText w:val="%1、"/>
      <w:lvlJc w:val="left"/>
      <w:rPr>
        <w:rFonts w:hint="eastAsia"/>
      </w:rPr>
    </w:lvl>
  </w:abstractNum>
  <w:abstractNum w:abstractNumId="1">
    <w:nsid w:val="3622E0D2"/>
    <w:multiLevelType w:val="singleLevel"/>
    <w:tmpl w:val="3622E0D2"/>
    <w:lvl w:ilvl="0" w:tentative="0">
      <w:start w:val="7"/>
      <w:numFmt w:val="chineseCounting"/>
      <w:suff w:val="nothing"/>
      <w:lvlText w:val="%1、"/>
      <w:lvlJc w:val="left"/>
      <w:rPr>
        <w:rFonts w:hint="eastAsia"/>
      </w:rPr>
    </w:lvl>
  </w:abstractNum>
  <w:abstractNum w:abstractNumId="2">
    <w:nsid w:val="4CA81F94"/>
    <w:multiLevelType w:val="multilevel"/>
    <w:tmpl w:val="4CA81F94"/>
    <w:lvl w:ilvl="0" w:tentative="0">
      <w:start w:val="1"/>
      <w:numFmt w:val="decimal"/>
      <w:lvlText w:val="[%1]"/>
      <w:lvlJc w:val="left"/>
      <w:pPr>
        <w:ind w:left="440" w:hanging="440"/>
      </w:pPr>
      <w:rPr>
        <w:rFonts w:hint="default"/>
        <w:b w:val="0"/>
        <w:b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420"/>
  <w:evenAndOddHeaders w:val="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CBF"/>
    <w:rsid w:val="0001516C"/>
    <w:rsid w:val="00031B59"/>
    <w:rsid w:val="000445A9"/>
    <w:rsid w:val="00052FA4"/>
    <w:rsid w:val="001C698F"/>
    <w:rsid w:val="0021328E"/>
    <w:rsid w:val="00291CBF"/>
    <w:rsid w:val="00334590"/>
    <w:rsid w:val="00370850"/>
    <w:rsid w:val="00414925"/>
    <w:rsid w:val="0043747D"/>
    <w:rsid w:val="004735F2"/>
    <w:rsid w:val="00477896"/>
    <w:rsid w:val="004C2220"/>
    <w:rsid w:val="004C6504"/>
    <w:rsid w:val="00500F14"/>
    <w:rsid w:val="00543799"/>
    <w:rsid w:val="005A1C47"/>
    <w:rsid w:val="005C41CF"/>
    <w:rsid w:val="006C04D0"/>
    <w:rsid w:val="006D5B1D"/>
    <w:rsid w:val="007A554F"/>
    <w:rsid w:val="007B5E00"/>
    <w:rsid w:val="00873453"/>
    <w:rsid w:val="008E44F8"/>
    <w:rsid w:val="00931D05"/>
    <w:rsid w:val="009377F3"/>
    <w:rsid w:val="00A5684A"/>
    <w:rsid w:val="00B55863"/>
    <w:rsid w:val="00BA25C3"/>
    <w:rsid w:val="00C821DF"/>
    <w:rsid w:val="00C8416A"/>
    <w:rsid w:val="00D709E5"/>
    <w:rsid w:val="00DF7A73"/>
    <w:rsid w:val="00E71310"/>
    <w:rsid w:val="00E96F1A"/>
    <w:rsid w:val="00E97FAB"/>
    <w:rsid w:val="00EB6E26"/>
    <w:rsid w:val="00ED27B2"/>
    <w:rsid w:val="00EF403C"/>
    <w:rsid w:val="00F655BC"/>
    <w:rsid w:val="1B03112A"/>
    <w:rsid w:val="366059F3"/>
    <w:rsid w:val="433C618D"/>
    <w:rsid w:val="47AE3B9E"/>
    <w:rsid w:val="4BF45795"/>
    <w:rsid w:val="4FF42CE6"/>
    <w:rsid w:val="56336B0D"/>
    <w:rsid w:val="61BB7C86"/>
    <w:rsid w:val="65605444"/>
    <w:rsid w:val="6FB37E3F"/>
    <w:rsid w:val="75BE41ED"/>
    <w:rsid w:val="7BF72207"/>
    <w:rsid w:val="7E3257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 w:line="358" w:lineRule="auto"/>
      <w:ind w:right="27" w:firstLine="549"/>
    </w:pPr>
    <w:rPr>
      <w:rFonts w:ascii="仿宋" w:hAnsi="仿宋" w:eastAsia="仿宋" w:cs="仿宋"/>
      <w:color w:val="000000"/>
      <w:kern w:val="2"/>
      <w:sz w:val="28"/>
      <w:szCs w:val="24"/>
      <w:lang w:val="en-US" w:eastAsia="zh-CN" w:bidi="ar-SA"/>
      <w14:ligatures w14:val="standardContextual"/>
    </w:rPr>
  </w:style>
  <w:style w:type="paragraph" w:styleId="2">
    <w:name w:val="heading 4"/>
    <w:basedOn w:val="1"/>
    <w:next w:val="1"/>
    <w:link w:val="14"/>
    <w:semiHidden/>
    <w:unhideWhenUsed/>
    <w:qFormat/>
    <w:uiPriority w:val="9"/>
    <w:pPr>
      <w:keepNext/>
      <w:keepLines/>
      <w:spacing w:before="280" w:after="290" w:line="376" w:lineRule="auto"/>
      <w:outlineLvl w:val="3"/>
    </w:pPr>
    <w:rPr>
      <w:rFonts w:asciiTheme="majorHAnsi" w:hAnsiTheme="majorHAnsi" w:eastAsiaTheme="majorEastAsia" w:cstheme="majorBidi"/>
      <w:b/>
      <w:bCs/>
      <w:szCs w:val="28"/>
    </w:rPr>
  </w:style>
  <w:style w:type="character" w:default="1" w:styleId="8">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3"/>
    <w:semiHidden/>
    <w:unhideWhenUsed/>
    <w:qFormat/>
    <w:uiPriority w:val="0"/>
    <w:pPr>
      <w:widowControl w:val="0"/>
      <w:spacing w:after="0" w:line="240" w:lineRule="auto"/>
      <w:ind w:right="0" w:firstLine="0"/>
    </w:pPr>
    <w:rPr>
      <w:rFonts w:ascii="Times New Roman" w:hAnsi="Times New Roman" w:eastAsia="宋体" w:cs="Times New Roman"/>
      <w:color w:val="auto"/>
      <w:sz w:val="21"/>
      <w14:ligatures w14:val="none"/>
    </w:rPr>
  </w:style>
  <w:style w:type="paragraph" w:styleId="4">
    <w:name w:val="endnote text"/>
    <w:basedOn w:val="1"/>
    <w:semiHidden/>
    <w:unhideWhenUsed/>
    <w:uiPriority w:val="99"/>
    <w:pPr>
      <w:snapToGrid w:val="0"/>
      <w:jc w:val="left"/>
    </w:pPr>
  </w:style>
  <w:style w:type="paragraph" w:styleId="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7">
    <w:name w:val="Table Grid"/>
    <w:basedOn w:val="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endnote reference"/>
    <w:basedOn w:val="8"/>
    <w:semiHidden/>
    <w:unhideWhenUsed/>
    <w:uiPriority w:val="99"/>
    <w:rPr>
      <w:vertAlign w:val="superscript"/>
    </w:rPr>
  </w:style>
  <w:style w:type="character" w:styleId="10">
    <w:name w:val="Hyperlink"/>
    <w:basedOn w:val="8"/>
    <w:semiHidden/>
    <w:unhideWhenUsed/>
    <w:uiPriority w:val="99"/>
    <w:rPr>
      <w:color w:val="0000FF"/>
      <w:u w:val="single"/>
    </w:rPr>
  </w:style>
  <w:style w:type="character" w:styleId="11">
    <w:name w:val="annotation reference"/>
    <w:basedOn w:val="8"/>
    <w:qFormat/>
    <w:uiPriority w:val="0"/>
    <w:rPr>
      <w:sz w:val="21"/>
      <w:szCs w:val="21"/>
    </w:rPr>
  </w:style>
  <w:style w:type="table" w:customStyle="1" w:styleId="12">
    <w:name w:val="TableGrid"/>
    <w:uiPriority w:val="0"/>
    <w:pPr>
      <w:spacing w:after="0" w:line="240" w:lineRule="auto"/>
    </w:pPr>
    <w:tblPr>
      <w:tblCellMar>
        <w:top w:w="0" w:type="dxa"/>
        <w:left w:w="0" w:type="dxa"/>
        <w:bottom w:w="0" w:type="dxa"/>
        <w:right w:w="0" w:type="dxa"/>
      </w:tblCellMar>
    </w:tblPr>
  </w:style>
  <w:style w:type="character" w:customStyle="1" w:styleId="13">
    <w:name w:val="批注文字 字符"/>
    <w:basedOn w:val="8"/>
    <w:link w:val="3"/>
    <w:semiHidden/>
    <w:uiPriority w:val="0"/>
    <w:rPr>
      <w:rFonts w:ascii="Times New Roman" w:hAnsi="Times New Roman" w:eastAsia="宋体" w:cs="Times New Roman"/>
      <w:sz w:val="21"/>
      <w14:ligatures w14:val="none"/>
    </w:rPr>
  </w:style>
  <w:style w:type="character" w:customStyle="1" w:styleId="14">
    <w:name w:val="标题 4 字符"/>
    <w:basedOn w:val="8"/>
    <w:link w:val="2"/>
    <w:semiHidden/>
    <w:qFormat/>
    <w:uiPriority w:val="9"/>
    <w:rPr>
      <w:rFonts w:asciiTheme="majorHAnsi" w:hAnsiTheme="majorHAnsi" w:eastAsiaTheme="majorEastAsia" w:cstheme="majorBidi"/>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4932</Words>
  <Characters>7772</Characters>
  <Lines>186</Lines>
  <Paragraphs>141</Paragraphs>
  <TotalTime>113</TotalTime>
  <ScaleCrop>false</ScaleCrop>
  <LinksUpToDate>false</LinksUpToDate>
  <CharactersWithSpaces>8218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2025-04-02T08:53:00Z</dcterms:created>
  <dc:creator>Administrator</dc:creator>
  <cp:lastModifiedBy>Koenigsegg one：1</cp:lastModifiedBy>
  <dcterms:modified xsi:type="dcterms:W3CDTF">2026-03-16T07:31:39Z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eyJoZGlkIjoiOGQzNmMxY2Q1ZjE1MDg1NGM2MGFlMGVhMmI4YTUwYjgiLCJ1c2VySWQiOiIyNTQ1ODQ0MDQifQ==</vt:lpwstr>
  </property>
  <property fmtid="{D5CDD505-2E9C-101B-9397-08002B2CF9AE}" pid="3" name="KSOProductBuildVer">
    <vt:lpwstr>2052-12.1.0.25225</vt:lpwstr>
  </property>
  <property fmtid="{D5CDD505-2E9C-101B-9397-08002B2CF9AE}" pid="4" name="ICV">
    <vt:lpwstr>E665688FC17D4B63BDAABD7FF0E62AD4_13</vt:lpwstr>
  </property>
</Properties>
</file>