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无人机发生碰撞、进水或维修时，卖家应披露故障原因、维修范围和当前测试结果。</w:t>
      </w:r>
    </w:p>
    <w:sectPr/>
  </w:body>
</w:document>
</file>