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D2F6" w14:textId="78194831" w:rsidR="008F1CD8" w:rsidRDefault="00D563DB">
      <w:pPr>
        <w:pStyle w:val="Date"/>
      </w:pPr>
      <w:r>
        <w:t>2</w:t>
      </w:r>
      <w:r w:rsidR="00290889">
        <w:t>/</w:t>
      </w:r>
      <w:r>
        <w:t>1</w:t>
      </w:r>
      <w:r w:rsidR="00290889">
        <w:t>/202</w:t>
      </w:r>
      <w:r w:rsidR="00956233">
        <w:t>2</w:t>
      </w:r>
    </w:p>
    <w:p w14:paraId="4474F9F0" w14:textId="7D502E01" w:rsidR="008F1CD8" w:rsidRDefault="00290889">
      <w:pPr>
        <w:pStyle w:val="Salutation"/>
      </w:pPr>
      <w:r>
        <w:t>Danielle sherman</w:t>
      </w:r>
    </w:p>
    <w:p w14:paraId="56A54C78" w14:textId="0A68D98D" w:rsidR="008F1CD8" w:rsidRDefault="00290889">
      <w:pPr>
        <w:pStyle w:val="Address"/>
      </w:pPr>
      <w:r>
        <w:t>CTO, Blackwell Electronics</w:t>
      </w:r>
    </w:p>
    <w:p w14:paraId="69AFBD51" w14:textId="77777777" w:rsidR="00A20B0E" w:rsidRDefault="00A20B0E" w:rsidP="00290889">
      <w:r>
        <w:t>Overview:</w:t>
      </w:r>
    </w:p>
    <w:p w14:paraId="2ABC996A" w14:textId="44A297E2" w:rsidR="00E21E6C" w:rsidRDefault="00290889" w:rsidP="00956233">
      <w:pPr>
        <w:rPr>
          <w:sz w:val="20"/>
          <w:szCs w:val="20"/>
        </w:rPr>
      </w:pPr>
      <w:r w:rsidRPr="00A61275">
        <w:rPr>
          <w:sz w:val="20"/>
          <w:szCs w:val="20"/>
        </w:rPr>
        <w:t xml:space="preserve">As per your request, </w:t>
      </w:r>
      <w:r w:rsidR="00956233" w:rsidRPr="00A61275">
        <w:rPr>
          <w:sz w:val="20"/>
          <w:szCs w:val="20"/>
        </w:rPr>
        <w:t>I</w:t>
      </w:r>
      <w:r w:rsidR="00D563DB">
        <w:rPr>
          <w:sz w:val="20"/>
          <w:szCs w:val="20"/>
        </w:rPr>
        <w:t xml:space="preserve"> performed a market basket analysis on the </w:t>
      </w:r>
      <w:proofErr w:type="spellStart"/>
      <w:r w:rsidR="00D563DB">
        <w:rPr>
          <w:sz w:val="20"/>
          <w:szCs w:val="20"/>
        </w:rPr>
        <w:t>Electrondex</w:t>
      </w:r>
      <w:proofErr w:type="spellEnd"/>
      <w:r w:rsidR="00D563DB">
        <w:rPr>
          <w:sz w:val="20"/>
          <w:szCs w:val="20"/>
        </w:rPr>
        <w:t xml:space="preserve"> provided csv.  </w:t>
      </w:r>
      <w:r w:rsidR="0024642C">
        <w:rPr>
          <w:sz w:val="20"/>
          <w:szCs w:val="20"/>
        </w:rPr>
        <w:t>I inspected and cleaned the dataset.  I found redundant rules that were removed in order to provide a more accurate analysis.  However, a larger dataset with more product purchase history would produce better insight.</w:t>
      </w:r>
    </w:p>
    <w:p w14:paraId="5D8A42FC" w14:textId="4735DDDC" w:rsidR="0024642C" w:rsidRDefault="0024642C" w:rsidP="00956233">
      <w:pPr>
        <w:rPr>
          <w:sz w:val="20"/>
          <w:szCs w:val="20"/>
        </w:rPr>
      </w:pPr>
      <w:r>
        <w:rPr>
          <w:sz w:val="20"/>
          <w:szCs w:val="20"/>
        </w:rPr>
        <w:t>The vast majority of rules identified were either irrelevant or unclear.  Those that were insightful pose their own set of questions.  The data suggest that 95% of the time a customer purchases a Dell KM117 Wireless Keyboard &amp; Mouse and an iPhone Charger Cable</w:t>
      </w:r>
      <w:r w:rsidR="00DF4EE8">
        <w:rPr>
          <w:sz w:val="20"/>
          <w:szCs w:val="20"/>
        </w:rPr>
        <w:t>, they also purchase an Apple MacBook Air.  Out of thousands of transactions, this occurred 20 times. The data suggests that this is not just a coincidence.  No other rules meet these criteria as strongly as this aforementioned product association rule. This is visualized in the graph below</w:t>
      </w:r>
      <w:r w:rsidR="008F4DF3">
        <w:rPr>
          <w:sz w:val="20"/>
          <w:szCs w:val="20"/>
        </w:rPr>
        <w:t>.</w:t>
      </w:r>
      <w:r w:rsidR="008F4DF3">
        <w:rPr>
          <w:noProof/>
          <w:sz w:val="20"/>
          <w:szCs w:val="20"/>
        </w:rPr>
        <w:drawing>
          <wp:inline distT="0" distB="0" distL="0" distR="0" wp14:anchorId="2E3A4569" wp14:editId="7283B278">
            <wp:extent cx="6487795" cy="34090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874" cy="34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6BE4" w14:textId="77777777" w:rsidR="006C3809" w:rsidRDefault="00DF4EE8" w:rsidP="006C3809">
      <w:r>
        <w:rPr>
          <w:sz w:val="20"/>
          <w:szCs w:val="20"/>
        </w:rPr>
        <w:lastRenderedPageBreak/>
        <w:t xml:space="preserve">It is worth noting </w:t>
      </w:r>
      <w:r w:rsidR="00D82EBC">
        <w:rPr>
          <w:sz w:val="20"/>
          <w:szCs w:val="20"/>
        </w:rPr>
        <w:t>a few</w:t>
      </w:r>
      <w:r>
        <w:rPr>
          <w:sz w:val="20"/>
          <w:szCs w:val="20"/>
        </w:rPr>
        <w:t xml:space="preserve"> other rules that are significant</w:t>
      </w:r>
      <w:r w:rsidR="006C3809">
        <w:rPr>
          <w:sz w:val="20"/>
          <w:szCs w:val="20"/>
        </w:rPr>
        <w:t>, but have low sales.</w:t>
      </w:r>
      <w:r>
        <w:rPr>
          <w:sz w:val="20"/>
          <w:szCs w:val="20"/>
        </w:rPr>
        <w:t xml:space="preserve">  Customers who bought a</w:t>
      </w:r>
      <w:r w:rsidR="006C3809">
        <w:rPr>
          <w:sz w:val="20"/>
          <w:szCs w:val="20"/>
        </w:rPr>
        <w:t xml:space="preserve"> Dell Desktop, an iMac, a Lenovo Desktop Computer, and a Mackie CR Speakers always purchased a ViewSonic Monitor.  This is most likely not a coincidence, but this exact sale only occurred 11 times.  Also, customers who purchased an ASUS Monitor, and Intel Desktop, and a ViewSonic Monitor always purchased a Lenovo Desktop Computer, again, it would be more significant if more than 11 transactions occurred. The analysis indicated that this is most likely not a coincidence.  These rules are visualized in the graph below.</w:t>
      </w:r>
      <w:r w:rsidR="006C3809">
        <w:rPr>
          <w:noProof/>
          <w:sz w:val="20"/>
          <w:szCs w:val="20"/>
        </w:rPr>
        <w:drawing>
          <wp:inline distT="0" distB="0" distL="0" distR="0" wp14:anchorId="48A4AF9C" wp14:editId="2C1462BC">
            <wp:extent cx="6492240" cy="418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275">
        <w:t xml:space="preserve">     </w:t>
      </w:r>
    </w:p>
    <w:p w14:paraId="56918EBB" w14:textId="77777777" w:rsidR="00A5211E" w:rsidRDefault="006C3809" w:rsidP="00A5211E">
      <w:pPr>
        <w:spacing w:after="240" w:line="240" w:lineRule="auto"/>
        <w:rPr>
          <w:b/>
          <w:bCs/>
        </w:rPr>
      </w:pPr>
      <w:r>
        <w:rPr>
          <w:b/>
          <w:bCs/>
        </w:rPr>
        <w:t>OBSERVATIONS:</w:t>
      </w:r>
    </w:p>
    <w:p w14:paraId="1CEA6070" w14:textId="336F7969" w:rsidR="00A5211E" w:rsidRPr="00A5211E" w:rsidRDefault="006C3809" w:rsidP="00A5211E">
      <w:pPr>
        <w:spacing w:after="240" w:line="240" w:lineRule="auto"/>
        <w:rPr>
          <w:b/>
          <w:bCs/>
        </w:rPr>
      </w:pPr>
      <w:r>
        <w:t>Out of thousands of transactions the</w:t>
      </w:r>
      <w:r w:rsidR="00A5211E">
        <w:t xml:space="preserve"> strongest rules only had sales as high as 20 times.  The products purchased almost always work together would not need much advertising apart from creating bundles designating products for cross-selling.  It would be best to sell a customer a cable to charge their new iPhone as oppose to the customer purchasing it elsewhere.  If </w:t>
      </w:r>
      <w:proofErr w:type="spellStart"/>
      <w:r w:rsidR="00A5211E">
        <w:t>Electronidex</w:t>
      </w:r>
      <w:proofErr w:type="spellEnd"/>
      <w:r w:rsidR="00A5211E">
        <w:t xml:space="preserve"> is already employing sales promotions and cross-selling, then I would advise Blackwell Electronics not to acquire.  However, if they are not, Blackwell could increase those purchases for a larger profit.   </w:t>
      </w:r>
      <w:r w:rsidR="00240B93">
        <w:t xml:space="preserve"> </w:t>
      </w:r>
    </w:p>
    <w:p w14:paraId="487C9C99" w14:textId="77777777" w:rsidR="00A5211E" w:rsidRDefault="00A5211E" w:rsidP="00A5211E"/>
    <w:p w14:paraId="02D7A526" w14:textId="1EC00B42" w:rsidR="008F1CD8" w:rsidRPr="00A5211E" w:rsidRDefault="009B3FD3" w:rsidP="00A5211E">
      <w:pPr>
        <w:rPr>
          <w:sz w:val="20"/>
          <w:szCs w:val="20"/>
        </w:rPr>
      </w:pPr>
      <w:r>
        <w:t>GRANT JOHNSON</w:t>
      </w:r>
    </w:p>
    <w:sectPr w:rsidR="008F1CD8" w:rsidRPr="00A5211E">
      <w:footerReference w:type="default" r:id="rId12"/>
      <w:footerReference w:type="first" r:id="rId13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527D" w14:textId="77777777" w:rsidR="00B91259" w:rsidRDefault="00B91259">
      <w:pPr>
        <w:spacing w:before="0" w:after="0" w:line="240" w:lineRule="auto"/>
      </w:pPr>
      <w:r>
        <w:separator/>
      </w:r>
    </w:p>
    <w:p w14:paraId="36274AB8" w14:textId="77777777" w:rsidR="00B91259" w:rsidRDefault="00B91259"/>
    <w:p w14:paraId="1C6A4F5C" w14:textId="77777777" w:rsidR="00B91259" w:rsidRDefault="00B91259"/>
    <w:p w14:paraId="35734015" w14:textId="77777777" w:rsidR="00B91259" w:rsidRDefault="00B91259"/>
  </w:endnote>
  <w:endnote w:type="continuationSeparator" w:id="0">
    <w:p w14:paraId="1DA54ED8" w14:textId="77777777" w:rsidR="00B91259" w:rsidRDefault="00B91259">
      <w:pPr>
        <w:spacing w:before="0" w:after="0" w:line="240" w:lineRule="auto"/>
      </w:pPr>
      <w:r>
        <w:continuationSeparator/>
      </w:r>
    </w:p>
    <w:p w14:paraId="69CE86E3" w14:textId="77777777" w:rsidR="00B91259" w:rsidRDefault="00B91259"/>
    <w:p w14:paraId="3319AB2D" w14:textId="77777777" w:rsidR="00B91259" w:rsidRDefault="00B91259"/>
    <w:p w14:paraId="7AC8A8B9" w14:textId="77777777" w:rsidR="00B91259" w:rsidRDefault="00B912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9F1DB" w14:textId="77777777" w:rsidR="008F1CD8" w:rsidRDefault="00350D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9A18" w14:textId="459B1E9D" w:rsidR="008F1CD8" w:rsidRDefault="009D577D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3A1B" w14:textId="77777777" w:rsidR="00B91259" w:rsidRDefault="00B91259">
      <w:pPr>
        <w:spacing w:before="0" w:after="0" w:line="240" w:lineRule="auto"/>
      </w:pPr>
      <w:r>
        <w:separator/>
      </w:r>
    </w:p>
    <w:p w14:paraId="3963DE19" w14:textId="77777777" w:rsidR="00B91259" w:rsidRDefault="00B91259"/>
    <w:p w14:paraId="474C3914" w14:textId="77777777" w:rsidR="00B91259" w:rsidRDefault="00B91259"/>
    <w:p w14:paraId="52367F7E" w14:textId="77777777" w:rsidR="00B91259" w:rsidRDefault="00B91259"/>
  </w:footnote>
  <w:footnote w:type="continuationSeparator" w:id="0">
    <w:p w14:paraId="37166665" w14:textId="77777777" w:rsidR="00B91259" w:rsidRDefault="00B91259">
      <w:pPr>
        <w:spacing w:before="0" w:after="0" w:line="240" w:lineRule="auto"/>
      </w:pPr>
      <w:r>
        <w:continuationSeparator/>
      </w:r>
    </w:p>
    <w:p w14:paraId="71630296" w14:textId="77777777" w:rsidR="00B91259" w:rsidRDefault="00B91259"/>
    <w:p w14:paraId="7E6722C8" w14:textId="77777777" w:rsidR="00B91259" w:rsidRDefault="00B91259"/>
    <w:p w14:paraId="55AE613E" w14:textId="77777777" w:rsidR="00B91259" w:rsidRDefault="00B912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F4F"/>
    <w:multiLevelType w:val="hybridMultilevel"/>
    <w:tmpl w:val="C6D0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57F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7650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89"/>
    <w:rsid w:val="00047698"/>
    <w:rsid w:val="00051455"/>
    <w:rsid w:val="00066F45"/>
    <w:rsid w:val="000775EA"/>
    <w:rsid w:val="00124C7F"/>
    <w:rsid w:val="001634D2"/>
    <w:rsid w:val="001B52FB"/>
    <w:rsid w:val="00200D86"/>
    <w:rsid w:val="00240B93"/>
    <w:rsid w:val="0024642C"/>
    <w:rsid w:val="00270B63"/>
    <w:rsid w:val="002810AA"/>
    <w:rsid w:val="00290889"/>
    <w:rsid w:val="002C66AD"/>
    <w:rsid w:val="003244E1"/>
    <w:rsid w:val="00350DD4"/>
    <w:rsid w:val="00354355"/>
    <w:rsid w:val="0037051E"/>
    <w:rsid w:val="003F2926"/>
    <w:rsid w:val="003F2BA3"/>
    <w:rsid w:val="00413B6C"/>
    <w:rsid w:val="004253E0"/>
    <w:rsid w:val="004B40AE"/>
    <w:rsid w:val="004C3B63"/>
    <w:rsid w:val="004D52B3"/>
    <w:rsid w:val="004E3FEA"/>
    <w:rsid w:val="0054113F"/>
    <w:rsid w:val="0054677F"/>
    <w:rsid w:val="00586F0C"/>
    <w:rsid w:val="005C77E3"/>
    <w:rsid w:val="005D537A"/>
    <w:rsid w:val="00605232"/>
    <w:rsid w:val="0063585B"/>
    <w:rsid w:val="006C3809"/>
    <w:rsid w:val="006E5DB9"/>
    <w:rsid w:val="00772EEB"/>
    <w:rsid w:val="00782841"/>
    <w:rsid w:val="007832ED"/>
    <w:rsid w:val="007923B8"/>
    <w:rsid w:val="008202A0"/>
    <w:rsid w:val="00882120"/>
    <w:rsid w:val="00884748"/>
    <w:rsid w:val="00884D14"/>
    <w:rsid w:val="008F1CD8"/>
    <w:rsid w:val="008F4DF3"/>
    <w:rsid w:val="00922CBB"/>
    <w:rsid w:val="009335B4"/>
    <w:rsid w:val="00956233"/>
    <w:rsid w:val="0096657E"/>
    <w:rsid w:val="00994CB2"/>
    <w:rsid w:val="009B3FD3"/>
    <w:rsid w:val="009D32ED"/>
    <w:rsid w:val="009D577D"/>
    <w:rsid w:val="00A20B0E"/>
    <w:rsid w:val="00A25107"/>
    <w:rsid w:val="00A5211E"/>
    <w:rsid w:val="00A61275"/>
    <w:rsid w:val="00A67B18"/>
    <w:rsid w:val="00AA4F18"/>
    <w:rsid w:val="00B148D6"/>
    <w:rsid w:val="00B570A0"/>
    <w:rsid w:val="00B91259"/>
    <w:rsid w:val="00BB5B52"/>
    <w:rsid w:val="00BC6C63"/>
    <w:rsid w:val="00C16134"/>
    <w:rsid w:val="00C74EB9"/>
    <w:rsid w:val="00CA072B"/>
    <w:rsid w:val="00CB01D8"/>
    <w:rsid w:val="00CB2468"/>
    <w:rsid w:val="00D05D56"/>
    <w:rsid w:val="00D411D9"/>
    <w:rsid w:val="00D41C05"/>
    <w:rsid w:val="00D563DB"/>
    <w:rsid w:val="00D61CAC"/>
    <w:rsid w:val="00D62E6A"/>
    <w:rsid w:val="00D82EBC"/>
    <w:rsid w:val="00DC55F4"/>
    <w:rsid w:val="00DD68E5"/>
    <w:rsid w:val="00DF4EE8"/>
    <w:rsid w:val="00E0412E"/>
    <w:rsid w:val="00E12784"/>
    <w:rsid w:val="00E21E6C"/>
    <w:rsid w:val="00E353B8"/>
    <w:rsid w:val="00EB1E85"/>
    <w:rsid w:val="00ED698B"/>
    <w:rsid w:val="00EF49D8"/>
    <w:rsid w:val="00F24574"/>
    <w:rsid w:val="00F30D6E"/>
    <w:rsid w:val="00F55025"/>
    <w:rsid w:val="00F65923"/>
    <w:rsid w:val="00F86236"/>
    <w:rsid w:val="00F86A53"/>
    <w:rsid w:val="00FB5370"/>
    <w:rsid w:val="00FC4ED2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CE7DC"/>
  <w15:chartTrackingRefBased/>
  <w15:docId w15:val="{C0A290A9-DEF4-B941-9307-5AD82153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A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9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j/Library/Containers/com.microsoft.Word/Data/Library/Application%20Support/Microsoft/Office/16.0/DTS/en-US%7b8DD5AA5A-AFAE-B04E-B189-FD4FE8814FE9%7d/%7bDDD29EC1-91F1-C647-B469-F5C7946E0E81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{DDD29EC1-91F1-C647-B469-F5C7946E0E81}tf10002073.dotx</Template>
  <TotalTime>47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2022-02-03T00:04:00Z</dcterms:created>
  <dcterms:modified xsi:type="dcterms:W3CDTF">2022-02-03T01:31:00Z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