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Executive Summary</w:t>
      </w:r>
    </w:p>
    <w:p>
      <w:pPr>
        <w:pBdr>
          <w:bottom w:val="single" w:color="1F4E79" w:sz="8" w:space="4"/>
        </w:pBdr>
        <w:spacing w:after="240"/>
      </w:pPr>
      <w:r>
        <w:rPr>
          <w:color w:val="555555"/>
          <w:sz w:val="22"/>
          <w:szCs w:val="22"/>
        </w:rPr>
        <w:t xml:space="preserve">UAC Care Transition Efficiency &amp; Placement Outcome Analytics · Jan 2023 – Dec 2025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Headcounts show how many children are in care, not whether the system is moving them to sponsors efficiently. This analysis measures process flow across the pipeline: CBP custody → HHS care → sponsor placement.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shrinking caseload is not the whole story. </w:t>
      </w:r>
      <w:r>
        <w:t xml:space="preserve">The HHS census fell from 11,516 (Dec 2023) to about 2,000–2,500 in 2025, but mainly because intake dropped about 90%. The share of children discharged per report fell from 2.9% (2024) to 1.1% (2025): children now turn over about 2.6 times more slowly.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bottleneck is discharge, not transfer. </w:t>
      </w:r>
      <w:r>
        <w:t xml:space="preserve">Transfers out of CBP kept pace with intake in every year. In 2024, four sustained periods (16–61 consecutive reports) saw transfers outrun discharges, adding about 2,500 children to HHS care.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Placements became less stable in 2025. </w:t>
      </w:r>
      <w:r>
        <w:t xml:space="preserve">The Outcome Stability Score fell from about 77 to 55 out of 100, with abrupt discharge collapses on 25 Feb and 23 Mar 2025 and two long low-discharge periods (Mar–Jul and Jul–Dec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Transfer efficiency is slipping. </w:t>
      </w:r>
      <w:r>
        <w:t xml:space="preserve">The ratio of transfers to CBP custody fell from about 0.76–0.78 to 0.50 in 2025 (0.23 on the latest report).</w:t>
      </w:r>
    </w:p>
    <w:p>
      <w:pPr>
        <w:pStyle w:val="Heading2"/>
      </w:pPr>
      <w:r>
        <w:t xml:space="preserve">KPI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500"/>
        <w:gridCol w:w="1500"/>
        <w:gridCol w:w="1600"/>
      </w:tblGrid>
      <w:tr>
        <w:trPr>
          <w:tblHeader/>
        </w:trPr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 Efficiency Ratio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Discharge Effectiveness (% of HHS care per report)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2.92%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1.14%</w:t>
            </w:r>
          </w:p>
        </w:tc>
      </w:tr>
      <w:tr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Backlog rate (children/report, + = building)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−131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−12</w:t>
            </w:r>
          </w:p>
        </w:tc>
      </w:tr>
      <w:tr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Outcome Stability Score (0–100)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54.9</w:t>
            </w:r>
          </w:p>
        </w:tc>
      </w:tr>
    </w:tbl>
    <w:p>
      <w:pPr>
        <w:pStyle w:val="Heading2"/>
      </w:pPr>
      <w:r>
        <w:t xml:space="preserve">Recommended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flow KPIs (discharge effectiveness, backlog rate, stability score) in routine reporting, with alert thresholds.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 surge trigger: two weeks of net inflow to HHS above exits should prompt added case-management and sponsor-vetting capacity.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2025 discharge slowdown using case-level data to identify whether sponsor verification, staffing or policy changes are the cause.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data: publish seven-day reports, all HHS entry routes, length of stay and sponsor category.</w:t>
      </w:r>
    </w:p>
    <w:p>
      <w:pPr>
        <w:pStyle w:val="Heading2"/>
      </w:pPr>
      <w:r>
        <w:t xml:space="preserve">Caveats</w:t>
      </w:r>
    </w:p>
    <w:p>
      <w:pPr>
        <w:spacing w:after="120" w:line="276"/>
      </w:pPr>
      <w:r>
        <w:t xml:space="preserve">Data are aggregate counts with irregular reporting (about five reports a week) and do not fully reconcile between stocks and flows; findings describe flow speed, not case quality or child safety, and causes are hypotheses for follow-up. Full methods, figures and limitations are in the research paper; a live dashboard allows any date range and threshold to be explored.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2026-10-06T15:52:35.426Z</dcterms:created>
  <dcterms:modified xsi:type="dcterms:W3CDTF">2026-10-06T15:52:35.426Z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