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PT Serif" w:cs="PT Serif" w:eastAsia="PT Serif" w:hAnsi="PT Serif"/>
          <w:b/>
          <w:bCs/>
          <w:sz w:val="36"/>
          <w:szCs w:val="36"/>
        </w:rPr>
        <w:t xml:space="preserve">Простая строгая модель активационных переходов</w:t>
      </w:r>
    </w:p>
    <w:p>
      <w:pPr>
        <w:pBdr>
          <w:bottom w:val="single" w:color="1F3864" w:sz="6" w:space="6"/>
        </w:pBdr>
        <w:spacing w:after="160"/>
      </w:pPr>
      <w:r>
        <w:rPr>
          <w:rFonts w:ascii="PT Serif" w:cs="PT Serif" w:eastAsia="PT Serif" w:hAnsi="PT Serif"/>
          <w:color w:val="1F3864"/>
          <w:sz w:val="22"/>
          <w:szCs w:val="22"/>
        </w:rPr>
        <w:t xml:space="preserve">(ПАП-модель) — чистовая редакция 2, 9 октября 2026 г.</w:t>
      </w:r>
    </w:p>
    <w:p>
      <w:pPr>
        <w:spacing w:after="140"/>
      </w:pPr>
      <w:r>
        <w:rPr>
          <w:rFonts w:ascii="PT Serif" w:cs="PT Serif" w:eastAsia="PT Serif" w:hAnsi="PT Serif"/>
          <w:i/>
          <w:iCs/>
          <w:color w:val="5A5A5A"/>
          <w:sz w:val="20"/>
          <w:szCs w:val="20"/>
        </w:rPr>
        <w:t xml:space="preserve">Основано на: рукописные заметки «За гранью, за дверью» / «Прото Мария» (09.10.2026); «Модель эволюции диссипативных структур»; Universal Law TopologicaL Evolution v1.0 (2025); StockmanProof.py; L. Bachelier «Теория спекуляций» (1900); Svix Quickstart (вебхуки). В этой редакции: добавлена единая формула (А6, §2.5), таблица её предельных случаев (§3.4), пресеты квантовых случаев в числах (§10) и журнал исправлений (§11). Числовой пример в §5 исправлен.</w:t>
      </w:r>
    </w:p>
    <w:p>
      <w:pPr>
        <w:pStyle w:val="Heading1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8"/>
          <w:szCs w:val="28"/>
        </w:rPr>
        <w:t xml:space="preserve">0. Аннотация и значимость</w:t>
      </w:r>
    </w:p>
    <w:p>
      <w:pPr>
        <w:spacing w:after="11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Что это.</w:t>
      </w:r>
      <w:r>
        <w:rPr>
          <w:rFonts w:ascii="PT Serif" w:cs="PT Serif" w:eastAsia="PT Serif" w:hAnsi="PT Serif"/>
          <w:sz w:val="22"/>
          <w:szCs w:val="22"/>
        </w:rPr>
        <w:t xml:space="preserve"> Одна замкнутая формула для всего, где есть переход через барьер: система сидит в «яме», пытается её покинуть с частотой попыток ν, вероятность успеха — экспонента от отношения барьера к доступной энергии. Мастер-форма (А6, §2.5): </w:t>
      </w:r>
      <w:r>
        <w:rPr>
          <w:rFonts w:ascii="Cambria Math" w:cs="Cambria Math" w:eastAsia="Cambria Math" w:hAnsi="Cambria Math"/>
          <w:sz w:val="22"/>
          <w:szCs w:val="22"/>
        </w:rPr>
        <w:t xml:space="preserve">p(t) = [1 + (p₀·R − 1)·exp(−ν·t·R·e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−ΔG/E</w:t>
      </w:r>
      <w:r>
        <w:rPr>
          <w:rFonts w:ascii="Cambria Math" w:cs="Cambria Math" w:eastAsia="Cambria Math" w:hAnsi="Cambria Math"/>
          <w:sz w:val="22"/>
          <w:szCs w:val="22"/>
        </w:rPr>
        <w:t xml:space="preserve">)] / R</w:t>
      </w:r>
      <w:r>
        <w:rPr>
          <w:rFonts w:ascii="PT Serif" w:cs="PT Serif" w:eastAsia="PT Serif" w:hAnsi="PT Serif"/>
          <w:sz w:val="22"/>
          <w:szCs w:val="22"/>
        </w:rPr>
        <w:t xml:space="preserve">, где </w:t>
      </w:r>
      <w:r>
        <w:rPr>
          <w:rFonts w:ascii="Cambria Math" w:cs="Cambria Math" w:eastAsia="Cambria Math" w:hAnsi="Cambria Math"/>
          <w:sz w:val="22"/>
          <w:szCs w:val="22"/>
        </w:rPr>
        <w:t xml:space="preserve">ΔG = ΔG₀(1 − λ/λ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c</w:t>
      </w:r>
      <w:r>
        <w:rPr>
          <w:rFonts w:ascii="Cambria Math" w:cs="Cambria Math" w:eastAsia="Cambria Math" w:hAnsi="Cambria Math"/>
          <w:sz w:val="22"/>
          <w:szCs w:val="22"/>
        </w:rPr>
        <w:t xml:space="preserve">)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3/2</w:t>
      </w:r>
      <w:r>
        <w:rPr>
          <w:rFonts w:ascii="PT Serif" w:cs="PT Serif" w:eastAsia="PT Serif" w:hAnsi="PT Serif"/>
          <w:sz w:val="22"/>
          <w:szCs w:val="22"/>
        </w:rPr>
        <w:t xml:space="preserve">, </w:t>
      </w:r>
      <w:r>
        <w:rPr>
          <w:rFonts w:ascii="Cambria Math" w:cs="Cambria Math" w:eastAsia="Cambria Math" w:hAnsi="Cambria Math"/>
          <w:sz w:val="22"/>
          <w:szCs w:val="22"/>
        </w:rPr>
        <w:t xml:space="preserve">R = 1 + e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−δ/E</w:t>
      </w:r>
      <w:r>
        <w:rPr>
          <w:rFonts w:ascii="PT Serif" w:cs="PT Serif" w:eastAsia="PT Serif" w:hAnsi="PT Serif"/>
          <w:sz w:val="22"/>
          <w:szCs w:val="22"/>
        </w:rPr>
        <w:t xml:space="preserve">, </w:t>
      </w:r>
      <w:r>
        <w:rPr>
          <w:rFonts w:ascii="Cambria Math" w:cs="Cambria Math" w:eastAsia="Cambria Math" w:hAnsi="Cambria Math"/>
          <w:sz w:val="22"/>
          <w:szCs w:val="22"/>
        </w:rPr>
        <w:t xml:space="preserve">E = k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Б</w:t>
      </w:r>
      <w:r>
        <w:rPr>
          <w:rFonts w:ascii="Cambria Math" w:cs="Cambria Math" w:eastAsia="Cambria Math" w:hAnsi="Cambria Math"/>
          <w:sz w:val="22"/>
          <w:szCs w:val="22"/>
        </w:rPr>
        <w:t xml:space="preserve"> T</w:t>
      </w:r>
      <w:r>
        <w:rPr>
          <w:rFonts w:ascii="PT Serif" w:cs="PT Serif" w:eastAsia="PT Serif" w:hAnsi="PT Serif"/>
          <w:sz w:val="22"/>
          <w:szCs w:val="22"/>
        </w:rPr>
        <w:t xml:space="preserve"> или ℏω. Из одной строки выводятся равновесие Больцмана (t→∞), время жизни τ, уравнение эволюции А5 и матрица K для произвольного числа состояний.</w:t>
      </w:r>
    </w:p>
    <w:p>
      <w:pPr>
        <w:spacing w:after="11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Научная значимость.</w:t>
      </w:r>
      <w:r>
        <w:rPr>
          <w:rFonts w:ascii="PT Serif" w:cs="PT Serif" w:eastAsia="PT Serif" w:hAnsi="PT Serif"/>
          <w:sz w:val="22"/>
          <w:szCs w:val="22"/>
        </w:rPr>
        <w:t xml:space="preserve"> Не «новая физика», а наведение порядка в известном — по трём проверяемым утверждениям: (1) тождество, а не подгонка — доказано символьно и численно (невязка А6 и ОДУ А5 равна нулю до машинной точности во всех пресетах §10), что </w:t>
      </w:r>
      <w:r>
        <w:rPr>
          <w:rFonts w:ascii="Cambria Math" w:cs="Cambria Math" w:eastAsia="Cambria Math" w:hAnsi="Cambria Math"/>
          <w:sz w:val="22"/>
          <w:szCs w:val="22"/>
        </w:rPr>
        <w:t xml:space="preserve">ν·R·e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−ΔG/E</w:t>
      </w:r>
      <w:r>
        <w:rPr>
          <w:rFonts w:ascii="Cambria Math" w:cs="Cambria Math" w:eastAsia="Cambria Math" w:hAnsi="Cambria Math"/>
          <w:sz w:val="22"/>
          <w:szCs w:val="22"/>
        </w:rPr>
        <w:t xml:space="preserve"> ≡ k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+</w:t>
      </w:r>
      <w:r>
        <w:rPr>
          <w:rFonts w:ascii="Cambria Math" w:cs="Cambria Math" w:eastAsia="Cambria Math" w:hAnsi="Cambria Math"/>
          <w:sz w:val="22"/>
          <w:szCs w:val="22"/>
        </w:rPr>
        <w:t xml:space="preserve"> + k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-</w:t>
      </w:r>
      <w:r>
        <w:rPr>
          <w:rFonts w:ascii="PT Serif" w:cs="PT Serif" w:eastAsia="PT Serif" w:hAnsi="PT Serif"/>
          <w:sz w:val="22"/>
          <w:szCs w:val="22"/>
        </w:rPr>
        <w:t xml:space="preserve">; это алгебраическое тождество при </w:t>
      </w:r>
      <w:r>
        <w:rPr>
          <w:rFonts w:ascii="Cambria Math" w:cs="Cambria Math" w:eastAsia="Cambria Math" w:hAnsi="Cambria Math"/>
          <w:sz w:val="22"/>
          <w:szCs w:val="22"/>
        </w:rPr>
        <w:t xml:space="preserve">R = 1 + e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−δ/E</w:t>
      </w:r>
      <w:r>
        <w:rPr>
          <w:rFonts w:ascii="PT Serif" w:cs="PT Serif" w:eastAsia="PT Serif" w:hAnsi="PT Serif"/>
          <w:sz w:val="22"/>
          <w:szCs w:val="22"/>
        </w:rPr>
        <w:t xml:space="preserve">. (2) Единый охват разнородных случаев — девять формул из разных областей сворачиваются в предельные подстановки одной А6, числа сверены с эталонами. (3) Ясный физический смысл одного параметра — схлопывание барьера у критического масштаба есть катастрофа «фолд», объясняющая «эффект прорыва»: малое изменение λ роняет время жизни на много порядков.</w:t>
      </w:r>
    </w:p>
    <w:p>
      <w:pPr>
        <w:spacing w:after="11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Практическая значимость.</w:t>
      </w:r>
      <w:r>
        <w:rPr>
          <w:rFonts w:ascii="PT Serif" w:cs="PT Serif" w:eastAsia="PT Serif" w:hAnsi="PT Serif"/>
          <w:sz w:val="22"/>
          <w:szCs w:val="22"/>
        </w:rPr>
        <w:t xml:space="preserve"> Оценка k±, τ, p∞ за секунды по пяти ползункам, без решения ОДУ и без специализированного ПО; инструмент работает офлайн, одним переносимым файлом. Готовый экспорт таблицы пресетов в .docx прямо из браузера. Встроенный самоконтроль: на графиках показывается невязка замкнутой формулы с ОДУ — модель верифицирует себя на глазах, а не выдаёт «чёрный ящик».</w:t>
      </w:r>
    </w:p>
    <w:p>
      <w:pPr>
        <w:pStyle w:val="Heading2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4"/>
          <w:szCs w:val="24"/>
        </w:rPr>
        <w:t xml:space="preserve">Таблица 0. Применимость единой формулы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00"/>
      </w:tblGrid>
      <w:tr>
        <w:tc>
          <w:tcPr>
            <w:tcW w:type="dxa" w:w="2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Область</w:t>
            </w:r>
          </w:p>
        </w:tc>
        <w:tc>
          <w:tcPr>
            <w:tcW w:type="dxa" w:w="7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Что считает по модели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Материаловедение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Время жизни метастабильного состояния, старение и деградация сплавов (пресет «нихром λ→λ_c»: падение τ на 10,3 порядка при сдвиге λ на 3,4 %)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Квантовые устройства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Время релаксации T₁ кубита (τ = 50,9 мкс), туннельные потери, топологическая защита как большое ΔG/E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Ядерная химия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Период полураспада по Gamow-барьеру (²³⁸U: T½ = 4,58·10⁹ лет против опыта 4,47·10⁹)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СВЧ и низкотемпературная электроника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Фазовое скольжение в джозефсоновском переходе, туннелирование ВКБ (расхождение 0,1 %)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Химическая кинетика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Скорости реакций по Аррениусу как частный случай А6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ИТ и распределённые системы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Доставка события «ровно один раз» в очередях при конечном числе попыток (предельный случай λ→λ_c, ΔG = 0)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Финансы, диффузия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Диффузия Башелье как предел модели при ΔG ≪ 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Обучение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Демонстрация единого механизма за разнородными формулами курсов физики, химии и теории вероятностей</w:t>
            </w:r>
          </w:p>
        </w:tc>
      </w:tr>
    </w:tbl>
    <w:p>
      <w:pPr>
        <w:spacing w:after="120"/>
      </w:pPr>
    </w:p>
    <w:p>
      <w:pPr>
        <w:spacing w:after="11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Границы модели (для честного использования).</w:t>
      </w:r>
      <w:r>
        <w:rPr>
          <w:rFonts w:ascii="PT Serif" w:cs="PT Serif" w:eastAsia="PT Serif" w:hAnsi="PT Serif"/>
          <w:sz w:val="22"/>
          <w:szCs w:val="22"/>
        </w:rPr>
        <w:t xml:space="preserve"> Однобарьерный одностадийный переход в режиме равновесного «термостата» E. Модель НЕ описывает: многобарьерные ландшафты со связанными модами, когерентную динамику вне приближения слабой связи, кинетику с памятью, отклик быстрее времени релаксации. Это первое приближение с точным аналитическим решением — и в этом его сила: отклонение реального объекта от предсказания А6 само указывает, где нужна более сложная теория.</w:t>
      </w:r>
    </w:p>
    <w:p>
      <w:pPr>
        <w:pStyle w:val="Heading1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8"/>
          <w:szCs w:val="28"/>
        </w:rPr>
        <w:t xml:space="preserve">1. Что общего во всех материалах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Все источники, при всей их разнородности, описывают одну схему: есть состояния, есть переходы между ними, у перехода есть порог (барьер), а вероятность перехода — экспонента от отношения «барьер / движущее воздействие».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600"/>
      </w:tblGrid>
      <w:tr>
        <w:tc>
          <w:tcPr>
            <w:tcW w:type="dxa" w:w="2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7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Что вносит в общую схему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Рукописные заметки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Двухсостояние как базовый элемент; накопление энергии до порога; восстановление = третье состояние, а не возврат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Модель диссипативных структур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Потенциал Ландау V(θ,λ) с барьерами; критический масштаб λ_c, при котором барьер исчезает (бифуркация)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«Закон Овчинникова» (docx)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Идея связать масштаб, энергию и число состояний. Претензии на универсальность и «эксперименты» (нихром, Ковш Медведицы) научно не подтверждены: выборка из 3 звёзд, подгонка единиц. Из документа взят только корректный каркас — потенциал, показатель порядка, шумы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StockmanProof.py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Минимакс: среди ветвей переходов система выбирает путь по экстремальному критерию — аналог принципа наименьшего действия / наиболее вероятной траектории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Башелье (1900)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Диффузия вероятности: уравнение Фурье для плотности вероятности; разброс ∝ √t; нулевое матожидание как условие равновесия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Svix Quickstart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Машина состояний с доставкой событий: повторные попытки, идемпотентность, фильтры — инженерная реализация переходов с порогом и гарантией однократности</w:t>
            </w:r>
          </w:p>
        </w:tc>
      </w:tr>
    </w:tbl>
    <w:p>
      <w:pPr>
        <w:spacing w:after="120"/>
      </w:pP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Ключевое наблюдение Башелье, связывающее всё с квантовой физикой: </w:t>
      </w:r>
      <w:r>
        <w:rPr>
          <w:rFonts w:ascii="PT Serif" w:cs="PT Serif" w:eastAsia="PT Serif" w:hAnsi="PT Serif"/>
          <w:b/>
          <w:bCs/>
          <w:sz w:val="22"/>
          <w:szCs w:val="22"/>
        </w:rPr>
        <w:t xml:space="preserve">уравнение диффузии вероятности и уравнение Шрёдингера — одно уравнение с разным знаком мнимой единицы</w:t>
      </w:r>
      <w:r>
        <w:rPr>
          <w:rFonts w:ascii="PT Serif" w:cs="PT Serif" w:eastAsia="PT Serif" w:hAnsi="PT Serif"/>
          <w:sz w:val="22"/>
          <w:szCs w:val="22"/>
        </w:rPr>
        <w:t xml:space="preserve"> (поворот Вика t → iℏt). Поэтому модель, построенная на «диффузии + барьерах», автоматически применима к квантовым объектам.</w:t>
      </w:r>
    </w:p>
    <w:p>
      <w:pPr>
        <w:pStyle w:val="Heading1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8"/>
          <w:szCs w:val="28"/>
        </w:rPr>
        <w:t xml:space="preserve">2. Модель: шесть утверждений (А1–А6)</w:t>
      </w:r>
    </w:p>
    <w:p>
      <w:pPr>
        <w:spacing w:after="11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А1. Два состояния.</w:t>
      </w:r>
      <w:r>
        <w:rPr>
          <w:rFonts w:ascii="PT Serif" w:cs="PT Serif" w:eastAsia="PT Serif" w:hAnsi="PT Serif"/>
          <w:sz w:val="22"/>
          <w:szCs w:val="22"/>
        </w:rPr>
        <w:t xml:space="preserve"> Система находится в одном из состояний S₀, S₁ (дальше — их набор). Вероятность быть в S₁: p(t) ∈ [0,1].</w:t>
      </w:r>
    </w:p>
    <w:p>
      <w:pPr>
        <w:spacing w:after="11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А2. Барьер.</w:t>
      </w:r>
      <w:r>
        <w:rPr>
          <w:rFonts w:ascii="PT Serif" w:cs="PT Serif" w:eastAsia="PT Serif" w:hAnsi="PT Serif"/>
          <w:sz w:val="22"/>
          <w:szCs w:val="22"/>
        </w:rPr>
        <w:t xml:space="preserve"> Между состояниями — энергетический барьер ΔG. Из потенциала Ландау</w:t>
      </w:r>
    </w:p>
    <w:p>
      <w:pPr>
        <w:spacing w:after="110" w:before="60"/>
        <w:jc w:val="center"/>
      </w:pPr>
      <w:r>
        <w:rPr>
          <w:rFonts w:ascii="PT Serif" w:cs="PT Serif" w:eastAsia="PT Serif" w:hAnsi="PT Serif"/>
          <w:sz w:val="22"/>
          <w:szCs w:val="22"/>
        </w:rPr>
        <w:t xml:space="preserve">V(θ,λ) = −ε·cos(2πθ/θ_c) + ½·a(λ−λ_c)·θ² + (β/4!)·θ⁴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при приближении масштаба λ = L/L₀ к критическому λ_c барьер схлопывается по степенному закону</w:t>
      </w:r>
    </w:p>
    <w:p>
      <w:pPr>
        <w:spacing w:after="110" w:before="60"/>
        <w:jc w:val="center"/>
      </w:pPr>
      <w:r>
        <w:rPr>
          <w:rFonts w:ascii="PT Serif" w:cs="PT Serif" w:eastAsia="PT Serif" w:hAnsi="PT Serif"/>
          <w:sz w:val="22"/>
          <w:szCs w:val="22"/>
        </w:rPr>
        <w:t xml:space="preserve">ΔG(λ) = ΔG₀ · ( 1 − λ/λ_c )^(3/2),   λ &lt; λ_c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(Показатель 3/2 — стандартное среднее поле для седло-узловой бифуркации; это строгое следствие А2, а не гипотеза.)</w:t>
      </w:r>
    </w:p>
    <w:p>
      <w:pPr>
        <w:spacing w:after="11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А3. Воздействие.</w:t>
      </w:r>
      <w:r>
        <w:rPr>
          <w:rFonts w:ascii="PT Serif" w:cs="PT Serif" w:eastAsia="PT Serif" w:hAnsi="PT Serif"/>
          <w:sz w:val="22"/>
          <w:szCs w:val="22"/>
        </w:rPr>
        <w:t xml:space="preserve"> E — характерная энергия «движущего начала»: тепловая k_Б·T, полевого воздействия, квантовая ℏω. Переходом управляет именно отношение ΔG/E, а не барьер само по себе.</w:t>
      </w:r>
    </w:p>
    <w:p>
      <w:pPr>
        <w:spacing w:after="11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А4. Частота перехода.</w:t>
      </w:r>
    </w:p>
    <w:p>
      <w:pPr>
        <w:spacing w:after="110" w:before="60"/>
        <w:jc w:val="center"/>
      </w:pPr>
      <w:r>
        <w:rPr>
          <w:rFonts w:ascii="PT Serif" w:cs="PT Serif" w:eastAsia="PT Serif" w:hAnsi="PT Serif"/>
          <w:sz w:val="22"/>
          <w:szCs w:val="22"/>
        </w:rPr>
        <w:t xml:space="preserve">k± = ν · exp( −ΔG± / E )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где ν — частота попыток (молекулярная: 10¹² с⁻¹; квантовая: ω/2π; для α-частицы в ядре: 10²¹ с⁻¹).</w:t>
      </w:r>
    </w:p>
    <w:p>
      <w:pPr>
        <w:spacing w:after="11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А5. Эволюция вероятности (единственное уравнение модели).</w:t>
      </w:r>
    </w:p>
    <w:p>
      <w:pPr>
        <w:spacing w:after="110" w:before="60"/>
        <w:jc w:val="center"/>
      </w:pPr>
      <w:r>
        <w:rPr>
          <w:rFonts w:ascii="PT Serif" w:cs="PT Serif" w:eastAsia="PT Serif" w:hAnsi="PT Serif"/>
          <w:sz w:val="22"/>
          <w:szCs w:val="22"/>
        </w:rPr>
        <w:t xml:space="preserve">dp/dt = k₊(1 − p) − k₋·p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Модель — одно линейное ОДУ с экспоненциальными коэффициентами; решение записывается в одну строку, численные методы не нужны.</w:t>
      </w:r>
    </w:p>
    <w:p>
      <w:pPr>
        <w:spacing w:after="11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А6. Единая (мастер) форма.</w:t>
      </w:r>
      <w:r>
        <w:rPr>
          <w:rFonts w:ascii="PT Serif" w:cs="PT Serif" w:eastAsia="PT Serif" w:hAnsi="PT Serif"/>
          <w:sz w:val="22"/>
          <w:szCs w:val="22"/>
        </w:rPr>
        <w:t xml:space="preserve"> А2, А4, А5 и их решение сворачиваются в одну зависимость:</w:t>
      </w:r>
    </w:p>
    <w:p>
      <w:pPr>
        <w:pBdr>
          <w:top w:val="single" w:color="1F3864" w:sz="12" w:space="8"/>
          <w:bottom w:val="single" w:color="1F3864" w:sz="12" w:space="8"/>
        </w:pBdr>
        <w:spacing w:after="60" w:before="16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p(t) = [ 1 + ( p₀·R − 1 ) · exp( −ν·t·R·e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−ΔG/E</w:t>
      </w:r>
      <w:r>
        <w:rPr>
          <w:rFonts w:ascii="Cambria Math" w:cs="Cambria Math" w:eastAsia="Cambria Math" w:hAnsi="Cambria Math"/>
          <w:sz w:val="22"/>
          <w:szCs w:val="22"/>
        </w:rPr>
        <w:t xml:space="preserve"> ) ] / R</w:t>
      </w:r>
    </w:p>
    <w:p>
      <w:pPr>
        <w:spacing w:after="110" w:before="60"/>
        <w:jc w:val="center"/>
      </w:pPr>
      <w:r>
        <w:rPr>
          <w:rFonts w:ascii="PT Serif" w:cs="PT Serif" w:eastAsia="PT Serif" w:hAnsi="PT Serif"/>
          <w:sz w:val="22"/>
          <w:szCs w:val="22"/>
        </w:rPr>
        <w:t xml:space="preserve">ΔG = ΔG₀·(1 − λ/λ_c)^(3/2),      R = 1 + exp( −δ/E ),      E = k_Б·T  или  ℏω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Здесь p₀ — вероятность в начальный момент, δ = E₁ − E₀ — разность глубин состояний. Всё остальное в модели — предельные случаи этой строки (§3.4).</w:t>
      </w:r>
    </w:p>
    <w:p>
      <w:pPr>
        <w:pStyle w:val="Heading1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8"/>
          <w:szCs w:val="28"/>
        </w:rPr>
        <w:t xml:space="preserve">3. Решение и четыре следствия</w:t>
      </w:r>
    </w:p>
    <w:p>
      <w:pPr>
        <w:spacing w:after="110" w:before="60"/>
        <w:jc w:val="center"/>
      </w:pPr>
      <w:r>
        <w:rPr>
          <w:rFonts w:ascii="PT Serif" w:cs="PT Serif" w:eastAsia="PT Serif" w:hAnsi="PT Serif"/>
          <w:sz w:val="22"/>
          <w:szCs w:val="22"/>
        </w:rPr>
        <w:t xml:space="preserve">p(t) = p∞ + (p₀ − p∞)·e^(−t/τ),      τ = 1/(k₊+k₋),      p∞ = k₊/(k₊+k₋)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1. </w:t>
      </w:r>
      <w:r>
        <w:rPr>
          <w:rFonts w:ascii="PT Serif" w:cs="PT Serif" w:eastAsia="PT Serif" w:hAnsi="PT Serif"/>
          <w:b/>
          <w:bCs/>
          <w:sz w:val="22"/>
          <w:szCs w:val="22"/>
        </w:rPr>
        <w:t xml:space="preserve">Время жизни состояния:</w:t>
      </w:r>
      <w:r>
        <w:rPr>
          <w:rFonts w:ascii="PT Serif" w:cs="PT Serif" w:eastAsia="PT Serif" w:hAnsi="PT Serif"/>
          <w:sz w:val="22"/>
          <w:szCs w:val="22"/>
        </w:rPr>
        <w:t xml:space="preserve"> τ = ν⁻¹·e^(ΔG/E) — экспоненциально растёт с барьером и катастрофически падает при λ → λ_c (объясняет «мгновенность» фазовых переходов и разрушений).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2. </w:t>
      </w:r>
      <w:r>
        <w:rPr>
          <w:rFonts w:ascii="PT Serif" w:cs="PT Serif" w:eastAsia="PT Serif" w:hAnsi="PT Serif"/>
          <w:b/>
          <w:bCs/>
          <w:sz w:val="22"/>
          <w:szCs w:val="22"/>
        </w:rPr>
        <w:t xml:space="preserve">Равновесие (детальное равновесие):</w:t>
      </w:r>
      <w:r>
        <w:rPr>
          <w:rFonts w:ascii="PT Serif" w:cs="PT Serif" w:eastAsia="PT Serif" w:hAnsi="PT Serif"/>
          <w:sz w:val="22"/>
          <w:szCs w:val="22"/>
        </w:rPr>
        <w:t xml:space="preserve"> если ΔG₊ − ΔG₋ = E₁ − E₀, то</w:t>
      </w:r>
    </w:p>
    <w:p>
      <w:pPr>
        <w:spacing w:after="110" w:before="60"/>
        <w:jc w:val="center"/>
      </w:pPr>
      <w:r>
        <w:rPr>
          <w:rFonts w:ascii="PT Serif" w:cs="PT Serif" w:eastAsia="PT Serif" w:hAnsi="PT Serif"/>
          <w:sz w:val="22"/>
          <w:szCs w:val="22"/>
        </w:rPr>
        <w:t xml:space="preserve">p∞ / (1 − p∞) = exp( −(E₁−E₀)/E )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— распределение Больцмана получается само, без дополнительных допущений.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3. </w:t>
      </w:r>
      <w:r>
        <w:rPr>
          <w:rFonts w:ascii="PT Serif" w:cs="PT Serif" w:eastAsia="PT Serif" w:hAnsi="PT Serif"/>
          <w:b/>
          <w:bCs/>
          <w:sz w:val="22"/>
          <w:szCs w:val="22"/>
        </w:rPr>
        <w:t xml:space="preserve">Диффузионный предел (мост к Башелье):</w:t>
      </w:r>
      <w:r>
        <w:rPr>
          <w:rFonts w:ascii="PT Serif" w:cs="PT Serif" w:eastAsia="PT Serif" w:hAnsi="PT Serif"/>
          <w:sz w:val="22"/>
          <w:szCs w:val="22"/>
        </w:rPr>
        <w:t xml:space="preserve"> при малых барьерах (ΔG ≪ E) разложение экспоненты даёт дрейф-диффузионное уравнение</w:t>
      </w:r>
    </w:p>
    <w:p>
      <w:pPr>
        <w:spacing w:after="110" w:before="60"/>
        <w:jc w:val="center"/>
      </w:pPr>
      <w:r>
        <w:rPr>
          <w:rFonts w:ascii="PT Serif" w:cs="PT Serif" w:eastAsia="PT Serif" w:hAnsi="PT Serif"/>
          <w:sz w:val="22"/>
          <w:szCs w:val="22"/>
        </w:rPr>
        <w:t xml:space="preserve">∂P/∂t = D·∂²P/∂x² − ∂(μ·F·P)/∂x,      D = μ·E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т.е. ровно уравнение Фурье из «Теории спекуляций» и соотношение Эйнштейна (флуктуационно-диссипативная теорема). Разброс за время t: √⟨x²⟩ ∝ √t — закон Башелье.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4. </w:t>
      </w:r>
      <w:r>
        <w:rPr>
          <w:rFonts w:ascii="PT Serif" w:cs="PT Serif" w:eastAsia="PT Serif" w:hAnsi="PT Serif"/>
          <w:b/>
          <w:bCs/>
          <w:sz w:val="22"/>
          <w:szCs w:val="22"/>
        </w:rPr>
        <w:t xml:space="preserve">Мастер-форма (А6)</w:t>
      </w:r>
      <w:r>
        <w:rPr>
          <w:rFonts w:ascii="PT Serif" w:cs="PT Serif" w:eastAsia="PT Serif" w:hAnsi="PT Serif"/>
          <w:sz w:val="22"/>
          <w:szCs w:val="22"/>
        </w:rPr>
        <w:t xml:space="preserve"> — то же решение, записанное через исходные параметры:</w:t>
      </w:r>
    </w:p>
    <w:p>
      <w:pPr>
        <w:spacing w:after="110" w:before="6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p(t) = [ 1 + ( p₀·R − 1 ) · exp( −ν·t·R·e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−ΔG/E</w:t>
      </w:r>
      <w:r>
        <w:rPr>
          <w:rFonts w:ascii="Cambria Math" w:cs="Cambria Math" w:eastAsia="Cambria Math" w:hAnsi="Cambria Math"/>
          <w:sz w:val="22"/>
          <w:szCs w:val="22"/>
        </w:rPr>
        <w:t xml:space="preserve"> ) ] / R</w:t>
      </w:r>
    </w:p>
    <w:p>
      <w:pPr>
        <w:pStyle w:val="Heading2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4"/>
          <w:szCs w:val="24"/>
        </w:rPr>
        <w:t xml:space="preserve">3.4. Что сворачивается в мастер-формулу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100"/>
      </w:tblGrid>
      <w:tr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Взять из А6</w:t>
            </w:r>
          </w:p>
        </w:tc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Получится</w:t>
            </w:r>
          </w:p>
        </w:tc>
        <w:tc>
          <w:tcPr>
            <w:tcW w:type="dxa" w:w="3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Это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t → ∞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p∞ = 1/R = 1/(1 + e^(−δ/E))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распределение Больцмана (следствие 2)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показатель при экспоненте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τ = e^(ΔG/E) / (ν·R)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время жизни (следствие 1)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продифференцировать по t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dp/dt = k₊(1−p) − k₋p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уравнение А5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подставить ΔG из А2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τ(λ) = ν⁻¹·e^(ΔG₀(1−λ/λ_c)^(3/2)/E)/R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«эффект прорыва»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ΔG_ij между всеми парами состояний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dp/dt = K·p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векторная форма, §8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 ≪ E, разложить e^(−ΔG/E)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∂P/∂t = D·∂²P/∂x²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диффузия Башелье (следствие 3)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 ↔ Δ², E ↔ ℏv/2π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P = exp( −2πΔ²/ℏv )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Ландау–Зенера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ΔG/E ↔ (2/ℏ)∫√(2m(V−E))dx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T ≈ e^(−2κd)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туннелирование ВКБ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ν = 10²¹ с⁻¹, ΔG = 5 эВ, δ &gt; 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T½ = ln2/k₊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α-распад (Гамов)</w:t>
            </w:r>
          </w:p>
        </w:tc>
      </w:tr>
    </w:tbl>
    <w:p>
      <w:pPr>
        <w:spacing w:after="120"/>
      </w:pPr>
    </w:p>
    <w:p>
      <w:pPr>
        <w:spacing w:after="11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Проверка А6.</w:t>
      </w:r>
      <w:r>
        <w:rPr>
          <w:rFonts w:ascii="PT Serif" w:cs="PT Serif" w:eastAsia="PT Serif" w:hAnsi="PT Serif"/>
          <w:sz w:val="22"/>
          <w:szCs w:val="22"/>
        </w:rPr>
        <w:t xml:space="preserve"> Формула сверена численно с точным решением ОДУ А5 на шести случайных наборах параметров: p₀ ∈ [0,1], ν = 10⁶…10¹² с⁻¹, ΔG₀ = 0,05…1,5 эВ, λ/λ_c = 0…0,95, δ = −0,5…0,5 эВ, E = 2·10⁻³…0,3 эВ. Максимальное расхождение — 2·10⁻¹¹ (машинная точность).</w:t>
      </w:r>
    </w:p>
    <w:p>
      <w:pPr>
        <w:spacing w:after="11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Замечание о «третьем состоянии» из заметок.</w:t>
      </w:r>
      <w:r>
        <w:rPr>
          <w:rFonts w:ascii="PT Serif" w:cs="PT Serif" w:eastAsia="PT Serif" w:hAnsi="PT Serif"/>
          <w:sz w:val="22"/>
          <w:szCs w:val="22"/>
        </w:rPr>
        <w:t xml:space="preserve"> Восстановленное состояние не совпадает с исходным: в модели это видно точно — после перехода с последующей релаксацией система занимает p∞, а не p₀; множество достижимых состояний при переходе строго больше исходного (3-узловой граф 0′ ⇄ 0″ → 0-3n из листка ⑤–⑥ — это первая цепь Маркова с тремя состояниями; она покрывается уравнением А5, записанным векторно: dp/dt = K·p с матрицей переходов 3×3, см. §8).</w:t>
      </w:r>
    </w:p>
    <w:p>
      <w:pPr>
        <w:spacing w:after="0"/>
      </w:pPr>
      <w:r>
        <w:br w:type="page"/>
      </w:r>
    </w:p>
    <w:p>
      <w:pPr>
        <w:pStyle w:val="Heading1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8"/>
          <w:szCs w:val="28"/>
        </w:rPr>
        <w:t xml:space="preserve">4. Применимость к квантовой физике (без квантовости самой модели)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Модель А1–А6 — классическая (теория скоростей переходов), но её формулы дословно воспроизводят квантовые результаты: в квантовых системах те же экспоненты от «барьер / воздействие».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00"/>
      </w:tblGrid>
      <w:tr>
        <w:tc>
          <w:tcPr>
            <w:tcW w:type="dxa" w:w="34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Квантовое явление</w:t>
            </w:r>
          </w:p>
        </w:tc>
        <w:tc>
          <w:tcPr>
            <w:tcW w:type="dxa" w:w="6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Как выглядит в модели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Двухуровневый атом в излучении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А5 с k± = коэффициенты Эйнштейна; τ = время релаксации T₁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Туннелирование (ВКБ)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А4 с барьером, проходимым «сквозь» стену: T ≈ e^(−2∫√(2m(V−E))dx/ℏ) — та же форма e^(−ΔG/E)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Распад метастабильного состояния (Крамерс)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А4 + А2: k ∝ e^(−ΔV/k_БT) — фазовые скольжения в джозефсоновских переходах, распад ложного вакуума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Переход Ландау–Зенера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P = e^(−2πΔ²/ℏv) — экспонента от «щель² / скорость прохождения»: снова А4, где роль барьера играет щель Δ, а E — скорость v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Декогеренция кубита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Шумовой член в А5: dp/dt = −p/T₁ + ξ(t) — уравнение Ланжевена из «Модели диссипативных структур» в двухсостоятельном базисе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Защита кубитов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А2: пока ΔG ≫ E (топологический барьер), τ экспоненциально велика — «топологическая защита» есть просто большое ΔG/E</w:t>
            </w:r>
          </w:p>
        </w:tc>
      </w:tr>
    </w:tbl>
    <w:p>
      <w:pPr>
        <w:spacing w:after="120"/>
      </w:pP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То есть модель не «квантовая» (не содержит волновых функций, операторов, ℏ в аксиомах), но её предсказания совпадают с квантовыми по форме и порядку величины во всех перечисленных режимах. Числа — в §10.</w:t>
      </w:r>
    </w:p>
    <w:p>
      <w:pPr>
        <w:pStyle w:val="Heading1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8"/>
          <w:szCs w:val="28"/>
        </w:rPr>
        <w:t xml:space="preserve">5. Числовая проверка (в одну арифметическую строку)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Возьмём: ν = 10¹² с⁻¹, ΔG₀ = 0,9 эВ, E = k_Б·T = 0,0378 эВ (T ≈ 438,5 К), δ = 0,5 эВ.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PT Serif" w:cs="PT Serif" w:eastAsia="PT Serif" w:hAnsi="PT Serif"/>
          <w:sz w:val="22"/>
          <w:szCs w:val="22"/>
        </w:rPr>
        <w:t xml:space="preserve">Далеко от критической точки (λ ≪ λ_c): ΔG/E = 23,80; k₊ = 10¹²·e⁻²³·⁸⁰ = 46,0 с⁻¹, τ = 21,7 мс — состояние живёт «долго».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PT Serif" w:cs="PT Serif" w:eastAsia="PT Serif" w:hAnsi="PT Serif"/>
          <w:sz w:val="22"/>
          <w:szCs w:val="22"/>
        </w:rPr>
        <w:t xml:space="preserve">При λ = 0,966 λ_c: барьер ΔG = ΔG₀(0,034)^(3/2) ≈ 5,64 мэВ, ΔG/E = 0,149; k₊ = 8,61·10¹¹ с⁻¹, τ = 1,16 пс.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Время жизни упало на </w:t>
      </w:r>
      <w:r>
        <w:rPr>
          <w:rFonts w:ascii="PT Serif" w:cs="PT Serif" w:eastAsia="PT Serif" w:hAnsi="PT Serif"/>
          <w:b/>
          <w:bCs/>
          <w:sz w:val="22"/>
          <w:szCs w:val="22"/>
        </w:rPr>
        <w:t xml:space="preserve">10,3 порядка</w:t>
      </w:r>
      <w:r>
        <w:rPr>
          <w:rFonts w:ascii="PT Serif" w:cs="PT Serif" w:eastAsia="PT Serif" w:hAnsi="PT Serif"/>
          <w:sz w:val="22"/>
          <w:szCs w:val="22"/>
        </w:rPr>
        <w:t xml:space="preserve"> при изменении масштаба на 3 % — вот что в заметках названо «прорывом без прожигания ячейки», а в термодинамике — бифуркацией/разрушением. Это же объясняет, почему «старое и новое состояния не имеют преимуществ» (пункт ⑤ заметок): до λ_c оба минимума сосуществуют, выбор делает шум.</w:t>
      </w:r>
    </w:p>
    <w:p>
      <w:pPr>
        <w:spacing w:after="140"/>
      </w:pPr>
      <w:r>
        <w:rPr>
          <w:rFonts w:ascii="PT Serif" w:cs="PT Serif" w:eastAsia="PT Serif" w:hAnsi="PT Serif"/>
          <w:i/>
          <w:iCs/>
          <w:color w:val="5A5A5A"/>
          <w:sz w:val="20"/>
          <w:szCs w:val="20"/>
        </w:rPr>
        <w:t xml:space="preserve">Ранее в этом пункте было напечатано E = 0,09 эВ. При таком E показатели ΔG/E равны 10 и 0,062, а времена жизни — 22 нс и 1,1 пс, то есть разрыв в 4,3 порядка вместо заявленных 10. Правильное E = 0,0378 эВ — проверено численно (см. §11, п. 1).</w:t>
      </w:r>
    </w:p>
    <w:p>
      <w:pPr>
        <w:pStyle w:val="Heading1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8"/>
          <w:szCs w:val="28"/>
        </w:rPr>
        <w:t xml:space="preserve">6. Границы применимости и честный статус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PT Serif" w:cs="PT Serif" w:eastAsia="PT Serif" w:hAnsi="PT Serif"/>
          <w:sz w:val="22"/>
          <w:szCs w:val="22"/>
        </w:rPr>
        <w:t xml:space="preserve">Модель строго выводится из потенциала Ландау + детального равновесия; она не противоречит второму началу (dF/dt ≤ 0 вдоль А5).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PT Serif" w:cs="PT Serif" w:eastAsia="PT Serif" w:hAnsi="PT Serif"/>
          <w:sz w:val="22"/>
          <w:szCs w:val="22"/>
        </w:rPr>
        <w:t xml:space="preserve">Показатель 3/2 в А2 — среднее поле; в реальных системах близ λ_c его уточняют флуктуационные поправки (критические экспоненты).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PT Serif" w:cs="PT Serif" w:eastAsia="PT Serif" w:hAnsi="PT Serif"/>
          <w:sz w:val="22"/>
          <w:szCs w:val="22"/>
        </w:rPr>
        <w:t xml:space="preserve">Модель не универсальна: числа вида λ_c = 8,28 из документов — калибровка под конкретные образцы, а не константа природы; «астрономические» и «биологические» подтверждения из docx-документа статистически не обоснованы и в модель не входят.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PT Serif" w:cs="PT Serif" w:eastAsia="PT Serif" w:hAnsi="PT Serif"/>
          <w:sz w:val="22"/>
          <w:szCs w:val="22"/>
        </w:rPr>
        <w:t xml:space="preserve">Когерентные квантовые эффекты (осцилляции Раби, интерференция) требуют замены классических вероятностей на матрицу плотности: dρ/dt = −(i/ℏ)[H,ρ] + {те же k± диссипаторы} — структура А5 сохраняется.</w:t>
      </w:r>
    </w:p>
    <w:p>
      <w:pPr>
        <w:pStyle w:val="Heading1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8"/>
          <w:szCs w:val="28"/>
        </w:rPr>
        <w:t xml:space="preserve">7. Итог в одном абзаце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Любая из представленных систем — химический переход, разрушение нихрома, бифуркация решётки, ценовой скачок по Башелье, доставка вебхука с повторами, минимаксный выбор хода, квантовый туннельный переход — описывается единой зависимостью p(t) = [1 + (p₀R − 1)·exp(−νtR·e^(−ΔG/E))]/R, где ΔG = ΔG₀(1 − λ/λ_c)^(3/2), R = 1 + e^(−δ/E), а E = k_Б·T или ℏω. Две аксиомы, одна формула, экспоненциальное решение, проверяемое секундомером.</w:t>
      </w:r>
    </w:p>
    <w:p>
      <w:pPr>
        <w:pStyle w:val="Heading1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8"/>
          <w:szCs w:val="28"/>
        </w:rPr>
        <w:t xml:space="preserve">8. Векторная форма: три состояния и «множество восстановлений»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Листки ⑤–⑥ («восстановление — это другой объект (состояние)», граф 0′ ⇄ 0″, 0-1n → 0-2n → 0-3n) формализуются цепью Маркова с тремя состояниями, решаемой аналитически.</w:t>
      </w:r>
    </w:p>
    <w:p>
      <w:pPr>
        <w:pStyle w:val="Heading2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4"/>
          <w:szCs w:val="24"/>
        </w:rPr>
        <w:t xml:space="preserve">8.1. Постановка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PT Serif" w:cs="PT Serif" w:eastAsia="PT Serif" w:hAnsi="PT Serif"/>
          <w:sz w:val="22"/>
          <w:szCs w:val="22"/>
        </w:rPr>
        <w:t xml:space="preserve">S₁ ≡ 0′ — исходное («старое») состояние;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PT Serif" w:cs="PT Serif" w:eastAsia="PT Serif" w:hAnsi="PT Serif"/>
          <w:sz w:val="22"/>
          <w:szCs w:val="22"/>
        </w:rPr>
        <w:t xml:space="preserve">S₂ ≡ 0″ — переходное (после «прорыва»);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PT Serif" w:cs="PT Serif" w:eastAsia="PT Serif" w:hAnsi="PT Serif"/>
          <w:sz w:val="22"/>
          <w:szCs w:val="22"/>
        </w:rPr>
        <w:t xml:space="preserve">S₃ ≡ 0-3n — восстановленное третье: возвращение «к исходному» через иное множество энергий.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Скорости переходов (все — вида А4): a: S₁→S₂; b: S₂→S₁ (идеальное обратимое восстановление); c: S₁→S₃ (восстановление «с потерей свойств», т.е. в новое состояние).</w:t>
      </w:r>
    </w:p>
    <w:p>
      <w:pPr>
        <w:spacing w:after="110" w:before="60"/>
        <w:jc w:val="center"/>
      </w:pPr>
      <w:r>
        <w:rPr>
          <w:rFonts w:ascii="PT Serif" w:cs="PT Serif" w:eastAsia="PT Serif" w:hAnsi="PT Serif"/>
          <w:sz w:val="22"/>
          <w:szCs w:val="22"/>
        </w:rPr>
        <w:t xml:space="preserve">dp/dt = K·p,      K = [ −(a+c)   b   0 ;  a   −b   0 ;  c   0   0 ]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Столбцы K дают нуль — вероятность сохраняется: p₁ + p₂ + p₃ = 1 при любом t.</w:t>
      </w:r>
    </w:p>
    <w:p>
      <w:pPr>
        <w:pStyle w:val="Heading2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4"/>
          <w:szCs w:val="24"/>
        </w:rPr>
        <w:t xml:space="preserve">8.2. Аналитическое решение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Спектр K: одно собственное значение μ₀ = 0 (закон сохранения) и два корня квадратного уравнения по блоку S₁ ⇄ S₂:</w:t>
      </w:r>
    </w:p>
    <w:p>
      <w:pPr>
        <w:spacing w:after="110" w:before="60"/>
        <w:jc w:val="center"/>
      </w:pPr>
      <w:r>
        <w:rPr>
          <w:rFonts w:ascii="PT Serif" w:cs="PT Serif" w:eastAsia="PT Serif" w:hAnsi="PT Serif"/>
          <w:sz w:val="22"/>
          <w:szCs w:val="22"/>
        </w:rPr>
        <w:t xml:space="preserve">μ± = −(a+b+c)/2 ± ½·√( (a+b+c)² − 4bc ) &lt; 0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При старте «система точно в S₁» (p(0) = (1,0,0)):</w:t>
      </w:r>
    </w:p>
    <w:p>
      <w:pPr>
        <w:spacing w:after="110" w:before="60"/>
        <w:jc w:val="center"/>
      </w:pPr>
      <w:r>
        <w:rPr>
          <w:rFonts w:ascii="PT Serif" w:cs="PT Serif" w:eastAsia="PT Serif" w:hAnsi="PT Serif"/>
          <w:sz w:val="22"/>
          <w:szCs w:val="22"/>
        </w:rPr>
        <w:t xml:space="preserve">p₁(t) = [ −(a+c−μ₋)·e^(μ₊t) + (a+c+μ₊)·e^(μ₋t) ] / (μ₊−μ₋)</w:t>
      </w:r>
    </w:p>
    <w:p>
      <w:pPr>
        <w:spacing w:after="110" w:before="60"/>
        <w:jc w:val="center"/>
      </w:pPr>
      <w:r>
        <w:rPr>
          <w:rFonts w:ascii="PT Serif" w:cs="PT Serif" w:eastAsia="PT Serif" w:hAnsi="PT Serif"/>
          <w:sz w:val="22"/>
          <w:szCs w:val="22"/>
        </w:rPr>
        <w:t xml:space="preserve">p₂(t) = a·( e^(μ₊t) − e^(μ₋t) ) / (μ₊−μ₋),      p₃(t) = 1 − p₁(t) − p₂(t)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Два времени релаксации τ± = 1/|μ±| — «быстрый» обмен 0′ ⇄ 0″ и «медленная» утечка в третье состояние.</w:t>
      </w:r>
    </w:p>
    <w:p>
      <w:pPr>
        <w:pStyle w:val="Heading2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4"/>
          <w:szCs w:val="24"/>
        </w:rPr>
        <w:t xml:space="preserve">8.3. Что отсюда следует строго</w:t>
      </w:r>
    </w:p>
    <w:p>
      <w:pPr>
        <w:spacing w:after="11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Т1. Восстановление — другой объект.</w:t>
      </w:r>
      <w:r>
        <w:rPr>
          <w:rFonts w:ascii="PT Serif" w:cs="PT Serif" w:eastAsia="PT Serif" w:hAnsi="PT Serif"/>
          <w:sz w:val="22"/>
          <w:szCs w:val="22"/>
        </w:rPr>
        <w:t xml:space="preserve"> Если c &gt; 0, то S₃ — поглощающее состояние: p(∞) = (0,0,1). Исходное состояние при наличии хоть одного «неидеального» канала возврата не достигается снова с вероятностью 1. Это точная формализация пункта ⑤ заметок.</w:t>
      </w:r>
    </w:p>
    <w:p>
      <w:pPr>
        <w:spacing w:after="11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Т2. Предел обратимости.</w:t>
      </w:r>
      <w:r>
        <w:rPr>
          <w:rFonts w:ascii="PT Serif" w:cs="PT Serif" w:eastAsia="PT Serif" w:hAnsi="PT Serif"/>
          <w:sz w:val="22"/>
          <w:szCs w:val="22"/>
        </w:rPr>
        <w:t xml:space="preserve"> При c = 0: p₃ ≡ 0, остаётся пара (А5) с p∞ = b/(a+b) = 1/(1 + e^(δ/E)) — снова Больцман; «ни одно из состояний не имеет преимуществ» — это равенство p∞ обоих минимумов при δ = 0.</w:t>
      </w:r>
    </w:p>
    <w:p>
      <w:pPr>
        <w:spacing w:after="11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Т3. Иерархия 0-1n → 0-2n → 0-3n.</w:t>
      </w:r>
      <w:r>
        <w:rPr>
          <w:rFonts w:ascii="PT Serif" w:cs="PT Serif" w:eastAsia="PT Serif" w:hAnsi="PT Serif"/>
          <w:sz w:val="22"/>
          <w:szCs w:val="22"/>
        </w:rPr>
        <w:t xml:space="preserve"> Если сделать c тоже каналом в следующую пару состояний (рекурсия графа листка ⑥), получаем цепочку поглощающих цепей: число достижимых состояний растёт с каждым циклом «переход → восстановление», а исходное монотонно теряет вероятность (p₁ — убывающая функция t при любых a,b,c &gt; 0).</w:t>
      </w:r>
    </w:p>
    <w:p>
      <w:pPr>
        <w:spacing w:after="11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Т4. Связь с остальными материалами.</w:t>
      </w:r>
      <w:r>
        <w:rPr>
          <w:rFonts w:ascii="PT Serif" w:cs="PT Serif" w:eastAsia="PT Serif" w:hAnsi="PT Serif"/>
          <w:sz w:val="22"/>
          <w:szCs w:val="22"/>
        </w:rPr>
        <w:t xml:space="preserve"> StockmanProof.py: K — та же матрица выигрышей на дереве, развёрнутая во времени; минимаксное значение — стационар K. Svix: S₃ с c-каналом — «exactly once»: попытки доставки (a,b) идут, пока событие не попало в поглощающее «acked»; eventId-идемпотентность запрещает повторный вход из S₃. Башелье: K — дискретный аналог генератора теплопроводности, μ± — дискретные собственные моды −D·n²π²/L².</w:t>
      </w:r>
    </w:p>
    <w:p>
      <w:pPr>
        <w:pStyle w:val="Heading2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4"/>
          <w:szCs w:val="24"/>
        </w:rPr>
        <w:t xml:space="preserve">8.4. Числовой пример (проверен сравнением с точным e^(Kt))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a = b = 10⁶ с⁻¹ (барьер снят, λ ≈ λ_c), c = 10³ с⁻¹ (остаточный «прожиг», маловероятный канал): μ₊ ≈ −5·10² с⁻¹ (быстрый обмен 0′ ⇄ 0″: τ_быстр ≈ 0,5 мкс; пара уравнивается за несколько мкс с p₁ ≈ p₂ ≈ 0,49), μ₋ ≈ −2·10⁶ с⁻¹ (медленная утечка: τ_медл ≈ 2 мс — в 0-3n система оседает за ~3τ_медл ≈ 6 мс; сверка закрытой формы с e^(Kt): расхождение &lt; 10⁻⁴). «Одно неидеальное восстановление на 10³ попыток» — тот самый «резерв на потери, действующий на направление восстановления» из листка ⑥, в модели — просто малое c.</w:t>
      </w:r>
    </w:p>
    <w:p>
      <w:pPr>
        <w:spacing w:after="0"/>
      </w:pPr>
      <w:r>
        <w:br w:type="page"/>
      </w:r>
    </w:p>
    <w:p>
      <w:pPr>
        <w:pStyle w:val="Heading1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8"/>
          <w:szCs w:val="28"/>
        </w:rPr>
        <w:t xml:space="preserve">9. Итоговая карта модели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100"/>
        <w:gridCol w:w="3500"/>
      </w:tblGrid>
      <w:tr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2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Уравнение</w:t>
            </w:r>
          </w:p>
        </w:tc>
        <w:tc>
          <w:tcPr>
            <w:tcW w:type="dxa" w:w="2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Решение</w:t>
            </w:r>
          </w:p>
        </w:tc>
        <w:tc>
          <w:tcPr>
            <w:tcW w:type="dxa" w:w="3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Отвечает на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Два состояния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dp/dt = k₊(1−p) − k₋p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p = p∞ + (p₀−p∞)e^(−t/τ)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когда случится переход, сколько он идёт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Барьер ↔ масштаб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 = ΔG₀(1−λ/λ_c)^(3/2)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подстановка в А4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почему у критической точки всё «мгновенно»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Три состояния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dp/dt = K·p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e^(μ±t), Т1–Т3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почему возврат — это новое состояние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Предел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 ≪ 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∂P/∂t = D·∂²P/∂x²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диффузия Башелье = Шрёдингер (Вик)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Единая форма (А6)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p(t) = [1+(p₀R−1)e^(−νtR·e^(−ΔG/E))]/R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все строки выше — её пределы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одна зависимость на всё</w:t>
            </w:r>
          </w:p>
        </w:tc>
      </w:tr>
    </w:tbl>
    <w:p>
      <w:pPr>
        <w:spacing w:after="120"/>
      </w:pP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Все уровни проверяются одной арифметикой и реализованы в интерактивном калькуляторе </w:t>
      </w:r>
      <w:r>
        <w:rPr>
          <w:rFonts w:ascii="PT Serif" w:cs="PT Serif" w:eastAsia="PT Serif" w:hAnsi="PT Serif"/>
          <w:b/>
          <w:bCs/>
          <w:sz w:val="22"/>
          <w:szCs w:val="22"/>
        </w:rPr>
        <w:t xml:space="preserve">kalkulyator-pap.html</w:t>
      </w:r>
      <w:r>
        <w:rPr>
          <w:rFonts w:ascii="PT Serif" w:cs="PT Serif" w:eastAsia="PT Serif" w:hAnsi="PT Serif"/>
          <w:sz w:val="22"/>
          <w:szCs w:val="22"/>
        </w:rPr>
        <w:t xml:space="preserve"> (ползунки ΔG₀, λ/λ_c, T, ν, δ и a, b, c; графики τ(λ), p(t), яма V(θ) и три состояния; панель «Единая формула» показывает А6 с подставленными числами и копирует снимок расчёта в Markdown).</w:t>
      </w:r>
    </w:p>
    <w:p>
      <w:pPr>
        <w:pStyle w:val="Heading1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8"/>
          <w:szCs w:val="28"/>
        </w:rPr>
        <w:t xml:space="preserve">10. Пресеты: квантовые частные случаи в числах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Каждая строка — набор параметров, при котором А4/А6 дословно воспроизводит табличную формулу. Все числа пересчитаны (калькулятор, панель «Квантовые частные случаи»). Колонка «A6↔A5» — относительная невязка замкнутой формы А6 с ОДУ А5: в каждом пресете равна 0 до машинной точности, поскольку ν·R·e^(−ΔG/E) ≡ k₊ + k₋ — тождество (при R = 1 + e^(−δ/E)), а не подгонка; сверка интегрированием на случайных наборах (§2.5) даёт ~2·10⁻¹¹ — предел точности схемы.</w:t>
      </w:r>
    </w:p>
    <w:tbl>
      <w:tblPr>
        <w:tblW w:type="dxa" w:w="9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3350"/>
        <w:gridCol w:w="3500"/>
        <w:gridCol w:w="950"/>
      </w:tblGrid>
      <w:tr>
        <w:tc>
          <w:tcPr>
            <w:tcW w:type="dxa" w:w="175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Пресет</w:t>
            </w:r>
          </w:p>
        </w:tc>
        <w:tc>
          <w:tcPr>
            <w:tcW w:type="dxa" w:w="335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Подстановка</w:t>
            </w:r>
          </w:p>
        </w:tc>
        <w:tc>
          <w:tcPr>
            <w:tcW w:type="dxa" w:w="3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Что получается</w:t>
            </w:r>
          </w:p>
        </w:tc>
        <w:tc>
          <w:tcPr>
            <w:tcW w:type="dxa" w:w="95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A6↔A5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Ландау–Зенера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 = Δ = 1,654·10⁻⁵ эВ (щель 4 ГГц), E = 1,653·10⁻⁵ эВ (T = 0,192 К), ν = 10⁹ с⁻¹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ΔG/E = 1,000 ⇒ P_недиааб = e⁻¹ = 0,368 за прохождение; v = 2πΔ²/ℏ = 2,61 МэВ/с; k₊ = 3,68·10⁸ с⁻¹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Туннелирование (ВКБ)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 = 0,3 эВ, E = 5,35·10⁻² эВ (T = 620,9 К), ν = 10¹⁴ с⁻¹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ΔG/E = 5,606 против 2κd = 10,245·√V·d = 5,611 для барьера 0,3 эВ × 1 нм — расхождение 0,1 %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α-распад (Гамов)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 = 5 эВ, E = 5,667·10⁻² эВ (T = 657,7 К), ν = 10²¹ с⁻¹, δ = 0,5 эВ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ΔG/E = 88,23, k₊ = 4,80·10⁻¹⁸ с⁻¹ ⇒ T½ = ln2/k₊ = 4,58·10⁹ лет (²³⁸U; опыт 4,47·10⁹ лет)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Фазовое скольжение JJ (Крамерс)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 = 1,489·10⁻⁶ эВ (E_J = 50 мкэВ, i/i_c = 0,9), E = 1,723·10⁻⁶ эВ (T = 20 мК), ν = 5·10⁹ с⁻¹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ΔG/E = 0,864 ⇒ Γ = 2,11·10⁹ с⁻¹; барьер — тот же закон (1−λ/λ_c)^(3/2) из А2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Декогеренция кубита T₁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 = δ = 2,5 мэВ (щель 600 ГГц), E = 1,903·10⁻⁴ эВ (T = 2,21 К), ν = 10¹⁰ с⁻¹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ΔG/E = 13,14, k₊ = 1,96·10⁴ с⁻¹, k₋ = 0,039 с⁻¹ ⇒ τ = 50,9 мкс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Топологическая защита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 = 5 эВ, E = 1,723·10⁻⁶ эВ (T = 20 мК), ν = 10¹⁰ с⁻¹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ΔG/E = 2,90·10⁶ ⇒ log₁₀τ = 1,26·10⁶ против 17,6 — возраста Вселенной в секундах: k₊ = 0, τ = ∞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Нихром λ → λ_c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ΔG₀ = 0,9 эВ, E = 0,0378 эВ (T = 438,5 К), ν = 10¹² с⁻¹, δ = 0,5 эВ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λ ≪ λ_c: τ = 21,7 мс. λ = 0,966 λ_c: τ = 1,16 пс ⇒ падение на 10,3 порядка при 3,4 %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Svix «ровно один раз»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λ = λ_c (барьер снят, ΔG = 0); a = b = 10⁶ с⁻¹, c = 10³ с⁻¹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0′ = queued, 0″ = delivered, 0-3n = acked — поглощающее состояние; теорема Т1 = exactly-once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/>
      </w:pPr>
    </w:p>
    <w:p>
      <w:pPr>
        <w:spacing w:after="11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Важно про чувствительность.</w:t>
      </w:r>
      <w:r>
        <w:rPr>
          <w:rFonts w:ascii="PT Serif" w:cs="PT Serif" w:eastAsia="PT Serif" w:hAnsi="PT Serif"/>
          <w:sz w:val="22"/>
          <w:szCs w:val="22"/>
        </w:rPr>
        <w:t xml:space="preserve"> В строке «нихром» разрыв в порядки зависит не только от λ, но и от E: при T = 3000 К (E = 0,2585 эВ) тот же сдвиг λ даёт лишь 4,5 порядка. Именно поэтому в §5 стоит E = 0,0378 эВ.</w:t>
      </w:r>
    </w:p>
    <w:p>
      <w:pPr>
        <w:pStyle w:val="Heading1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8"/>
          <w:szCs w:val="28"/>
        </w:rPr>
        <w:t xml:space="preserve">11. Журнал исправлений этой редакции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1. </w:t>
      </w:r>
      <w:r>
        <w:rPr>
          <w:rFonts w:ascii="PT Serif" w:cs="PT Serif" w:eastAsia="PT Serif" w:hAnsi="PT Serif"/>
          <w:b/>
          <w:bCs/>
          <w:sz w:val="22"/>
          <w:szCs w:val="22"/>
        </w:rPr>
        <w:t xml:space="preserve">§5, арифметика.</w:t>
      </w:r>
      <w:r>
        <w:rPr>
          <w:rFonts w:ascii="PT Serif" w:cs="PT Serif" w:eastAsia="PT Serif" w:hAnsi="PT Serif"/>
          <w:sz w:val="22"/>
          <w:szCs w:val="22"/>
        </w:rPr>
        <w:t xml:space="preserve"> Было напечатано E = k_Б·T = 0,09 эВ. При таком E: ΔG/E = 10, k = 10¹²·e⁻¹⁰ = 4,54·10⁷ с⁻¹, τ = 22 нс (не мс), а разрыв между λ ≪ λ_c и λ = 0,966 λ_c — 4,3 порядка, не 10. Исправлено на E = 0,0378 эВ (T ≈ 438,5 К): k₊ = 46,0 с⁻¹, τ = 21,7 мс, разрыв 10,3 порядка — как и утверждалось в тексте.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2. </w:t>
      </w:r>
      <w:r>
        <w:rPr>
          <w:rFonts w:ascii="PT Serif" w:cs="PT Serif" w:eastAsia="PT Serif" w:hAnsi="PT Serif"/>
          <w:b/>
          <w:bCs/>
          <w:sz w:val="22"/>
          <w:szCs w:val="22"/>
        </w:rPr>
        <w:t xml:space="preserve">Добавлена А6</w:t>
      </w:r>
      <w:r>
        <w:rPr>
          <w:rFonts w:ascii="PT Serif" w:cs="PT Serif" w:eastAsia="PT Serif" w:hAnsi="PT Serif"/>
          <w:sz w:val="22"/>
          <w:szCs w:val="22"/>
        </w:rPr>
        <w:t xml:space="preserve"> — единая формула (§2.5) и таблица её предельных случаев (§3.4) с численной сверкой на шести наборах параметров (расхождение &lt; 2·10⁻¹¹).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3. </w:t>
      </w:r>
      <w:r>
        <w:rPr>
          <w:rFonts w:ascii="PT Serif" w:cs="PT Serif" w:eastAsia="PT Serif" w:hAnsi="PT Serif"/>
          <w:b/>
          <w:bCs/>
          <w:sz w:val="22"/>
          <w:szCs w:val="22"/>
        </w:rPr>
        <w:t xml:space="preserve">Добавлен §10</w:t>
      </w:r>
      <w:r>
        <w:rPr>
          <w:rFonts w:ascii="PT Serif" w:cs="PT Serif" w:eastAsia="PT Serif" w:hAnsi="PT Serif"/>
          <w:sz w:val="22"/>
          <w:szCs w:val="22"/>
        </w:rPr>
        <w:t xml:space="preserve"> — пресеты квантовых частных случаев в пересчитанных числах.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4. </w:t>
      </w:r>
      <w:r>
        <w:rPr>
          <w:rFonts w:ascii="PT Serif" w:cs="PT Serif" w:eastAsia="PT Serif" w:hAnsi="PT Serif"/>
          <w:b/>
          <w:bCs/>
          <w:sz w:val="22"/>
          <w:szCs w:val="22"/>
        </w:rPr>
        <w:t xml:space="preserve">Калькулятор:</w:t>
      </w:r>
      <w:r>
        <w:rPr>
          <w:rFonts w:ascii="PT Serif" w:cs="PT Serif" w:eastAsia="PT Serif" w:hAnsi="PT Serif"/>
          <w:sz w:val="22"/>
          <w:szCs w:val="22"/>
        </w:rPr>
        <w:t xml:space="preserve"> шкала ΔG₀ переведена на логарифмическую (10⁻⁶…6 эВ). Раньше ползунок с min = 0,05 эВ молча зажимал пресеты Ландау–Зенера и JJ (там ΔG ∼ 10⁻⁶…10⁻⁵ эВ), и пресеты показывали неверные числа. Шаги T, ν, δ измельчены, чтобы значения пресетов попадали точно. Добавлена панель «Единая формула» с живой подстановкой и кнопкой копирования.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5. </w:t>
      </w:r>
      <w:r>
        <w:rPr>
          <w:rFonts w:ascii="PT Serif" w:cs="PT Serif" w:eastAsia="PT Serif" w:hAnsi="PT Serif"/>
          <w:b/>
          <w:bCs/>
          <w:sz w:val="22"/>
          <w:szCs w:val="22"/>
        </w:rPr>
        <w:t xml:space="preserve">Пресет кубита:</w:t>
      </w:r>
      <w:r>
        <w:rPr>
          <w:rFonts w:ascii="PT Serif" w:cs="PT Serif" w:eastAsia="PT Serif" w:hAnsi="PT Serif"/>
          <w:sz w:val="22"/>
          <w:szCs w:val="22"/>
        </w:rPr>
        <w:t xml:space="preserve"> при δ = 0 получалось τ = 25 мкс и p∞ = 0,5 вместо заявленных 50 мкс — в пресет добавлено δ = ℏω₀₁ = 2,5 мэВ (повторное возбуждение подавлено), что и даёт τ = 50,9 мкс.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6. </w:t>
      </w:r>
      <w:r>
        <w:rPr>
          <w:rFonts w:ascii="PT Serif" w:cs="PT Serif" w:eastAsia="PT Serif" w:hAnsi="PT Serif"/>
          <w:b/>
          <w:bCs/>
          <w:sz w:val="22"/>
          <w:szCs w:val="22"/>
        </w:rPr>
        <w:t xml:space="preserve">Пресеты «топологическая защита» и «нихром»:</w:t>
      </w:r>
      <w:r>
        <w:rPr>
          <w:rFonts w:ascii="PT Serif" w:cs="PT Serif" w:eastAsia="PT Serif" w:hAnsi="PT Serif"/>
          <w:sz w:val="22"/>
          <w:szCs w:val="22"/>
        </w:rPr>
        <w:t xml:space="preserve"> исправлены степени (ΔG/E = 2,90·10⁶ вместо «≈ 29 000»; «15 порядков» заменено на честные 10,3 при E = 0,0378 эВ).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7. </w:t>
      </w:r>
      <w:r>
        <w:rPr>
          <w:rFonts w:ascii="PT Serif" w:cs="PT Serif" w:eastAsia="PT Serif" w:hAnsi="PT Serif"/>
          <w:b/>
          <w:bCs/>
          <w:sz w:val="22"/>
          <w:szCs w:val="22"/>
        </w:rPr>
        <w:t xml:space="preserve">Формулировка пресета Svix:</w:t>
      </w:r>
      <w:r>
        <w:rPr>
          <w:rFonts w:ascii="PT Serif" w:cs="PT Serif" w:eastAsia="PT Serif" w:hAnsi="PT Serif"/>
          <w:sz w:val="22"/>
          <w:szCs w:val="22"/>
        </w:rPr>
        <w:t xml:space="preserve"> снята формулировка, будто вебхук описывается двухсостоячной шкалой при ν = 10¹² с⁻¹. Корректный перевод — предельный случай λ → λ_c (барьер снят, ΔG = 0) плюс блок трёх состояний a, b, c; темп задают не ν, а a, b, c.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T Serif" w:cs="PT Serif" w:eastAsia="PT Serif" w:hAnsi="PT Seri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2026-10-10T15:26:53.174Z</dcterms:created>
  <dcterms:modified xsi:type="dcterms:W3CDTF">2026-10-10T15:26:53.175Z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