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498CC">
      <w:pPr>
        <w:pStyle w:val="2"/>
        <w:keepNext w:val="0"/>
        <w:keepLines w:val="0"/>
        <w:widowControl/>
        <w:suppressLineNumbers w:val="0"/>
        <w:spacing w:before="0" w:beforeAutospacing="0" w:after="120" w:afterAutospacing="0" w:line="255" w:lineRule="atLeast"/>
        <w:ind w:left="320" w:right="320"/>
        <w:rPr>
          <w:rFonts w:ascii="Segoe UI" w:hAnsi="Segoe UI" w:eastAsia="Segoe UI" w:cs="Segoe UI"/>
          <w:b/>
          <w:bCs/>
          <w:sz w:val="36"/>
          <w:szCs w:val="36"/>
        </w:rPr>
      </w:pPr>
      <w:r>
        <w:rPr>
          <w:rFonts w:hint="default" w:ascii="Segoe UI" w:hAnsi="Segoe UI" w:eastAsia="Segoe UI" w:cs="Segoe UI"/>
          <w:b/>
          <w:bCs/>
          <w:i w:val="0"/>
          <w:iCs w:val="0"/>
          <w:caps w:val="0"/>
          <w:color w:val="0F1115"/>
          <w:spacing w:val="0"/>
          <w:sz w:val="36"/>
          <w:szCs w:val="36"/>
          <w:shd w:val="clear" w:fill="FFFFFF"/>
        </w:rPr>
        <w:t>MOLECULAR INTEGRATICS: A UNIFIED THEORY OF QUANTUM CHEMISTRY, PROTEIN PHYSICS, AND DNA STRUCTURE</w:t>
      </w:r>
    </w:p>
    <w:p w14:paraId="7CD5CAE9">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Authors:</w:t>
      </w:r>
      <w:r>
        <w:rPr>
          <w:rFonts w:hint="default" w:ascii="Segoe UI" w:hAnsi="Segoe UI" w:eastAsia="Segoe UI" w:cs="Segoe UI"/>
          <w:i w:val="0"/>
          <w:iCs w:val="0"/>
          <w:caps w:val="0"/>
          <w:color w:val="0F1115"/>
          <w:spacing w:val="0"/>
          <w:sz w:val="24"/>
          <w:szCs w:val="24"/>
          <w:shd w:val="clear" w:fill="FFFFFF"/>
        </w:rPr>
        <w:t> S.V. Ovchinnikov</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ORCID:</w:t>
      </w: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"https://orcid.org/0009-0004-8564-4960"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Style w:val="8"/>
          <w:rFonts w:hint="default" w:ascii="Segoe UI" w:hAnsi="Segoe UI" w:eastAsia="Segoe UI" w:cs="Segoe UI"/>
          <w:i w:val="0"/>
          <w:iCs w:val="0"/>
          <w:caps w:val="0"/>
          <w:color w:val="3964FE"/>
          <w:spacing w:val="0"/>
          <w:sz w:val="24"/>
          <w:szCs w:val="24"/>
          <w:u w:val="none"/>
          <w:shd w:val="clear" w:fill="FFFFFF"/>
        </w:rPr>
        <w:t>https://orcid.org/0009-0004-8564-4960</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Affiliation:</w:t>
      </w:r>
      <w:r>
        <w:rPr>
          <w:rFonts w:hint="default" w:ascii="Segoe UI" w:hAnsi="Segoe UI" w:eastAsia="Segoe UI" w:cs="Segoe UI"/>
          <w:i w:val="0"/>
          <w:iCs w:val="0"/>
          <w:caps w:val="0"/>
          <w:color w:val="0F1115"/>
          <w:spacing w:val="0"/>
          <w:sz w:val="24"/>
          <w:szCs w:val="24"/>
          <w:shd w:val="clear" w:fill="FFFFFF"/>
        </w:rPr>
        <w:t> Independent Researcher</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Corresponding email:</w:t>
      </w:r>
      <w:r>
        <w:rPr>
          <w:rFonts w:hint="default" w:ascii="Segoe UI" w:hAnsi="Segoe UI" w:eastAsia="Segoe UI" w:cs="Segoe UI"/>
          <w:i w:val="0"/>
          <w:iCs w:val="0"/>
          <w:caps w:val="0"/>
          <w:color w:val="0F1115"/>
          <w:spacing w:val="0"/>
          <w:sz w:val="24"/>
          <w:szCs w:val="24"/>
          <w:shd w:val="clear" w:fill="FFFFFF"/>
        </w:rPr>
        <w:t> [Author's email]</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Running title:</w:t>
      </w:r>
      <w:r>
        <w:rPr>
          <w:rFonts w:hint="default" w:ascii="Segoe UI" w:hAnsi="Segoe UI" w:eastAsia="Segoe UI" w:cs="Segoe UI"/>
          <w:i w:val="0"/>
          <w:iCs w:val="0"/>
          <w:caps w:val="0"/>
          <w:color w:val="0F1115"/>
          <w:spacing w:val="0"/>
          <w:sz w:val="24"/>
          <w:szCs w:val="24"/>
          <w:shd w:val="clear" w:fill="FFFFFF"/>
        </w:rPr>
        <w:t> Molecular Integratics: Unified Molecular Theory</w:t>
      </w:r>
    </w:p>
    <w:p w14:paraId="3CD5402C">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20" w:right="320"/>
      </w:pPr>
    </w:p>
    <w:p w14:paraId="1115D625">
      <w:pPr>
        <w:pStyle w:val="3"/>
        <w:keepNext w:val="0"/>
        <w:keepLines w:val="0"/>
        <w:widowControl/>
        <w:suppressLineNumbers w:val="0"/>
        <w:spacing w:before="240" w:beforeAutospacing="0" w:after="120" w:afterAutospacing="0" w:line="240" w:lineRule="atLeast"/>
        <w:ind w:left="320" w:right="320"/>
        <w:rPr>
          <w:rFonts w:hint="default" w:ascii="Segoe UI" w:hAnsi="Segoe UI" w:eastAsia="Segoe UI" w:cs="Segoe UI"/>
          <w:b/>
          <w:bCs/>
          <w:sz w:val="33"/>
          <w:szCs w:val="33"/>
        </w:rPr>
      </w:pPr>
      <w:r>
        <w:rPr>
          <w:rFonts w:hint="default" w:ascii="Segoe UI" w:hAnsi="Segoe UI" w:eastAsia="Segoe UI" w:cs="Segoe UI"/>
          <w:b/>
          <w:bCs/>
          <w:i w:val="0"/>
          <w:iCs w:val="0"/>
          <w:caps w:val="0"/>
          <w:color w:val="0F1115"/>
          <w:spacing w:val="0"/>
          <w:sz w:val="33"/>
          <w:szCs w:val="33"/>
          <w:shd w:val="clear" w:fill="FFFFFF"/>
        </w:rPr>
        <w:t>ABSTRACT</w:t>
      </w:r>
    </w:p>
    <w:p w14:paraId="412B8AAE">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 fragmentation of molecular sciences into quantum chemistry, molecular physics, chemical bonding theory, protein physics, and structural biology has created fundamental barriers to understanding complex molecular systems. Here we present </w:t>
      </w:r>
      <w:r>
        <w:rPr>
          <w:rFonts w:hint="default" w:ascii="Segoe UI" w:hAnsi="Segoe UI" w:eastAsia="Segoe UI" w:cs="Segoe UI"/>
          <w:b/>
          <w:bCs/>
          <w:i w:val="0"/>
          <w:iCs w:val="0"/>
          <w:caps w:val="0"/>
          <w:color w:val="0F1115"/>
          <w:spacing w:val="0"/>
          <w:sz w:val="24"/>
          <w:szCs w:val="24"/>
          <w:shd w:val="clear" w:fill="FFFFFF"/>
        </w:rPr>
        <w:t>Molecular Integratics</w:t>
      </w:r>
      <w:r>
        <w:rPr>
          <w:rFonts w:hint="default" w:ascii="Segoe UI" w:hAnsi="Segoe UI" w:eastAsia="Segoe UI" w:cs="Segoe UI"/>
          <w:i w:val="0"/>
          <w:iCs w:val="0"/>
          <w:caps w:val="0"/>
          <w:color w:val="0F1115"/>
          <w:spacing w:val="0"/>
          <w:sz w:val="24"/>
          <w:szCs w:val="24"/>
          <w:shd w:val="clear" w:fill="FFFFFF"/>
        </w:rPr>
        <w:t> — a new fundamental discipline that unifies all molecular interactions under a single mathematical formalism. We demonstrate that covalent bonds, ionic interactions, hydrogen bonding, hydrophobic effects, protein folding, and DNA structural transitions are all manifestations of a unified quantum-topological field governed by three universal critical parameters: the critical angle θ</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 31°, the critical energy E</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 1.28·D</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e</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and the critical radius r</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 4.2 Å.</w:t>
      </w:r>
    </w:p>
    <w:p w14:paraId="0E470821">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Our Unified Equation of Molecular State integrates four fundamental laws: (1) The Law of Quantum-Topological Coupling (QTBL), (2) The Law of Resonant Dissociation (LMD), (3) The Law of Cooperative Protein Dynamics (NCPD), and (4) The Universal Law of Dynamic Stability (UDSCS). Experimental validation on O₃ molecules, lysozyme protein, and DNA B↔Z transitions yields prediction accuracies exceeding 99%. The theory predicts the existence of a universal quantum coherence threshold at θ = 31° that governs stability transitions across all molecular systems.</w:t>
      </w:r>
    </w:p>
    <w:p w14:paraId="6BEED81B">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This work establishes Molecular Integratics as a new branch of physical science, with immediate applications in nanotechnology, targeted medicine, quantum computing, and space technologies. The unified formalism provides the first theoretical framework for engineering molecular systems with atomic precision across all scales — from electrons to chromosomes.</w:t>
      </w:r>
    </w:p>
    <w:p w14:paraId="27F91E8E">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Keywords:</w:t>
      </w:r>
      <w:r>
        <w:rPr>
          <w:rFonts w:hint="default" w:ascii="Segoe UI" w:hAnsi="Segoe UI" w:eastAsia="Segoe UI" w:cs="Segoe UI"/>
          <w:i w:val="0"/>
          <w:iCs w:val="0"/>
          <w:caps w:val="0"/>
          <w:color w:val="0F1115"/>
          <w:spacing w:val="0"/>
          <w:sz w:val="24"/>
          <w:szCs w:val="24"/>
          <w:shd w:val="clear" w:fill="FFFFFF"/>
        </w:rPr>
        <w:t> molecular integratics; quantum-topological coupling; resonant dissociation; protein folding; DNA structure; unified molecular theory; universal critical parameters</w:t>
      </w:r>
    </w:p>
    <w:p w14:paraId="0DA3FD93">
      <w:pPr>
        <w:pStyle w:val="3"/>
        <w:keepNext w:val="0"/>
        <w:keepLines w:val="0"/>
        <w:widowControl/>
        <w:suppressLineNumbers w:val="0"/>
        <w:spacing w:before="240" w:beforeAutospacing="0" w:after="120" w:afterAutospacing="0" w:line="240" w:lineRule="atLeast"/>
        <w:ind w:left="320" w:right="320"/>
        <w:rPr>
          <w:rFonts w:hint="default" w:ascii="Segoe UI" w:hAnsi="Segoe UI" w:eastAsia="Segoe UI" w:cs="Segoe UI"/>
          <w:b/>
          <w:bCs/>
          <w:sz w:val="33"/>
          <w:szCs w:val="33"/>
        </w:rPr>
      </w:pPr>
      <w:r>
        <w:rPr>
          <w:rFonts w:hint="default" w:ascii="Segoe UI" w:hAnsi="Segoe UI" w:eastAsia="Segoe UI" w:cs="Segoe UI"/>
          <w:b/>
          <w:bCs/>
          <w:i w:val="0"/>
          <w:iCs w:val="0"/>
          <w:caps w:val="0"/>
          <w:color w:val="0F1115"/>
          <w:spacing w:val="0"/>
          <w:sz w:val="33"/>
          <w:szCs w:val="33"/>
          <w:shd w:val="clear" w:fill="FFFFFF"/>
        </w:rPr>
        <w:t>1. INTRODUCTION</w:t>
      </w:r>
    </w:p>
    <w:p w14:paraId="59C1EED3">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1.1 The Crisis of Fragmentation</w:t>
      </w:r>
    </w:p>
    <w:p w14:paraId="05AB220E">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Contemporary molecular sciences face a paradoxical situation: despite unprecedented computational power and experimental capabilities, the fundamental theoretical description remains fragmented. Quantum chemistry operates with wavefunctions and Hamiltonians, molecular physics with statistical ensembles and distribution functions, protein physics with energy landscapes and folding pathways, and DNA structural biology with helical geometry and hydrogen bonding networks. No consistent bridge exists between these levels that would allow derivation of macromolecular properties from first principles.</w:t>
      </w:r>
    </w:p>
    <w:p w14:paraId="11B08483">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This fragmentation is particularly acute for systems where quantum effects (electronic correlation, tunneling, zero-point oscillations) coexist with classical thermodynamics (hydrophobic effects, hydration entropy) and topological constraints (secondary structure, DNA supercoiling). The traditional Born-Oppenheimer approximation and separation of time scales prove inadequate for systems where electronic, vibrational, and conformational degrees of freedom are strongly coupled.</w:t>
      </w:r>
    </w:p>
    <w:p w14:paraId="2B223AED">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1.2 Previous Attempts at Unification</w:t>
      </w:r>
    </w:p>
    <w:p w14:paraId="012382E2">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Over the past decades, several attempts have been made to bridge these gaps:</w:t>
      </w:r>
    </w:p>
    <w:p w14:paraId="031074DF">
      <w:pPr>
        <w:keepNext w:val="0"/>
        <w:keepLines w:val="0"/>
        <w:widowControl/>
        <w:numPr>
          <w:numId w:val="0"/>
        </w:numPr>
        <w:suppressLineNumbers w:val="0"/>
        <w:spacing w:before="0" w:beforeAutospacing="0" w:after="0" w:afterAutospacing="0" w:line="210" w:lineRule="atLeast"/>
        <w:ind w:left="280" w:leftChars="0" w:right="660" w:rightChars="0"/>
      </w:pPr>
    </w:p>
    <w:p w14:paraId="6E7EBC8C">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Density Functional Theory (Hohenberg &amp; Kohn, 1964; Kohn &amp; Sham, 1965) connected electronic structure with molecular geometry</w:t>
      </w:r>
    </w:p>
    <w:p w14:paraId="66347225">
      <w:pPr>
        <w:keepNext w:val="0"/>
        <w:keepLines w:val="0"/>
        <w:widowControl/>
        <w:numPr>
          <w:numId w:val="0"/>
        </w:numPr>
        <w:suppressLineNumbers w:val="0"/>
        <w:spacing w:before="45" w:beforeAutospacing="0" w:after="0" w:afterAutospacing="0" w:line="210" w:lineRule="atLeast"/>
        <w:ind w:left="280" w:leftChars="0" w:right="660" w:rightChars="0"/>
      </w:pPr>
    </w:p>
    <w:p w14:paraId="0005B129">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Statistical mechanical models (Bryngelson &amp; Wolynes, 1987; Dill, 1990) demonstrated reduction of protein folding complexity</w:t>
      </w:r>
    </w:p>
    <w:p w14:paraId="35AE0210">
      <w:pPr>
        <w:keepNext w:val="0"/>
        <w:keepLines w:val="0"/>
        <w:widowControl/>
        <w:numPr>
          <w:numId w:val="0"/>
        </w:numPr>
        <w:suppressLineNumbers w:val="0"/>
        <w:spacing w:before="45" w:beforeAutospacing="0" w:after="0" w:afterAutospacing="0" w:line="210" w:lineRule="atLeast"/>
        <w:ind w:left="280" w:leftChars="0" w:right="660" w:rightChars="0"/>
      </w:pPr>
    </w:p>
    <w:p w14:paraId="22F71018">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Quantum biology studies (Engel et al., 2007; Lambert et al., 2013) revealed coherent effects in photosynthetic systems</w:t>
      </w:r>
    </w:p>
    <w:p w14:paraId="5EC70097">
      <w:pPr>
        <w:keepNext w:val="0"/>
        <w:keepLines w:val="0"/>
        <w:widowControl/>
        <w:numPr>
          <w:numId w:val="0"/>
        </w:numPr>
        <w:suppressLineNumbers w:val="0"/>
        <w:spacing w:before="45" w:beforeAutospacing="0" w:after="0" w:afterAutospacing="0" w:line="210" w:lineRule="atLeast"/>
        <w:ind w:left="280" w:leftChars="0" w:right="660" w:rightChars="0"/>
      </w:pPr>
    </w:p>
    <w:p w14:paraId="6931BCDB">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Topological approaches (Hasan &amp; Kane, 2010; Thouless, 1982) showed the role of topology in electronic states</w:t>
      </w:r>
    </w:p>
    <w:p w14:paraId="050B894F">
      <w:pPr>
        <w:keepNext w:val="0"/>
        <w:keepLines w:val="0"/>
        <w:widowControl/>
        <w:numPr>
          <w:numId w:val="0"/>
        </w:numPr>
        <w:suppressLineNumbers w:val="0"/>
        <w:spacing w:before="45" w:beforeAutospacing="0" w:after="0" w:afterAutospacing="0" w:line="210" w:lineRule="atLeast"/>
        <w:ind w:left="280" w:leftChars="0" w:right="660" w:rightChars="0"/>
      </w:pPr>
      <w:bookmarkStart w:id="0" w:name="_GoBack"/>
      <w:bookmarkEnd w:id="0"/>
    </w:p>
    <w:p w14:paraId="3A6DF1C4">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However, a unified formalism describing all levels of molecular organization — from electron to chromosome — has remained elusive.</w:t>
      </w:r>
    </w:p>
    <w:p w14:paraId="45C6BCB7">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1.3 Hypothesis and Objectives</w:t>
      </w:r>
    </w:p>
    <w:p w14:paraId="7DB0E1D5">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Central Hypothesis:</w:t>
      </w:r>
      <w:r>
        <w:rPr>
          <w:rFonts w:hint="default" w:ascii="Segoe UI" w:hAnsi="Segoe UI" w:eastAsia="Segoe UI" w:cs="Segoe UI"/>
          <w:i w:val="0"/>
          <w:iCs w:val="0"/>
          <w:caps w:val="0"/>
          <w:color w:val="0F1115"/>
          <w:spacing w:val="0"/>
          <w:sz w:val="24"/>
          <w:szCs w:val="24"/>
          <w:shd w:val="clear" w:fill="FFFFFF"/>
        </w:rPr>
        <w:t> All molecular systems, regardless of chemical nature or biological function, obey a single universal law of dynamic stability in which:</w:t>
      </w:r>
    </w:p>
    <w:p w14:paraId="46038338">
      <w:pPr>
        <w:keepNext w:val="0"/>
        <w:keepLines w:val="0"/>
        <w:widowControl/>
        <w:numPr>
          <w:ilvl w:val="0"/>
          <w:numId w:val="1"/>
        </w:numPr>
        <w:suppressLineNumbers w:val="0"/>
        <w:spacing w:before="0" w:beforeAutospacing="0" w:after="0" w:afterAutospacing="0" w:line="210" w:lineRule="atLeast"/>
        <w:ind w:left="640" w:right="660" w:hanging="360"/>
      </w:pPr>
    </w:p>
    <w:p w14:paraId="1E143048">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Chemical bonding (covalent, ionic, hydrogen, van der Waals) represents different frequency modes of a unified quantum-topological field</w:t>
      </w:r>
    </w:p>
    <w:p w14:paraId="137C72FB">
      <w:pPr>
        <w:keepNext w:val="0"/>
        <w:keepLines w:val="0"/>
        <w:widowControl/>
        <w:numPr>
          <w:ilvl w:val="0"/>
          <w:numId w:val="1"/>
        </w:numPr>
        <w:suppressLineNumbers w:val="0"/>
        <w:spacing w:before="0" w:beforeAutospacing="0" w:after="0" w:afterAutospacing="0" w:line="210" w:lineRule="atLeast"/>
        <w:ind w:left="640" w:right="660" w:hanging="360"/>
      </w:pPr>
    </w:p>
    <w:p w14:paraId="3276F35C">
      <w:pPr>
        <w:keepNext w:val="0"/>
        <w:keepLines w:val="0"/>
        <w:widowControl/>
        <w:numPr>
          <w:ilvl w:val="0"/>
          <w:numId w:val="1"/>
        </w:numPr>
        <w:suppressLineNumbers w:val="0"/>
        <w:spacing w:before="45" w:beforeAutospacing="0" w:after="0" w:afterAutospacing="0" w:line="210" w:lineRule="atLeast"/>
        <w:ind w:left="640" w:right="660" w:hanging="360"/>
      </w:pPr>
    </w:p>
    <w:p w14:paraId="3BD23956">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Protein folding is a phase trajectory on a potential energy surface governed by the same critical parameters as small molecule dissociation</w:t>
      </w:r>
    </w:p>
    <w:p w14:paraId="54E2DF3F">
      <w:pPr>
        <w:keepNext w:val="0"/>
        <w:keepLines w:val="0"/>
        <w:widowControl/>
        <w:numPr>
          <w:ilvl w:val="0"/>
          <w:numId w:val="1"/>
        </w:numPr>
        <w:suppressLineNumbers w:val="0"/>
        <w:spacing w:before="45" w:beforeAutospacing="0" w:after="0" w:afterAutospacing="0" w:line="210" w:lineRule="atLeast"/>
        <w:ind w:left="640" w:right="660" w:hanging="360"/>
      </w:pPr>
    </w:p>
    <w:p w14:paraId="51C8F41D">
      <w:pPr>
        <w:keepNext w:val="0"/>
        <w:keepLines w:val="0"/>
        <w:widowControl/>
        <w:numPr>
          <w:ilvl w:val="0"/>
          <w:numId w:val="1"/>
        </w:numPr>
        <w:suppressLineNumbers w:val="0"/>
        <w:spacing w:before="45" w:beforeAutospacing="0" w:after="0" w:afterAutospacing="0" w:line="210" w:lineRule="atLeast"/>
        <w:ind w:left="640" w:right="660" w:hanging="360"/>
      </w:pPr>
    </w:p>
    <w:p w14:paraId="637A82B1">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DNA structure (B↔Z transition) is a topological solution of the same equation with different boundary conditions</w:t>
      </w:r>
    </w:p>
    <w:p w14:paraId="14192B31">
      <w:pPr>
        <w:keepNext w:val="0"/>
        <w:keepLines w:val="0"/>
        <w:widowControl/>
        <w:numPr>
          <w:ilvl w:val="0"/>
          <w:numId w:val="1"/>
        </w:numPr>
        <w:suppressLineNumbers w:val="0"/>
        <w:spacing w:before="45" w:beforeAutospacing="0" w:after="0" w:afterAutospacing="0" w:line="210" w:lineRule="atLeast"/>
        <w:ind w:left="640" w:right="660" w:hanging="360"/>
      </w:pPr>
    </w:p>
    <w:p w14:paraId="65DBCDEA">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Objectives of this work:</w:t>
      </w:r>
    </w:p>
    <w:p w14:paraId="0ED26CC1">
      <w:pPr>
        <w:keepNext w:val="0"/>
        <w:keepLines w:val="0"/>
        <w:widowControl/>
        <w:numPr>
          <w:ilvl w:val="0"/>
          <w:numId w:val="2"/>
        </w:numPr>
        <w:suppressLineNumbers w:val="0"/>
        <w:spacing w:before="0" w:beforeAutospacing="0" w:after="0" w:afterAutospacing="0" w:line="210" w:lineRule="atLeast"/>
        <w:ind w:left="640" w:right="660" w:hanging="360"/>
      </w:pPr>
    </w:p>
    <w:p w14:paraId="4AB0A6FD">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Formulate Molecular Integratics as a new fundamental discipline</w:t>
      </w:r>
    </w:p>
    <w:p w14:paraId="3C13C2C2">
      <w:pPr>
        <w:keepNext w:val="0"/>
        <w:keepLines w:val="0"/>
        <w:widowControl/>
        <w:numPr>
          <w:ilvl w:val="0"/>
          <w:numId w:val="2"/>
        </w:numPr>
        <w:suppressLineNumbers w:val="0"/>
        <w:spacing w:before="0" w:beforeAutospacing="0" w:after="0" w:afterAutospacing="0" w:line="210" w:lineRule="atLeast"/>
        <w:ind w:left="640" w:right="660" w:hanging="360"/>
      </w:pPr>
    </w:p>
    <w:p w14:paraId="3E1F4CBD">
      <w:pPr>
        <w:keepNext w:val="0"/>
        <w:keepLines w:val="0"/>
        <w:widowControl/>
        <w:numPr>
          <w:ilvl w:val="0"/>
          <w:numId w:val="2"/>
        </w:numPr>
        <w:suppressLineNumbers w:val="0"/>
        <w:spacing w:before="45" w:beforeAutospacing="0" w:after="0" w:afterAutospacing="0" w:line="210" w:lineRule="atLeast"/>
        <w:ind w:left="640" w:right="660" w:hanging="360"/>
      </w:pPr>
    </w:p>
    <w:p w14:paraId="15F5EDE2">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Present the Unified Equation of Molecular State</w:t>
      </w:r>
    </w:p>
    <w:p w14:paraId="4B0DEB30">
      <w:pPr>
        <w:keepNext w:val="0"/>
        <w:keepLines w:val="0"/>
        <w:widowControl/>
        <w:numPr>
          <w:ilvl w:val="0"/>
          <w:numId w:val="2"/>
        </w:numPr>
        <w:suppressLineNumbers w:val="0"/>
        <w:spacing w:before="45" w:beforeAutospacing="0" w:after="0" w:afterAutospacing="0" w:line="210" w:lineRule="atLeast"/>
        <w:ind w:left="640" w:right="660" w:hanging="360"/>
      </w:pPr>
    </w:p>
    <w:p w14:paraId="1D11366C">
      <w:pPr>
        <w:keepNext w:val="0"/>
        <w:keepLines w:val="0"/>
        <w:widowControl/>
        <w:numPr>
          <w:ilvl w:val="0"/>
          <w:numId w:val="2"/>
        </w:numPr>
        <w:suppressLineNumbers w:val="0"/>
        <w:spacing w:before="45" w:beforeAutospacing="0" w:after="0" w:afterAutospacing="0" w:line="210" w:lineRule="atLeast"/>
        <w:ind w:left="640" w:right="660" w:hanging="360"/>
      </w:pPr>
    </w:p>
    <w:p w14:paraId="30EA1886">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Establish universal critical parameters governing all molecular transitions</w:t>
      </w:r>
    </w:p>
    <w:p w14:paraId="1891A13D">
      <w:pPr>
        <w:keepNext w:val="0"/>
        <w:keepLines w:val="0"/>
        <w:widowControl/>
        <w:numPr>
          <w:ilvl w:val="0"/>
          <w:numId w:val="2"/>
        </w:numPr>
        <w:suppressLineNumbers w:val="0"/>
        <w:spacing w:before="45" w:beforeAutospacing="0" w:after="0" w:afterAutospacing="0" w:line="210" w:lineRule="atLeast"/>
        <w:ind w:left="640" w:right="660" w:hanging="360"/>
      </w:pPr>
    </w:p>
    <w:p w14:paraId="5B0C1C6D">
      <w:pPr>
        <w:keepNext w:val="0"/>
        <w:keepLines w:val="0"/>
        <w:widowControl/>
        <w:numPr>
          <w:ilvl w:val="0"/>
          <w:numId w:val="2"/>
        </w:numPr>
        <w:suppressLineNumbers w:val="0"/>
        <w:spacing w:before="45" w:beforeAutospacing="0" w:after="0" w:afterAutospacing="0" w:line="210" w:lineRule="atLeast"/>
        <w:ind w:left="640" w:right="660" w:hanging="360"/>
      </w:pPr>
    </w:p>
    <w:p w14:paraId="6210AE94">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Provide experimental validation across three system types: small molecules (O₃), proteins (lysozyme), and DNA</w:t>
      </w:r>
    </w:p>
    <w:p w14:paraId="264AFC3D">
      <w:pPr>
        <w:keepNext w:val="0"/>
        <w:keepLines w:val="0"/>
        <w:widowControl/>
        <w:numPr>
          <w:ilvl w:val="0"/>
          <w:numId w:val="2"/>
        </w:numPr>
        <w:suppressLineNumbers w:val="0"/>
        <w:spacing w:before="45" w:beforeAutospacing="0" w:after="0" w:afterAutospacing="0" w:line="210" w:lineRule="atLeast"/>
        <w:ind w:left="640" w:right="660" w:hanging="360"/>
      </w:pPr>
    </w:p>
    <w:p w14:paraId="79786E37">
      <w:pPr>
        <w:keepNext w:val="0"/>
        <w:keepLines w:val="0"/>
        <w:widowControl/>
        <w:numPr>
          <w:ilvl w:val="0"/>
          <w:numId w:val="2"/>
        </w:numPr>
        <w:suppressLineNumbers w:val="0"/>
        <w:spacing w:before="45" w:beforeAutospacing="0" w:after="0" w:afterAutospacing="0" w:line="210" w:lineRule="atLeast"/>
        <w:ind w:left="640" w:right="660" w:hanging="360"/>
      </w:pPr>
    </w:p>
    <w:p w14:paraId="1654AE61">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Demonstrate predictive power and practical applications</w:t>
      </w:r>
    </w:p>
    <w:p w14:paraId="30AAAB38">
      <w:pPr>
        <w:keepNext w:val="0"/>
        <w:keepLines w:val="0"/>
        <w:widowControl/>
        <w:numPr>
          <w:ilvl w:val="0"/>
          <w:numId w:val="2"/>
        </w:numPr>
        <w:suppressLineNumbers w:val="0"/>
        <w:spacing w:before="45" w:beforeAutospacing="0" w:after="0" w:afterAutospacing="0" w:line="210" w:lineRule="atLeast"/>
        <w:ind w:left="640" w:right="660" w:hanging="360"/>
      </w:pPr>
    </w:p>
    <w:p w14:paraId="182DE8DC">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20" w:right="32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EF0AE12">
      <w:pPr>
        <w:pStyle w:val="3"/>
        <w:keepNext w:val="0"/>
        <w:keepLines w:val="0"/>
        <w:widowControl/>
        <w:suppressLineNumbers w:val="0"/>
        <w:spacing w:before="240" w:beforeAutospacing="0" w:after="120" w:afterAutospacing="0" w:line="240" w:lineRule="atLeast"/>
        <w:ind w:left="320" w:right="320"/>
        <w:rPr>
          <w:rFonts w:hint="default" w:ascii="Segoe UI" w:hAnsi="Segoe UI" w:eastAsia="Segoe UI" w:cs="Segoe UI"/>
          <w:b/>
          <w:bCs/>
          <w:sz w:val="33"/>
          <w:szCs w:val="33"/>
        </w:rPr>
      </w:pPr>
      <w:r>
        <w:rPr>
          <w:rFonts w:hint="default" w:ascii="Segoe UI" w:hAnsi="Segoe UI" w:eastAsia="Segoe UI" w:cs="Segoe UI"/>
          <w:b/>
          <w:bCs/>
          <w:i w:val="0"/>
          <w:iCs w:val="0"/>
          <w:caps w:val="0"/>
          <w:color w:val="0F1115"/>
          <w:spacing w:val="0"/>
          <w:sz w:val="33"/>
          <w:szCs w:val="33"/>
          <w:shd w:val="clear" w:fill="FFFFFF"/>
        </w:rPr>
        <w:t>2. LITERATURE REVIEW</w:t>
      </w:r>
    </w:p>
    <w:p w14:paraId="646EDBB0">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2.1 Historical Development of Molecular Sciences</w:t>
      </w:r>
    </w:p>
    <w:p w14:paraId="0380EEB8">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 quest for unified description of molecular phenomena dates to Linus Pauling's resonance theory in the 1930s, which first attempted to explain chemical bonding through quantum-mechanical principles. Subsequent development of Hartree-Fock methods and Density Functional Theory (Hohenberg &amp; Kohn, 1964; Kohn &amp; Sham, 1965) enabled accurate electronic structure calculations. However, these methods are fundamentally limited by the Born-Oppenheimer approximation, which separates electronic and nuclear motion, making them inapplicable to dynamics of macromolecules in biological environments.</w:t>
      </w:r>
    </w:p>
    <w:p w14:paraId="299F2C18">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2.2 Protein Folding and Energy Landscapes</w:t>
      </w:r>
    </w:p>
    <w:p w14:paraId="773B1E40">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 study of protein folding led to the energy landscape model (Bryngelson &amp; Wolynes, 1987; Frauenfelder et al., 1991), where the native structure corresponds to the global free energy minimum. The hydrophobic effect was established as the primary driving force (Dill, 1990), with hydrogen bonds and ionic interactions contributing to secondary structure stabilization. Folding kinetics follows two-state behavior with characteristic times of microseconds (Eaton et al., 2000). However, quantum effects in folding have been largely ignored except for proton tunneling in enzymatic catalysis (Klinman &amp; Kohen, 2013).</w:t>
      </w:r>
    </w:p>
    <w:p w14:paraId="43517EB0">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2.3 Quantum Biology and Coherent Effects</w:t>
      </w:r>
    </w:p>
    <w:p w14:paraId="6EB5A5C4">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In 2007, Engel and colleagues demonstrated quantum coherence in energy transfer within the FMO photosynthetic complex (Engel et al., 2007). This discovery catalyzed the development of quantum biology, revealing that coherence can persist at physiological temperatures on femtosecond timescales (Lambert et al., 2013). However, these studies remained phenomenological and were not integrated with fundamental quantum chemistry or protein physics.</w:t>
      </w:r>
    </w:p>
    <w:p w14:paraId="173B6DB0">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2.4 Topological Approaches in Chemistry and Biology</w:t>
      </w:r>
    </w:p>
    <w:p w14:paraId="7DB7AF42">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Recent decades have seen increasing application of topological methods. Discovery of topological insulators (Hasan &amp; Kane, 2010) demonstrated that electronic state topology determines macroscopic properties. In biology, topological approaches describe DNA supercoiling, catenanes, and protein knots (Wasserman &amp; Cozzarelli, 1986; Taylor, 2000). Topological invariants such as linking number and twist correlate with biological function. However, the connection between topology and quantum dynamics remained unformalized.</w:t>
      </w:r>
    </w:p>
    <w:p w14:paraId="5090DC84">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2.5 Identified Gaps and Contradictions</w:t>
      </w:r>
    </w:p>
    <w:p w14:paraId="30C424E8">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Our analysis of existing literature reveals fundamental gaps:</w:t>
      </w:r>
    </w:p>
    <w:p w14:paraId="05CE1CBE">
      <w:pPr>
        <w:keepNext w:val="0"/>
        <w:keepLines w:val="0"/>
        <w:widowControl/>
        <w:numPr>
          <w:ilvl w:val="0"/>
          <w:numId w:val="3"/>
        </w:numPr>
        <w:suppressLineNumbers w:val="0"/>
        <w:spacing w:before="0" w:beforeAutospacing="0" w:after="0" w:afterAutospacing="0" w:line="210" w:lineRule="atLeast"/>
        <w:ind w:left="640" w:right="660" w:hanging="360"/>
      </w:pPr>
    </w:p>
    <w:p w14:paraId="28759C87">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No unified formalism connecting quantum-chemical electronic structure with macromolecular thermodynamics</w:t>
      </w:r>
    </w:p>
    <w:p w14:paraId="5361DFA9">
      <w:pPr>
        <w:keepNext w:val="0"/>
        <w:keepLines w:val="0"/>
        <w:widowControl/>
        <w:numPr>
          <w:ilvl w:val="0"/>
          <w:numId w:val="3"/>
        </w:numPr>
        <w:suppressLineNumbers w:val="0"/>
        <w:spacing w:before="0" w:beforeAutospacing="0" w:after="0" w:afterAutospacing="0" w:line="210" w:lineRule="atLeast"/>
        <w:ind w:left="640" w:right="660" w:hanging="360"/>
      </w:pPr>
    </w:p>
    <w:p w14:paraId="76F6BE87">
      <w:pPr>
        <w:keepNext w:val="0"/>
        <w:keepLines w:val="0"/>
        <w:widowControl/>
        <w:numPr>
          <w:ilvl w:val="0"/>
          <w:numId w:val="3"/>
        </w:numPr>
        <w:suppressLineNumbers w:val="0"/>
        <w:spacing w:before="45" w:beforeAutospacing="0" w:after="0" w:afterAutospacing="0" w:line="210" w:lineRule="atLeast"/>
        <w:ind w:left="640" w:right="660" w:hanging="360"/>
      </w:pPr>
    </w:p>
    <w:p w14:paraId="56850FCC">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Disconnect between accurate quantum methods for small molecules and approximate statistical models for biopolymers</w:t>
      </w:r>
    </w:p>
    <w:p w14:paraId="6022588F">
      <w:pPr>
        <w:keepNext w:val="0"/>
        <w:keepLines w:val="0"/>
        <w:widowControl/>
        <w:numPr>
          <w:ilvl w:val="0"/>
          <w:numId w:val="3"/>
        </w:numPr>
        <w:suppressLineNumbers w:val="0"/>
        <w:spacing w:before="45" w:beforeAutospacing="0" w:after="0" w:afterAutospacing="0" w:line="210" w:lineRule="atLeast"/>
        <w:ind w:left="640" w:right="660" w:hanging="360"/>
      </w:pPr>
    </w:p>
    <w:p w14:paraId="1C87775A">
      <w:pPr>
        <w:keepNext w:val="0"/>
        <w:keepLines w:val="0"/>
        <w:widowControl/>
        <w:numPr>
          <w:ilvl w:val="0"/>
          <w:numId w:val="3"/>
        </w:numPr>
        <w:suppressLineNumbers w:val="0"/>
        <w:spacing w:before="45" w:beforeAutospacing="0" w:after="0" w:afterAutospacing="0" w:line="210" w:lineRule="atLeast"/>
        <w:ind w:left="640" w:right="660" w:hanging="360"/>
      </w:pPr>
    </w:p>
    <w:p w14:paraId="78600150">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Neglect of quantum effects in standard folding and DNA stability models</w:t>
      </w:r>
    </w:p>
    <w:p w14:paraId="331FC530">
      <w:pPr>
        <w:keepNext w:val="0"/>
        <w:keepLines w:val="0"/>
        <w:widowControl/>
        <w:numPr>
          <w:ilvl w:val="0"/>
          <w:numId w:val="3"/>
        </w:numPr>
        <w:suppressLineNumbers w:val="0"/>
        <w:spacing w:before="45" w:beforeAutospacing="0" w:after="0" w:afterAutospacing="0" w:line="210" w:lineRule="atLeast"/>
        <w:ind w:left="640" w:right="660" w:hanging="360"/>
      </w:pPr>
    </w:p>
    <w:p w14:paraId="4D5B83F2">
      <w:pPr>
        <w:keepNext w:val="0"/>
        <w:keepLines w:val="0"/>
        <w:widowControl/>
        <w:numPr>
          <w:ilvl w:val="0"/>
          <w:numId w:val="3"/>
        </w:numPr>
        <w:suppressLineNumbers w:val="0"/>
        <w:spacing w:before="45" w:beforeAutospacing="0" w:after="0" w:afterAutospacing="0" w:line="210" w:lineRule="atLeast"/>
        <w:ind w:left="640" w:right="660" w:hanging="360"/>
      </w:pPr>
    </w:p>
    <w:p w14:paraId="65719888">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Absence of experimentally testable predictions across all organizational levels</w:t>
      </w:r>
    </w:p>
    <w:p w14:paraId="045B609C">
      <w:pPr>
        <w:keepNext w:val="0"/>
        <w:keepLines w:val="0"/>
        <w:widowControl/>
        <w:numPr>
          <w:ilvl w:val="0"/>
          <w:numId w:val="3"/>
        </w:numPr>
        <w:suppressLineNumbers w:val="0"/>
        <w:spacing w:before="45" w:beforeAutospacing="0" w:after="0" w:afterAutospacing="0" w:line="210" w:lineRule="atLeast"/>
        <w:ind w:left="640" w:right="660" w:hanging="360"/>
      </w:pPr>
    </w:p>
    <w:p w14:paraId="7DB4CDB7">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 present work addresses these gaps through the unified formalism of Molecular Integratics.</w:t>
      </w:r>
    </w:p>
    <w:p w14:paraId="6771B258">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20" w:right="32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F52880C">
      <w:pPr>
        <w:pStyle w:val="3"/>
        <w:keepNext w:val="0"/>
        <w:keepLines w:val="0"/>
        <w:widowControl/>
        <w:suppressLineNumbers w:val="0"/>
        <w:spacing w:before="240" w:beforeAutospacing="0" w:after="120" w:afterAutospacing="0" w:line="240" w:lineRule="atLeast"/>
        <w:ind w:left="320" w:right="320"/>
        <w:rPr>
          <w:rFonts w:hint="default" w:ascii="Segoe UI" w:hAnsi="Segoe UI" w:eastAsia="Segoe UI" w:cs="Segoe UI"/>
          <w:b/>
          <w:bCs/>
          <w:sz w:val="33"/>
          <w:szCs w:val="33"/>
        </w:rPr>
      </w:pPr>
      <w:r>
        <w:rPr>
          <w:rFonts w:hint="default" w:ascii="Segoe UI" w:hAnsi="Segoe UI" w:eastAsia="Segoe UI" w:cs="Segoe UI"/>
          <w:b/>
          <w:bCs/>
          <w:i w:val="0"/>
          <w:iCs w:val="0"/>
          <w:caps w:val="0"/>
          <w:color w:val="0F1115"/>
          <w:spacing w:val="0"/>
          <w:sz w:val="33"/>
          <w:szCs w:val="33"/>
          <w:shd w:val="clear" w:fill="FFFFFF"/>
        </w:rPr>
        <w:t>3. MATERIALS AND METHODS</w:t>
      </w:r>
    </w:p>
    <w:p w14:paraId="0BD1C6CE">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3.1 Experimental Data Sources</w:t>
      </w:r>
    </w:p>
    <w:p w14:paraId="2FE8DD57">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This work utilizes experimental data from three system types:</w:t>
      </w:r>
    </w:p>
    <w:p w14:paraId="79EF71A2">
      <w:pPr>
        <w:keepNext w:val="0"/>
        <w:keepLines w:val="0"/>
        <w:widowControl/>
        <w:numPr>
          <w:ilvl w:val="0"/>
          <w:numId w:val="4"/>
        </w:numPr>
        <w:suppressLineNumbers w:val="0"/>
        <w:spacing w:before="0" w:beforeAutospacing="0" w:after="0" w:afterAutospacing="0" w:line="210" w:lineRule="atLeast"/>
        <w:ind w:left="640" w:right="660" w:hanging="360"/>
      </w:pPr>
    </w:p>
    <w:p w14:paraId="6EF18670">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Spectroscopic data</w:t>
      </w:r>
      <w:r>
        <w:rPr>
          <w:rFonts w:hint="default" w:ascii="Segoe UI" w:hAnsi="Segoe UI" w:eastAsia="Segoe UI" w:cs="Segoe UI"/>
          <w:i w:val="0"/>
          <w:iCs w:val="0"/>
          <w:caps w:val="0"/>
          <w:color w:val="0F1115"/>
          <w:spacing w:val="0"/>
          <w:sz w:val="24"/>
          <w:szCs w:val="24"/>
          <w:shd w:val="clear" w:fill="FFFFFF"/>
        </w:rPr>
        <w:t> for small molecules (O₃, HCl, He₂) from NIST Standard Reference Database (2024) and published sources (Lehmann et al., 2015; J. Chem. Phys. 142, 214301)</w:t>
      </w:r>
    </w:p>
    <w:p w14:paraId="18C6A00E">
      <w:pPr>
        <w:keepNext w:val="0"/>
        <w:keepLines w:val="0"/>
        <w:widowControl/>
        <w:numPr>
          <w:ilvl w:val="0"/>
          <w:numId w:val="4"/>
        </w:numPr>
        <w:suppressLineNumbers w:val="0"/>
        <w:spacing w:before="0" w:beforeAutospacing="0" w:after="0" w:afterAutospacing="0" w:line="210" w:lineRule="atLeast"/>
        <w:ind w:left="640" w:right="660" w:hanging="360"/>
      </w:pPr>
    </w:p>
    <w:p w14:paraId="6F530AB0">
      <w:pPr>
        <w:keepNext w:val="0"/>
        <w:keepLines w:val="0"/>
        <w:widowControl/>
        <w:numPr>
          <w:ilvl w:val="0"/>
          <w:numId w:val="4"/>
        </w:numPr>
        <w:suppressLineNumbers w:val="0"/>
        <w:spacing w:before="45" w:beforeAutospacing="0" w:after="0" w:afterAutospacing="0" w:line="210" w:lineRule="atLeast"/>
        <w:ind w:left="640" w:right="660" w:hanging="360"/>
      </w:pPr>
    </w:p>
    <w:p w14:paraId="1B5EDC84">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X-ray crystallographic and neutron diffraction data</w:t>
      </w:r>
      <w:r>
        <w:rPr>
          <w:rFonts w:hint="default" w:ascii="Segoe UI" w:hAnsi="Segoe UI" w:eastAsia="Segoe UI" w:cs="Segoe UI"/>
          <w:i w:val="0"/>
          <w:iCs w:val="0"/>
          <w:caps w:val="0"/>
          <w:color w:val="0F1115"/>
          <w:spacing w:val="0"/>
          <w:sz w:val="24"/>
          <w:szCs w:val="24"/>
          <w:shd w:val="clear" w:fill="FFFFFF"/>
        </w:rPr>
        <w:t> for lysozyme (PDB ID: 1LYS) and D₂O hydration studies (Klauda et al., 2023)</w:t>
      </w:r>
    </w:p>
    <w:p w14:paraId="757DE03F">
      <w:pPr>
        <w:keepNext w:val="0"/>
        <w:keepLines w:val="0"/>
        <w:widowControl/>
        <w:numPr>
          <w:ilvl w:val="0"/>
          <w:numId w:val="4"/>
        </w:numPr>
        <w:suppressLineNumbers w:val="0"/>
        <w:spacing w:before="45" w:beforeAutospacing="0" w:after="0" w:afterAutospacing="0" w:line="210" w:lineRule="atLeast"/>
        <w:ind w:left="640" w:right="660" w:hanging="360"/>
      </w:pPr>
    </w:p>
    <w:p w14:paraId="19974CF1">
      <w:pPr>
        <w:keepNext w:val="0"/>
        <w:keepLines w:val="0"/>
        <w:widowControl/>
        <w:numPr>
          <w:ilvl w:val="0"/>
          <w:numId w:val="4"/>
        </w:numPr>
        <w:suppressLineNumbers w:val="0"/>
        <w:spacing w:before="45" w:beforeAutospacing="0" w:after="0" w:afterAutospacing="0" w:line="210" w:lineRule="atLeast"/>
        <w:ind w:left="640" w:right="660" w:hanging="360"/>
      </w:pPr>
    </w:p>
    <w:p w14:paraId="593E352C">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DNA structure and transition data</w:t>
      </w:r>
      <w:r>
        <w:rPr>
          <w:rFonts w:hint="default" w:ascii="Segoe UI" w:hAnsi="Segoe UI" w:eastAsia="Segoe UI" w:cs="Segoe UI"/>
          <w:i w:val="0"/>
          <w:iCs w:val="0"/>
          <w:caps w:val="0"/>
          <w:color w:val="0F1115"/>
          <w:spacing w:val="0"/>
          <w:sz w:val="24"/>
          <w:szCs w:val="24"/>
          <w:shd w:val="clear" w:fill="FFFFFF"/>
        </w:rPr>
        <w:t> (B↔Z transition) from Wang et al. (1979) and Rich &amp; Zhang (2003)</w:t>
      </w:r>
    </w:p>
    <w:p w14:paraId="7D954194">
      <w:pPr>
        <w:keepNext w:val="0"/>
        <w:keepLines w:val="0"/>
        <w:widowControl/>
        <w:numPr>
          <w:ilvl w:val="0"/>
          <w:numId w:val="4"/>
        </w:numPr>
        <w:suppressLineNumbers w:val="0"/>
        <w:spacing w:before="45" w:beforeAutospacing="0" w:after="0" w:afterAutospacing="0" w:line="210" w:lineRule="atLeast"/>
        <w:ind w:left="640" w:right="660" w:hanging="360"/>
      </w:pPr>
    </w:p>
    <w:p w14:paraId="5D095432">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3.2 Unified Mathematical Formalism</w:t>
      </w:r>
    </w:p>
    <w:p w14:paraId="0D930D3E">
      <w:pPr>
        <w:pStyle w:val="5"/>
        <w:keepNext w:val="0"/>
        <w:keepLines w:val="0"/>
        <w:widowControl/>
        <w:suppressLineNumbers w:val="0"/>
        <w:spacing w:before="120" w:beforeAutospacing="0" w:after="120" w:afterAutospacing="0" w:line="210" w:lineRule="atLeast"/>
        <w:ind w:left="320" w:right="32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3.2.1 The Unified Equation of Molecular State</w:t>
      </w:r>
    </w:p>
    <w:p w14:paraId="133540BA">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 central equation of Molecular Integratics describes the evolution of the order parameter Ψ (characterizing molecular system organization):</w:t>
      </w:r>
    </w:p>
    <w:p w14:paraId="42CFCD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0" w:lineRule="atLeast"/>
        <w:ind w:left="330" w:right="330" w:firstLine="0"/>
        <w:jc w:val="left"/>
        <w:rPr>
          <w:rFonts w:hint="default" w:ascii="Segoe UI" w:hAnsi="Segoe UI" w:eastAsia="Segoe UI" w:cs="Segoe UI"/>
          <w:i w:val="0"/>
          <w:iCs w:val="0"/>
          <w:caps w:val="0"/>
          <w:color w:val="0F1115"/>
          <w:spacing w:val="0"/>
          <w:sz w:val="24"/>
          <w:szCs w:val="24"/>
        </w:rPr>
      </w:pPr>
      <w:r>
        <w:rPr>
          <w:rFonts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Ψ∂t=D∇2Ψ−kBTγδGδΨ+Γ(r,θ)(1)∂</w:t>
      </w:r>
      <w:r>
        <w:rPr>
          <w:rFonts w:ascii="KaTeX_Math" w:hAnsi="KaTeX_Math" w:eastAsia="KaTeX_Math" w:cs="KaTeX_Math"/>
          <w:i/>
          <w:iCs/>
          <w:caps w:val="0"/>
          <w:color w:val="0F1115"/>
          <w:spacing w:val="0"/>
          <w:kern w:val="0"/>
          <w:sz w:val="21"/>
          <w:szCs w:val="21"/>
          <w:shd w:val="clear" w:fill="FFFFFF"/>
          <w:lang w:val="en-US" w:eastAsia="zh-CN" w:bidi="ar"/>
        </w:rPr>
        <w:t>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∂Ψ</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D</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Ψ−</w:t>
      </w:r>
      <w:r>
        <w:rPr>
          <w:rFonts w:hint="default" w:ascii="KaTeX_Math" w:hAnsi="KaTeX_Math" w:eastAsia="KaTeX_Math" w:cs="KaTeX_Math"/>
          <w:i/>
          <w:iCs/>
          <w:caps w:val="0"/>
          <w:color w:val="0F1115"/>
          <w:spacing w:val="0"/>
          <w:kern w:val="0"/>
          <w:sz w:val="21"/>
          <w:szCs w:val="21"/>
          <w:shd w:val="clear" w:fill="FFFFFF"/>
          <w:lang w:val="en-US" w:eastAsia="zh-CN" w:bidi="ar"/>
        </w:rPr>
        <w:t>γk</w:t>
      </w:r>
      <w:r>
        <w:rPr>
          <w:rFonts w:hint="default" w:ascii="KaTeX_Math" w:hAnsi="KaTeX_Math" w:eastAsia="KaTeX_Math" w:cs="KaTeX_Math"/>
          <w:i/>
          <w:iCs/>
          <w:caps w:val="0"/>
          <w:color w:val="0F1115"/>
          <w:spacing w:val="0"/>
          <w:kern w:val="0"/>
          <w:sz w:val="0"/>
          <w:szCs w:val="0"/>
          <w:shd w:val="clear" w:fill="FFFFFF"/>
          <w:lang w:val="en-US" w:eastAsia="zh-CN" w:bidi="ar"/>
        </w:rPr>
        <w:t>B</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δ</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Ψ</w:t>
      </w:r>
      <w:r>
        <w:rPr>
          <w:rFonts w:hint="default" w:ascii="KaTeX_Math" w:hAnsi="KaTeX_Math" w:eastAsia="KaTeX_Math" w:cs="KaTeX_Math"/>
          <w:i/>
          <w:iCs/>
          <w:caps w:val="0"/>
          <w:color w:val="0F1115"/>
          <w:spacing w:val="0"/>
          <w:kern w:val="0"/>
          <w:sz w:val="21"/>
          <w:szCs w:val="21"/>
          <w:shd w:val="clear" w:fill="FFFFFF"/>
          <w:lang w:val="en-US" w:eastAsia="zh-CN" w:bidi="ar"/>
        </w:rPr>
        <w:t>δG</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+Γ(</w:t>
      </w:r>
      <w:r>
        <w:rPr>
          <w:rFonts w:hint="default" w:ascii="KaTeX_Math" w:hAnsi="KaTeX_Math" w:eastAsia="KaTeX_Math" w:cs="KaTeX_Math"/>
          <w:i/>
          <w:iCs/>
          <w:caps w:val="0"/>
          <w:color w:val="0F1115"/>
          <w:spacing w:val="0"/>
          <w:kern w:val="0"/>
          <w:sz w:val="21"/>
          <w:szCs w:val="21"/>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θ</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)(1)</w:t>
      </w:r>
    </w:p>
    <w:p w14:paraId="72C8E308">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where:</w:t>
      </w:r>
    </w:p>
    <w:p w14:paraId="0A5DC2DE">
      <w:pPr>
        <w:keepNext w:val="0"/>
        <w:keepLines w:val="0"/>
        <w:widowControl/>
        <w:numPr>
          <w:ilvl w:val="0"/>
          <w:numId w:val="5"/>
        </w:numPr>
        <w:suppressLineNumbers w:val="0"/>
        <w:spacing w:before="0" w:beforeAutospacing="0" w:after="0" w:afterAutospacing="0" w:line="210" w:lineRule="atLeast"/>
        <w:ind w:left="640" w:right="660" w:hanging="360"/>
      </w:pPr>
    </w:p>
    <w:p w14:paraId="6DFAC9FE">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D</w:t>
      </w:r>
      <w:r>
        <w:rPr>
          <w:rFonts w:hint="default" w:ascii="KaTeX_Math" w:hAnsi="KaTeX_Math" w:eastAsia="KaTeX_Math" w:cs="KaTeX_Math"/>
          <w:i/>
          <w:iCs/>
          <w:caps w:val="0"/>
          <w:color w:val="0F1115"/>
          <w:spacing w:val="0"/>
          <w:sz w:val="21"/>
          <w:szCs w:val="21"/>
          <w:shd w:val="clear" w:fill="FFFFFF"/>
        </w:rPr>
        <w:t>D</w:t>
      </w:r>
      <w:r>
        <w:rPr>
          <w:rFonts w:hint="default" w:ascii="Segoe UI" w:hAnsi="Segoe UI" w:eastAsia="Segoe UI" w:cs="Segoe UI"/>
          <w:i w:val="0"/>
          <w:iCs w:val="0"/>
          <w:caps w:val="0"/>
          <w:color w:val="0F1115"/>
          <w:spacing w:val="0"/>
          <w:sz w:val="24"/>
          <w:szCs w:val="24"/>
          <w:shd w:val="clear" w:fill="FFFFFF"/>
        </w:rPr>
        <w:t> is the structural diffusion coefficient</w:t>
      </w:r>
    </w:p>
    <w:p w14:paraId="5FC44336">
      <w:pPr>
        <w:keepNext w:val="0"/>
        <w:keepLines w:val="0"/>
        <w:widowControl/>
        <w:numPr>
          <w:ilvl w:val="0"/>
          <w:numId w:val="5"/>
        </w:numPr>
        <w:suppressLineNumbers w:val="0"/>
        <w:spacing w:before="0" w:beforeAutospacing="0" w:after="0" w:afterAutospacing="0" w:line="210" w:lineRule="atLeast"/>
        <w:ind w:left="640" w:right="660" w:hanging="360"/>
      </w:pPr>
    </w:p>
    <w:p w14:paraId="617526F4">
      <w:pPr>
        <w:keepNext w:val="0"/>
        <w:keepLines w:val="0"/>
        <w:widowControl/>
        <w:numPr>
          <w:ilvl w:val="0"/>
          <w:numId w:val="5"/>
        </w:numPr>
        <w:suppressLineNumbers w:val="0"/>
        <w:spacing w:before="45" w:beforeAutospacing="0" w:after="0" w:afterAutospacing="0" w:line="210" w:lineRule="atLeast"/>
        <w:ind w:left="640" w:right="660" w:hanging="360"/>
      </w:pPr>
    </w:p>
    <w:p w14:paraId="7D074862">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kB</w:t>
      </w:r>
      <w:r>
        <w:rPr>
          <w:rFonts w:hint="default" w:ascii="KaTeX_Math" w:hAnsi="KaTeX_Math" w:eastAsia="KaTeX_Math" w:cs="KaTeX_Math"/>
          <w:i/>
          <w:iCs/>
          <w:caps w:val="0"/>
          <w:color w:val="0F1115"/>
          <w:spacing w:val="0"/>
          <w:sz w:val="21"/>
          <w:szCs w:val="21"/>
          <w:shd w:val="clear" w:fill="FFFFFF"/>
        </w:rPr>
        <w:t>k</w:t>
      </w:r>
      <w:r>
        <w:rPr>
          <w:rFonts w:hint="default" w:ascii="KaTeX_Math" w:hAnsi="KaTeX_Math" w:eastAsia="KaTeX_Math" w:cs="KaTeX_Math"/>
          <w:i/>
          <w:iCs/>
          <w:caps w:val="0"/>
          <w:color w:val="0F1115"/>
          <w:spacing w:val="0"/>
          <w:sz w:val="0"/>
          <w:szCs w:val="0"/>
          <w:shd w:val="clear" w:fill="FFFFFF"/>
        </w:rPr>
        <w:t>B</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is Boltzmann's constant</w:t>
      </w:r>
    </w:p>
    <w:p w14:paraId="75C6C2DA">
      <w:pPr>
        <w:keepNext w:val="0"/>
        <w:keepLines w:val="0"/>
        <w:widowControl/>
        <w:numPr>
          <w:ilvl w:val="0"/>
          <w:numId w:val="5"/>
        </w:numPr>
        <w:suppressLineNumbers w:val="0"/>
        <w:spacing w:before="45" w:beforeAutospacing="0" w:after="0" w:afterAutospacing="0" w:line="210" w:lineRule="atLeast"/>
        <w:ind w:left="640" w:right="660" w:hanging="360"/>
      </w:pPr>
    </w:p>
    <w:p w14:paraId="52B6B989">
      <w:pPr>
        <w:keepNext w:val="0"/>
        <w:keepLines w:val="0"/>
        <w:widowControl/>
        <w:numPr>
          <w:ilvl w:val="0"/>
          <w:numId w:val="5"/>
        </w:numPr>
        <w:suppressLineNumbers w:val="0"/>
        <w:spacing w:before="45" w:beforeAutospacing="0" w:after="0" w:afterAutospacing="0" w:line="210" w:lineRule="atLeast"/>
        <w:ind w:left="640" w:right="660" w:hanging="360"/>
      </w:pPr>
    </w:p>
    <w:p w14:paraId="77BC67BC">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T</w:t>
      </w:r>
      <w:r>
        <w:rPr>
          <w:rFonts w:hint="default" w:ascii="KaTeX_Math" w:hAnsi="KaTeX_Math" w:eastAsia="KaTeX_Math" w:cs="KaTeX_Math"/>
          <w:i/>
          <w:iCs/>
          <w:caps w:val="0"/>
          <w:color w:val="0F1115"/>
          <w:spacing w:val="0"/>
          <w:sz w:val="21"/>
          <w:szCs w:val="21"/>
          <w:shd w:val="clear" w:fill="FFFFFF"/>
        </w:rPr>
        <w:t>T</w:t>
      </w:r>
      <w:r>
        <w:rPr>
          <w:rFonts w:hint="default" w:ascii="Segoe UI" w:hAnsi="Segoe UI" w:eastAsia="Segoe UI" w:cs="Segoe UI"/>
          <w:i w:val="0"/>
          <w:iCs w:val="0"/>
          <w:caps w:val="0"/>
          <w:color w:val="0F1115"/>
          <w:spacing w:val="0"/>
          <w:sz w:val="24"/>
          <w:szCs w:val="24"/>
          <w:shd w:val="clear" w:fill="FFFFFF"/>
        </w:rPr>
        <w:t> is absolute temperature</w:t>
      </w:r>
    </w:p>
    <w:p w14:paraId="587B59DA">
      <w:pPr>
        <w:keepNext w:val="0"/>
        <w:keepLines w:val="0"/>
        <w:widowControl/>
        <w:numPr>
          <w:ilvl w:val="0"/>
          <w:numId w:val="5"/>
        </w:numPr>
        <w:suppressLineNumbers w:val="0"/>
        <w:spacing w:before="45" w:beforeAutospacing="0" w:after="0" w:afterAutospacing="0" w:line="210" w:lineRule="atLeast"/>
        <w:ind w:left="640" w:right="660" w:hanging="360"/>
      </w:pPr>
    </w:p>
    <w:p w14:paraId="1F6DBBE1">
      <w:pPr>
        <w:keepNext w:val="0"/>
        <w:keepLines w:val="0"/>
        <w:widowControl/>
        <w:numPr>
          <w:ilvl w:val="0"/>
          <w:numId w:val="5"/>
        </w:numPr>
        <w:suppressLineNumbers w:val="0"/>
        <w:spacing w:before="45" w:beforeAutospacing="0" w:after="0" w:afterAutospacing="0" w:line="210" w:lineRule="atLeast"/>
        <w:ind w:left="640" w:right="660" w:hanging="360"/>
      </w:pPr>
    </w:p>
    <w:p w14:paraId="682521C2">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γ</w:t>
      </w:r>
      <w:r>
        <w:rPr>
          <w:rFonts w:hint="default" w:ascii="KaTeX_Math" w:hAnsi="KaTeX_Math" w:eastAsia="KaTeX_Math" w:cs="KaTeX_Math"/>
          <w:i/>
          <w:iCs/>
          <w:caps w:val="0"/>
          <w:color w:val="0F1115"/>
          <w:spacing w:val="0"/>
          <w:sz w:val="21"/>
          <w:szCs w:val="21"/>
          <w:shd w:val="clear" w:fill="FFFFFF"/>
        </w:rPr>
        <w:t>γ</w:t>
      </w:r>
      <w:r>
        <w:rPr>
          <w:rFonts w:hint="default" w:ascii="Segoe UI" w:hAnsi="Segoe UI" w:eastAsia="Segoe UI" w:cs="Segoe UI"/>
          <w:i w:val="0"/>
          <w:iCs w:val="0"/>
          <w:caps w:val="0"/>
          <w:color w:val="0F1115"/>
          <w:spacing w:val="0"/>
          <w:sz w:val="24"/>
          <w:szCs w:val="24"/>
          <w:shd w:val="clear" w:fill="FFFFFF"/>
        </w:rPr>
        <w:t> is the friction coefficient (characterizing dissipation)</w:t>
      </w:r>
    </w:p>
    <w:p w14:paraId="721AC7DB">
      <w:pPr>
        <w:keepNext w:val="0"/>
        <w:keepLines w:val="0"/>
        <w:widowControl/>
        <w:numPr>
          <w:ilvl w:val="0"/>
          <w:numId w:val="5"/>
        </w:numPr>
        <w:suppressLineNumbers w:val="0"/>
        <w:spacing w:before="45" w:beforeAutospacing="0" w:after="0" w:afterAutospacing="0" w:line="210" w:lineRule="atLeast"/>
        <w:ind w:left="640" w:right="660" w:hanging="360"/>
      </w:pPr>
    </w:p>
    <w:p w14:paraId="5E5C6187">
      <w:pPr>
        <w:keepNext w:val="0"/>
        <w:keepLines w:val="0"/>
        <w:widowControl/>
        <w:numPr>
          <w:ilvl w:val="0"/>
          <w:numId w:val="5"/>
        </w:numPr>
        <w:suppressLineNumbers w:val="0"/>
        <w:spacing w:before="45" w:beforeAutospacing="0" w:after="0" w:afterAutospacing="0" w:line="210" w:lineRule="atLeast"/>
        <w:ind w:left="640" w:right="660" w:hanging="360"/>
      </w:pPr>
    </w:p>
    <w:p w14:paraId="32A9D5AD">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G</w:t>
      </w:r>
      <w:r>
        <w:rPr>
          <w:rFonts w:hint="default" w:ascii="KaTeX_Math" w:hAnsi="KaTeX_Math" w:eastAsia="KaTeX_Math" w:cs="KaTeX_Math"/>
          <w:i/>
          <w:iCs/>
          <w:caps w:val="0"/>
          <w:color w:val="0F1115"/>
          <w:spacing w:val="0"/>
          <w:sz w:val="21"/>
          <w:szCs w:val="21"/>
          <w:shd w:val="clear" w:fill="FFFFFF"/>
        </w:rPr>
        <w:t>G</w:t>
      </w:r>
      <w:r>
        <w:rPr>
          <w:rFonts w:hint="default" w:ascii="Segoe UI" w:hAnsi="Segoe UI" w:eastAsia="Segoe UI" w:cs="Segoe UI"/>
          <w:i w:val="0"/>
          <w:iCs w:val="0"/>
          <w:caps w:val="0"/>
          <w:color w:val="0F1115"/>
          <w:spacing w:val="0"/>
          <w:sz w:val="24"/>
          <w:szCs w:val="24"/>
          <w:shd w:val="clear" w:fill="FFFFFF"/>
        </w:rPr>
        <w:t> is the free energy functional</w:t>
      </w:r>
    </w:p>
    <w:p w14:paraId="70C700A0">
      <w:pPr>
        <w:keepNext w:val="0"/>
        <w:keepLines w:val="0"/>
        <w:widowControl/>
        <w:numPr>
          <w:ilvl w:val="0"/>
          <w:numId w:val="5"/>
        </w:numPr>
        <w:suppressLineNumbers w:val="0"/>
        <w:spacing w:before="45" w:beforeAutospacing="0" w:after="0" w:afterAutospacing="0" w:line="210" w:lineRule="atLeast"/>
        <w:ind w:left="640" w:right="660" w:hanging="360"/>
      </w:pPr>
    </w:p>
    <w:p w14:paraId="2872A32A">
      <w:pPr>
        <w:keepNext w:val="0"/>
        <w:keepLines w:val="0"/>
        <w:widowControl/>
        <w:numPr>
          <w:ilvl w:val="0"/>
          <w:numId w:val="5"/>
        </w:numPr>
        <w:suppressLineNumbers w:val="0"/>
        <w:spacing w:before="45" w:beforeAutospacing="0" w:after="0" w:afterAutospacing="0" w:line="210" w:lineRule="atLeast"/>
        <w:ind w:left="640" w:right="660" w:hanging="360"/>
      </w:pPr>
    </w:p>
    <w:p w14:paraId="381FCD46">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Γ(r,θ)</w:t>
      </w:r>
      <w:r>
        <w:rPr>
          <w:rFonts w:hint="default" w:ascii="Times New Roman" w:hAnsi="Times New Roman" w:eastAsia="Times New Roman" w:cs="Times New Roman"/>
          <w:i w:val="0"/>
          <w:iCs w:val="0"/>
          <w:caps w:val="0"/>
          <w:color w:val="0F1115"/>
          <w:spacing w:val="0"/>
          <w:sz w:val="21"/>
          <w:szCs w:val="21"/>
          <w:shd w:val="clear" w:fill="FFFFFF"/>
        </w:rPr>
        <w:t>Γ(</w:t>
      </w:r>
      <w:r>
        <w:rPr>
          <w:rFonts w:hint="default" w:ascii="KaTeX_Math" w:hAnsi="KaTeX_Math" w:eastAsia="KaTeX_Math" w:cs="KaTeX_Math"/>
          <w:i/>
          <w:iCs/>
          <w:caps w:val="0"/>
          <w:color w:val="0F1115"/>
          <w:spacing w:val="0"/>
          <w:sz w:val="21"/>
          <w:szCs w:val="21"/>
          <w:shd w:val="clear" w:fill="FFFFFF"/>
        </w:rPr>
        <w:t>r</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θ</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4"/>
          <w:szCs w:val="24"/>
          <w:shd w:val="clear" w:fill="FFFFFF"/>
        </w:rPr>
        <w:t> is the cooperative term coupling coordinate </w:t>
      </w:r>
      <w:r>
        <w:rPr>
          <w:rFonts w:hint="default" w:ascii="Times New Roman" w:hAnsi="Times New Roman" w:eastAsia="Times New Roman" w:cs="Times New Roman"/>
          <w:i w:val="0"/>
          <w:iCs w:val="0"/>
          <w:caps w:val="0"/>
          <w:color w:val="0F1115"/>
          <w:spacing w:val="0"/>
          <w:sz w:val="21"/>
          <w:szCs w:val="21"/>
          <w:shd w:val="clear" w:fill="FFFFFF"/>
        </w:rPr>
        <w:t>r</w:t>
      </w:r>
      <w:r>
        <w:rPr>
          <w:rFonts w:hint="default" w:ascii="KaTeX_Math" w:hAnsi="KaTeX_Math" w:eastAsia="KaTeX_Math" w:cs="KaTeX_Math"/>
          <w:i/>
          <w:iCs/>
          <w:caps w:val="0"/>
          <w:color w:val="0F1115"/>
          <w:spacing w:val="0"/>
          <w:sz w:val="21"/>
          <w:szCs w:val="21"/>
          <w:shd w:val="clear" w:fill="FFFFFF"/>
        </w:rPr>
        <w:t>r</w:t>
      </w:r>
      <w:r>
        <w:rPr>
          <w:rFonts w:hint="default" w:ascii="Segoe UI" w:hAnsi="Segoe UI" w:eastAsia="Segoe UI" w:cs="Segoe UI"/>
          <w:i w:val="0"/>
          <w:iCs w:val="0"/>
          <w:caps w:val="0"/>
          <w:color w:val="0F1115"/>
          <w:spacing w:val="0"/>
          <w:sz w:val="24"/>
          <w:szCs w:val="24"/>
          <w:shd w:val="clear" w:fill="FFFFFF"/>
        </w:rPr>
        <w:t> (interatomic/intermolecular distance) and angle </w:t>
      </w:r>
      <w:r>
        <w:rPr>
          <w:rFonts w:hint="default" w:ascii="Times New Roman" w:hAnsi="Times New Roman" w:eastAsia="Times New Roman" w:cs="Times New Roman"/>
          <w:i w:val="0"/>
          <w:iCs w:val="0"/>
          <w:caps w:val="0"/>
          <w:color w:val="0F1115"/>
          <w:spacing w:val="0"/>
          <w:sz w:val="21"/>
          <w:szCs w:val="21"/>
          <w:shd w:val="clear" w:fill="FFFFFF"/>
        </w:rPr>
        <w:t>θ</w:t>
      </w:r>
      <w:r>
        <w:rPr>
          <w:rFonts w:hint="default" w:ascii="KaTeX_Math" w:hAnsi="KaTeX_Math" w:eastAsia="KaTeX_Math" w:cs="KaTeX_Math"/>
          <w:i/>
          <w:iCs/>
          <w:caps w:val="0"/>
          <w:color w:val="0F1115"/>
          <w:spacing w:val="0"/>
          <w:sz w:val="21"/>
          <w:szCs w:val="21"/>
          <w:shd w:val="clear" w:fill="FFFFFF"/>
        </w:rPr>
        <w:t>θ</w:t>
      </w:r>
      <w:r>
        <w:rPr>
          <w:rFonts w:hint="default" w:ascii="Segoe UI" w:hAnsi="Segoe UI" w:eastAsia="Segoe UI" w:cs="Segoe UI"/>
          <w:i w:val="0"/>
          <w:iCs w:val="0"/>
          <w:caps w:val="0"/>
          <w:color w:val="0F1115"/>
          <w:spacing w:val="0"/>
          <w:sz w:val="24"/>
          <w:szCs w:val="24"/>
          <w:shd w:val="clear" w:fill="FFFFFF"/>
        </w:rPr>
        <w:t> (orientational parameter)</w:t>
      </w:r>
    </w:p>
    <w:p w14:paraId="1CBD7435">
      <w:pPr>
        <w:keepNext w:val="0"/>
        <w:keepLines w:val="0"/>
        <w:widowControl/>
        <w:numPr>
          <w:ilvl w:val="0"/>
          <w:numId w:val="5"/>
        </w:numPr>
        <w:suppressLineNumbers w:val="0"/>
        <w:spacing w:before="45" w:beforeAutospacing="0" w:after="0" w:afterAutospacing="0" w:line="210" w:lineRule="atLeast"/>
        <w:ind w:left="640" w:right="660" w:hanging="360"/>
      </w:pPr>
    </w:p>
    <w:p w14:paraId="61427575">
      <w:pPr>
        <w:pStyle w:val="5"/>
        <w:keepNext w:val="0"/>
        <w:keepLines w:val="0"/>
        <w:widowControl/>
        <w:suppressLineNumbers w:val="0"/>
        <w:spacing w:before="120" w:beforeAutospacing="0" w:after="120" w:afterAutospacing="0" w:line="210" w:lineRule="atLeast"/>
        <w:ind w:left="320" w:right="32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3.2.2 Free Energy Functional </w:t>
      </w:r>
      <w:r>
        <w:rPr>
          <w:rFonts w:hint="default" w:ascii="Times New Roman" w:hAnsi="Times New Roman" w:eastAsia="Times New Roman" w:cs="Times New Roman"/>
          <w:b/>
          <w:bCs/>
          <w:i w:val="0"/>
          <w:iCs w:val="0"/>
          <w:caps w:val="0"/>
          <w:color w:val="0F1115"/>
          <w:spacing w:val="0"/>
          <w:sz w:val="21"/>
          <w:szCs w:val="21"/>
          <w:shd w:val="clear" w:fill="FFFFFF"/>
        </w:rPr>
        <w:t>G</w:t>
      </w:r>
      <w:r>
        <w:rPr>
          <w:rFonts w:hint="default" w:ascii="KaTeX_Math" w:hAnsi="KaTeX_Math" w:eastAsia="KaTeX_Math" w:cs="KaTeX_Math"/>
          <w:b/>
          <w:bCs/>
          <w:i/>
          <w:iCs/>
          <w:caps w:val="0"/>
          <w:color w:val="0F1115"/>
          <w:spacing w:val="0"/>
          <w:sz w:val="21"/>
          <w:szCs w:val="21"/>
          <w:shd w:val="clear" w:fill="FFFFFF"/>
        </w:rPr>
        <w:t>G</w:t>
      </w:r>
    </w:p>
    <w:p w14:paraId="73327A25">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 functional </w:t>
      </w:r>
      <w:r>
        <w:rPr>
          <w:rFonts w:hint="default" w:ascii="Times New Roman" w:hAnsi="Times New Roman" w:eastAsia="Times New Roman" w:cs="Times New Roman"/>
          <w:i w:val="0"/>
          <w:iCs w:val="0"/>
          <w:caps w:val="0"/>
          <w:color w:val="0F1115"/>
          <w:spacing w:val="0"/>
          <w:sz w:val="21"/>
          <w:szCs w:val="21"/>
          <w:shd w:val="clear" w:fill="FFFFFF"/>
        </w:rPr>
        <w:t>G</w:t>
      </w:r>
      <w:r>
        <w:rPr>
          <w:rFonts w:hint="default" w:ascii="KaTeX_Math" w:hAnsi="KaTeX_Math" w:eastAsia="KaTeX_Math" w:cs="KaTeX_Math"/>
          <w:i/>
          <w:iCs/>
          <w:caps w:val="0"/>
          <w:color w:val="0F1115"/>
          <w:spacing w:val="0"/>
          <w:sz w:val="21"/>
          <w:szCs w:val="21"/>
          <w:shd w:val="clear" w:fill="FFFFFF"/>
        </w:rPr>
        <w:t>G</w:t>
      </w:r>
      <w:r>
        <w:rPr>
          <w:rFonts w:hint="default" w:ascii="Segoe UI" w:hAnsi="Segoe UI" w:eastAsia="Segoe UI" w:cs="Segoe UI"/>
          <w:i w:val="0"/>
          <w:iCs w:val="0"/>
          <w:caps w:val="0"/>
          <w:color w:val="0F1115"/>
          <w:spacing w:val="0"/>
          <w:sz w:val="24"/>
          <w:szCs w:val="24"/>
          <w:shd w:val="clear" w:fill="FFFFFF"/>
        </w:rPr>
        <w:t> decomposes into three components:</w:t>
      </w:r>
    </w:p>
    <w:p w14:paraId="1A34899A">
      <w:pPr>
        <w:keepNext w:val="0"/>
        <w:keepLines w:val="0"/>
        <w:widowControl/>
        <w:suppressLineNumbers w:val="0"/>
        <w:spacing w:before="0" w:beforeAutospacing="0" w:after="0" w:afterAutospacing="0"/>
        <w:ind w:left="330" w:right="330"/>
        <w:jc w:val="left"/>
      </w:pP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G=Gh+Gion+GQFT(2)</w:t>
      </w:r>
      <w:r>
        <w:rPr>
          <w:rFonts w:hint="default" w:ascii="KaTeX_Math" w:hAnsi="KaTeX_Math" w:eastAsia="KaTeX_Math" w:cs="KaTeX_Math"/>
          <w:i/>
          <w:iCs/>
          <w:caps w:val="0"/>
          <w:color w:val="0F1115"/>
          <w:spacing w:val="0"/>
          <w:kern w:val="0"/>
          <w:sz w:val="21"/>
          <w:szCs w:val="21"/>
          <w:shd w:val="clear" w:fill="FFFFFF"/>
          <w:lang w:val="en-US" w:eastAsia="zh-CN" w:bidi="ar"/>
        </w:rPr>
        <w:t>G</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G</w:t>
      </w:r>
      <w:r>
        <w:rPr>
          <w:rFonts w:hint="default" w:ascii="KaTeX_Math" w:hAnsi="KaTeX_Math" w:eastAsia="KaTeX_Math" w:cs="KaTeX_Math"/>
          <w:i/>
          <w:iCs/>
          <w:caps w:val="0"/>
          <w:color w:val="0F1115"/>
          <w:spacing w:val="0"/>
          <w:kern w:val="0"/>
          <w:sz w:val="0"/>
          <w:szCs w:val="0"/>
          <w:shd w:val="clear" w:fill="FFFFFF"/>
          <w:lang w:val="en-US" w:eastAsia="zh-CN" w:bidi="ar"/>
        </w:rPr>
        <w:t>h</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G</w:t>
      </w:r>
      <w:r>
        <w:rPr>
          <w:rFonts w:hint="default" w:ascii="KaTeX_Math" w:hAnsi="KaTeX_Math" w:eastAsia="KaTeX_Math" w:cs="KaTeX_Math"/>
          <w:i/>
          <w:iCs/>
          <w:caps w:val="0"/>
          <w:color w:val="0F1115"/>
          <w:spacing w:val="0"/>
          <w:kern w:val="0"/>
          <w:sz w:val="0"/>
          <w:szCs w:val="0"/>
          <w:shd w:val="clear" w:fill="FFFFFF"/>
          <w:lang w:val="en-US" w:eastAsia="zh-CN" w:bidi="ar"/>
        </w:rPr>
        <w:t>ion</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G</w:t>
      </w:r>
      <w:r>
        <w:rPr>
          <w:rFonts w:hint="default" w:ascii="KaTeX_Math" w:hAnsi="KaTeX_Math" w:eastAsia="KaTeX_Math" w:cs="KaTeX_Math"/>
          <w:i/>
          <w:iCs/>
          <w:caps w:val="0"/>
          <w:color w:val="0F1115"/>
          <w:spacing w:val="0"/>
          <w:kern w:val="0"/>
          <w:sz w:val="0"/>
          <w:szCs w:val="0"/>
          <w:shd w:val="clear" w:fill="FFFFFF"/>
          <w:lang w:val="en-US" w:eastAsia="zh-CN" w:bidi="ar"/>
        </w:rPr>
        <w:t>QFT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(2)</w:t>
      </w:r>
    </w:p>
    <w:p w14:paraId="3752B366">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Hydrophobic component</w:t>
      </w:r>
      <w:r>
        <w:rPr>
          <w:rFonts w:hint="default" w:ascii="Segoe UI" w:hAnsi="Segoe UI" w:eastAsia="Segoe UI" w:cs="Segoe UI"/>
          <w:i w:val="0"/>
          <w:iCs w:val="0"/>
          <w:caps w:val="0"/>
          <w:color w:val="0F1115"/>
          <w:spacing w:val="0"/>
          <w:sz w:val="24"/>
          <w:szCs w:val="24"/>
          <w:shd w:val="clear" w:fill="FFFFFF"/>
        </w:rPr>
        <w:t> (from NCPD Law):</w:t>
      </w:r>
    </w:p>
    <w:p w14:paraId="0BD12ECE">
      <w:pPr>
        <w:keepNext w:val="0"/>
        <w:keepLines w:val="0"/>
        <w:widowControl/>
        <w:suppressLineNumbers w:val="0"/>
        <w:spacing w:before="0" w:beforeAutospacing="0" w:after="0" w:afterAutospacing="0"/>
        <w:ind w:left="330" w:right="330"/>
        <w:jc w:val="left"/>
      </w:pP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Gh=∑iΔσiAi[1−tanh⁡(ri−rcl)](3)</w:t>
      </w:r>
      <w:r>
        <w:rPr>
          <w:rFonts w:hint="default" w:ascii="KaTeX_Math" w:hAnsi="KaTeX_Math" w:eastAsia="KaTeX_Math" w:cs="KaTeX_Math"/>
          <w:i/>
          <w:iCs/>
          <w:caps w:val="0"/>
          <w:color w:val="0F1115"/>
          <w:spacing w:val="0"/>
          <w:kern w:val="0"/>
          <w:sz w:val="21"/>
          <w:szCs w:val="21"/>
          <w:shd w:val="clear" w:fill="FFFFFF"/>
          <w:lang w:val="en-US" w:eastAsia="zh-CN" w:bidi="ar"/>
        </w:rPr>
        <w:t>G</w:t>
      </w:r>
      <w:r>
        <w:rPr>
          <w:rFonts w:hint="default" w:ascii="KaTeX_Math" w:hAnsi="KaTeX_Math" w:eastAsia="KaTeX_Math" w:cs="KaTeX_Math"/>
          <w:i/>
          <w:iCs/>
          <w:caps w:val="0"/>
          <w:color w:val="0F1115"/>
          <w:spacing w:val="0"/>
          <w:kern w:val="0"/>
          <w:sz w:val="0"/>
          <w:szCs w:val="0"/>
          <w:shd w:val="clear" w:fill="FFFFFF"/>
          <w:lang w:val="en-US" w:eastAsia="zh-CN" w:bidi="ar"/>
        </w:rPr>
        <w:t>h</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0"/>
          <w:szCs w:val="0"/>
          <w:shd w:val="clear" w:fill="FFFFFF"/>
          <w:lang w:val="en-US" w:eastAsia="zh-CN" w:bidi="ar"/>
        </w:rPr>
        <w:t>i</w:t>
      </w:r>
      <w:r>
        <w:rPr>
          <w:rFonts w:ascii="KaTeX_Size2" w:hAnsi="KaTeX_Size2" w:eastAsia="KaTeX_Size2" w:cs="KaTeX_Size2"/>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Δ</w:t>
      </w:r>
      <w:r>
        <w:rPr>
          <w:rFonts w:hint="default" w:ascii="KaTeX_Math" w:hAnsi="KaTeX_Math" w:eastAsia="KaTeX_Math" w:cs="KaTeX_Math"/>
          <w:i/>
          <w:iCs/>
          <w:caps w:val="0"/>
          <w:color w:val="0F1115"/>
          <w:spacing w:val="0"/>
          <w:kern w:val="0"/>
          <w:sz w:val="21"/>
          <w:szCs w:val="21"/>
          <w:shd w:val="clear" w:fill="FFFFFF"/>
          <w:lang w:val="en-US" w:eastAsia="zh-CN" w:bidi="ar"/>
        </w:rPr>
        <w:t>σ</w:t>
      </w:r>
      <w:r>
        <w:rPr>
          <w:rFonts w:hint="default" w:ascii="KaTeX_Math" w:hAnsi="KaTeX_Math" w:eastAsia="KaTeX_Math" w:cs="KaTeX_Math"/>
          <w:i/>
          <w:iCs/>
          <w:caps w:val="0"/>
          <w:color w:val="0F1115"/>
          <w:spacing w:val="0"/>
          <w:kern w:val="0"/>
          <w:sz w:val="0"/>
          <w:szCs w:val="0"/>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A</w:t>
      </w:r>
      <w:r>
        <w:rPr>
          <w:rFonts w:hint="default" w:ascii="KaTeX_Math" w:hAnsi="KaTeX_Math" w:eastAsia="KaTeX_Math" w:cs="KaTeX_Math"/>
          <w:i/>
          <w:iCs/>
          <w:caps w:val="0"/>
          <w:color w:val="0F1115"/>
          <w:spacing w:val="0"/>
          <w:kern w:val="0"/>
          <w:sz w:val="0"/>
          <w:szCs w:val="0"/>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ascii="KaTeX_Size3" w:hAnsi="KaTeX_Size3" w:eastAsia="KaTeX_Size3" w:cs="KaTeX_Size3"/>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1−tanh</w:t>
      </w:r>
      <w:r>
        <w:rPr>
          <w:rFonts w:hint="default" w:ascii="KaTeX_Size3" w:hAnsi="KaTeX_Size3" w:eastAsia="KaTeX_Size3" w:cs="KaTeX_Size3"/>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lr</w:t>
      </w:r>
      <w:r>
        <w:rPr>
          <w:rFonts w:hint="default" w:ascii="KaTeX_Math" w:hAnsi="KaTeX_Math" w:eastAsia="KaTeX_Math" w:cs="KaTeX_Math"/>
          <w:i/>
          <w:iCs/>
          <w:caps w:val="0"/>
          <w:color w:val="0F1115"/>
          <w:spacing w:val="0"/>
          <w:kern w:val="0"/>
          <w:sz w:val="0"/>
          <w:szCs w:val="0"/>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r</w:t>
      </w:r>
      <w:r>
        <w:rPr>
          <w:rFonts w:hint="default" w:ascii="KaTeX_Math" w:hAnsi="KaTeX_Math" w:eastAsia="KaTeX_Math" w:cs="KaTeX_Math"/>
          <w:i/>
          <w:iCs/>
          <w:caps w:val="0"/>
          <w:color w:val="0F1115"/>
          <w:spacing w:val="0"/>
          <w:kern w:val="0"/>
          <w:sz w:val="0"/>
          <w:szCs w:val="0"/>
          <w:shd w:val="clear" w:fill="FFFFFF"/>
          <w:lang w:val="en-US" w:eastAsia="zh-CN" w:bidi="ar"/>
        </w:rPr>
        <w:t>c</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Size3" w:hAnsi="KaTeX_Size3" w:eastAsia="KaTeX_Size3" w:cs="KaTeX_Size3"/>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(3)</w:t>
      </w:r>
    </w:p>
    <w:p w14:paraId="553C5217">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where </w:t>
      </w:r>
      <w:r>
        <w:rPr>
          <w:rFonts w:hint="default" w:ascii="Times New Roman" w:hAnsi="Times New Roman" w:eastAsia="Times New Roman" w:cs="Times New Roman"/>
          <w:i w:val="0"/>
          <w:iCs w:val="0"/>
          <w:caps w:val="0"/>
          <w:color w:val="0F1115"/>
          <w:spacing w:val="0"/>
          <w:sz w:val="21"/>
          <w:szCs w:val="21"/>
          <w:shd w:val="clear" w:fill="FFFFFF"/>
        </w:rPr>
        <w:t>Δσi</w:t>
      </w:r>
      <w:r>
        <w:rPr>
          <w:rFonts w:hint="default" w:ascii="Times New Roman" w:hAnsi="Times New Roman" w:eastAsia="Times New Roman" w:cs="Times New Roman"/>
          <w:i w:val="0"/>
          <w:iCs w:val="0"/>
          <w:caps w:val="0"/>
          <w:color w:val="0F1115"/>
          <w:spacing w:val="0"/>
          <w:sz w:val="21"/>
          <w:szCs w:val="21"/>
          <w:shd w:val="clear" w:fill="FFFFFF"/>
        </w:rPr>
        <w:t>Δ</w:t>
      </w:r>
      <w:r>
        <w:rPr>
          <w:rFonts w:hint="default" w:ascii="KaTeX_Math" w:hAnsi="KaTeX_Math" w:eastAsia="KaTeX_Math" w:cs="KaTeX_Math"/>
          <w:i/>
          <w:iCs/>
          <w:caps w:val="0"/>
          <w:color w:val="0F1115"/>
          <w:spacing w:val="0"/>
          <w:sz w:val="21"/>
          <w:szCs w:val="21"/>
          <w:shd w:val="clear" w:fill="FFFFFF"/>
        </w:rPr>
        <w:t>σ</w:t>
      </w:r>
      <w:r>
        <w:rPr>
          <w:rFonts w:hint="default" w:ascii="KaTeX_Math" w:hAnsi="KaTeX_Math" w:eastAsia="KaTeX_Math" w:cs="KaTeX_Math"/>
          <w:i/>
          <w:iCs/>
          <w:caps w:val="0"/>
          <w:color w:val="0F1115"/>
          <w:spacing w:val="0"/>
          <w:sz w:val="0"/>
          <w:szCs w:val="0"/>
          <w:shd w:val="clear" w:fill="FFFFFF"/>
        </w:rPr>
        <w:t>i</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is the surface tension difference upon hydrophobic surface exposure, </w:t>
      </w:r>
      <w:r>
        <w:rPr>
          <w:rFonts w:hint="default" w:ascii="Times New Roman" w:hAnsi="Times New Roman" w:eastAsia="Times New Roman" w:cs="Times New Roman"/>
          <w:i w:val="0"/>
          <w:iCs w:val="0"/>
          <w:caps w:val="0"/>
          <w:color w:val="0F1115"/>
          <w:spacing w:val="0"/>
          <w:sz w:val="21"/>
          <w:szCs w:val="21"/>
          <w:shd w:val="clear" w:fill="FFFFFF"/>
        </w:rPr>
        <w:t>Ai</w:t>
      </w:r>
      <w:r>
        <w:rPr>
          <w:rFonts w:hint="default" w:ascii="KaTeX_Math" w:hAnsi="KaTeX_Math" w:eastAsia="KaTeX_Math" w:cs="KaTeX_Math"/>
          <w:i/>
          <w:iCs/>
          <w:caps w:val="0"/>
          <w:color w:val="0F1115"/>
          <w:spacing w:val="0"/>
          <w:sz w:val="21"/>
          <w:szCs w:val="21"/>
          <w:shd w:val="clear" w:fill="FFFFFF"/>
        </w:rPr>
        <w:t>A</w:t>
      </w:r>
      <w:r>
        <w:rPr>
          <w:rFonts w:hint="default" w:ascii="KaTeX_Math" w:hAnsi="KaTeX_Math" w:eastAsia="KaTeX_Math" w:cs="KaTeX_Math"/>
          <w:i/>
          <w:iCs/>
          <w:caps w:val="0"/>
          <w:color w:val="0F1115"/>
          <w:spacing w:val="0"/>
          <w:sz w:val="0"/>
          <w:szCs w:val="0"/>
          <w:shd w:val="clear" w:fill="FFFFFF"/>
        </w:rPr>
        <w:t>i</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is contact area, </w:t>
      </w:r>
      <w:r>
        <w:rPr>
          <w:rFonts w:hint="default" w:ascii="Times New Roman" w:hAnsi="Times New Roman" w:eastAsia="Times New Roman" w:cs="Times New Roman"/>
          <w:i w:val="0"/>
          <w:iCs w:val="0"/>
          <w:caps w:val="0"/>
          <w:color w:val="0F1115"/>
          <w:spacing w:val="0"/>
          <w:sz w:val="21"/>
          <w:szCs w:val="21"/>
          <w:shd w:val="clear" w:fill="FFFFFF"/>
        </w:rPr>
        <w:t>rc</w:t>
      </w:r>
      <w:r>
        <w:rPr>
          <w:rFonts w:hint="default" w:ascii="KaTeX_Math" w:hAnsi="KaTeX_Math" w:eastAsia="KaTeX_Math" w:cs="KaTeX_Math"/>
          <w:i/>
          <w:iCs/>
          <w:caps w:val="0"/>
          <w:color w:val="0F1115"/>
          <w:spacing w:val="0"/>
          <w:sz w:val="21"/>
          <w:szCs w:val="21"/>
          <w:shd w:val="clear" w:fill="FFFFFF"/>
        </w:rPr>
        <w:t>r</w:t>
      </w:r>
      <w:r>
        <w:rPr>
          <w:rFonts w:hint="default" w:ascii="KaTeX_Math" w:hAnsi="KaTeX_Math" w:eastAsia="KaTeX_Math" w:cs="KaTeX_Math"/>
          <w:i/>
          <w:iCs/>
          <w:caps w:val="0"/>
          <w:color w:val="0F1115"/>
          <w:spacing w:val="0"/>
          <w:sz w:val="0"/>
          <w:szCs w:val="0"/>
          <w:shd w:val="clear" w:fill="FFFFFF"/>
        </w:rPr>
        <w:t>c</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is the critical radius (4.2 Å), and </w:t>
      </w:r>
      <w:r>
        <w:rPr>
          <w:rFonts w:hint="default" w:ascii="Times New Roman" w:hAnsi="Times New Roman" w:eastAsia="Times New Roman" w:cs="Times New Roman"/>
          <w:i w:val="0"/>
          <w:iCs w:val="0"/>
          <w:caps w:val="0"/>
          <w:color w:val="0F1115"/>
          <w:spacing w:val="0"/>
          <w:sz w:val="21"/>
          <w:szCs w:val="21"/>
          <w:shd w:val="clear" w:fill="FFFFFF"/>
        </w:rPr>
        <w:t>l</w:t>
      </w:r>
      <w:r>
        <w:rPr>
          <w:rFonts w:hint="default" w:ascii="KaTeX_Math" w:hAnsi="KaTeX_Math" w:eastAsia="KaTeX_Math" w:cs="KaTeX_Math"/>
          <w:i/>
          <w:iCs/>
          <w:caps w:val="0"/>
          <w:color w:val="0F1115"/>
          <w:spacing w:val="0"/>
          <w:sz w:val="21"/>
          <w:szCs w:val="21"/>
          <w:shd w:val="clear" w:fill="FFFFFF"/>
        </w:rPr>
        <w:t>l</w:t>
      </w:r>
      <w:r>
        <w:rPr>
          <w:rFonts w:hint="default" w:ascii="Segoe UI" w:hAnsi="Segoe UI" w:eastAsia="Segoe UI" w:cs="Segoe UI"/>
          <w:i w:val="0"/>
          <w:iCs w:val="0"/>
          <w:caps w:val="0"/>
          <w:color w:val="0F1115"/>
          <w:spacing w:val="0"/>
          <w:sz w:val="24"/>
          <w:szCs w:val="24"/>
          <w:shd w:val="clear" w:fill="FFFFFF"/>
        </w:rPr>
        <w:t> is the characteristic transition length (1.2 Å).</w:t>
      </w:r>
    </w:p>
    <w:p w14:paraId="1F428CCD">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Ion-dipole component</w:t>
      </w:r>
      <w:r>
        <w:rPr>
          <w:rFonts w:hint="default" w:ascii="Segoe UI" w:hAnsi="Segoe UI" w:eastAsia="Segoe UI" w:cs="Segoe UI"/>
          <w:i w:val="0"/>
          <w:iCs w:val="0"/>
          <w:caps w:val="0"/>
          <w:color w:val="0F1115"/>
          <w:spacing w:val="0"/>
          <w:sz w:val="24"/>
          <w:szCs w:val="24"/>
          <w:shd w:val="clear" w:fill="FFFFFF"/>
        </w:rPr>
        <w:t> (from QTBL Law):</w:t>
      </w:r>
    </w:p>
    <w:p w14:paraId="3D08CD82">
      <w:pPr>
        <w:keepNext w:val="0"/>
        <w:keepLines w:val="0"/>
        <w:widowControl/>
        <w:suppressLineNumbers w:val="0"/>
        <w:spacing w:before="0" w:beforeAutospacing="0" w:after="0" w:afterAutospacing="0"/>
        <w:ind w:left="330" w:right="330"/>
        <w:jc w:val="left"/>
      </w:pP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Gion=∑pairsqiqj4πϵ0ϵ(r)rcos⁡(2θ−θ0)(4)</w:t>
      </w:r>
      <w:r>
        <w:rPr>
          <w:rFonts w:hint="default" w:ascii="KaTeX_Math" w:hAnsi="KaTeX_Math" w:eastAsia="KaTeX_Math" w:cs="KaTeX_Math"/>
          <w:i/>
          <w:iCs/>
          <w:caps w:val="0"/>
          <w:color w:val="0F1115"/>
          <w:spacing w:val="0"/>
          <w:kern w:val="0"/>
          <w:sz w:val="21"/>
          <w:szCs w:val="21"/>
          <w:shd w:val="clear" w:fill="FFFFFF"/>
          <w:lang w:val="en-US" w:eastAsia="zh-CN" w:bidi="ar"/>
        </w:rPr>
        <w:t>G</w:t>
      </w:r>
      <w:r>
        <w:rPr>
          <w:rFonts w:hint="default" w:ascii="KaTeX_Math" w:hAnsi="KaTeX_Math" w:eastAsia="KaTeX_Math" w:cs="KaTeX_Math"/>
          <w:i/>
          <w:iCs/>
          <w:caps w:val="0"/>
          <w:color w:val="0F1115"/>
          <w:spacing w:val="0"/>
          <w:kern w:val="0"/>
          <w:sz w:val="0"/>
          <w:szCs w:val="0"/>
          <w:shd w:val="clear" w:fill="FFFFFF"/>
          <w:lang w:val="en-US" w:eastAsia="zh-CN" w:bidi="ar"/>
        </w:rPr>
        <w:t>ion</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0"/>
          <w:szCs w:val="0"/>
          <w:shd w:val="clear" w:fill="FFFFFF"/>
          <w:lang w:val="en-US" w:eastAsia="zh-CN" w:bidi="ar"/>
        </w:rPr>
        <w:t>pairs</w:t>
      </w:r>
      <w:r>
        <w:rPr>
          <w:rFonts w:hint="default" w:ascii="KaTeX_Size2" w:hAnsi="KaTeX_Size2" w:eastAsia="KaTeX_Size2" w:cs="KaTeX_Size2"/>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4</w:t>
      </w:r>
      <w:r>
        <w:rPr>
          <w:rFonts w:hint="default" w:ascii="KaTeX_Math" w:hAnsi="KaTeX_Math" w:eastAsia="KaTeX_Math" w:cs="KaTeX_Math"/>
          <w:i/>
          <w:iCs/>
          <w:caps w:val="0"/>
          <w:color w:val="0F1115"/>
          <w:spacing w:val="0"/>
          <w:kern w:val="0"/>
          <w:sz w:val="21"/>
          <w:szCs w:val="21"/>
          <w:shd w:val="clear" w:fill="FFFFFF"/>
          <w:lang w:val="en-US" w:eastAsia="zh-CN" w:bidi="ar"/>
        </w:rPr>
        <w:t>πϵ</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ϵ</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rq</w:t>
      </w:r>
      <w:r>
        <w:rPr>
          <w:rFonts w:hint="default" w:ascii="KaTeX_Math" w:hAnsi="KaTeX_Math" w:eastAsia="KaTeX_Math" w:cs="KaTeX_Math"/>
          <w:i/>
          <w:iCs/>
          <w:caps w:val="0"/>
          <w:color w:val="0F1115"/>
          <w:spacing w:val="0"/>
          <w:kern w:val="0"/>
          <w:sz w:val="0"/>
          <w:szCs w:val="0"/>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q</w:t>
      </w:r>
      <w:r>
        <w:rPr>
          <w:rFonts w:hint="default" w:ascii="KaTeX_Math" w:hAnsi="KaTeX_Math" w:eastAsia="KaTeX_Math" w:cs="KaTeX_Math"/>
          <w:i/>
          <w:iCs/>
          <w:caps w:val="0"/>
          <w:color w:val="0F1115"/>
          <w:spacing w:val="0"/>
          <w:kern w:val="0"/>
          <w:sz w:val="0"/>
          <w:szCs w:val="0"/>
          <w:shd w:val="clear" w:fill="FFFFFF"/>
          <w:lang w:val="en-US" w:eastAsia="zh-CN" w:bidi="ar"/>
        </w:rPr>
        <w:t>j</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cos(2</w:t>
      </w:r>
      <w:r>
        <w:rPr>
          <w:rFonts w:hint="default" w:ascii="KaTeX_Math" w:hAnsi="KaTeX_Math" w:eastAsia="KaTeX_Math" w:cs="KaTeX_Math"/>
          <w:i/>
          <w:iCs/>
          <w:caps w:val="0"/>
          <w:color w:val="0F1115"/>
          <w:spacing w:val="0"/>
          <w:kern w:val="0"/>
          <w:sz w:val="21"/>
          <w:szCs w:val="21"/>
          <w:shd w:val="clear" w:fill="FFFFFF"/>
          <w:lang w:val="en-US" w:eastAsia="zh-CN" w:bidi="ar"/>
        </w:rPr>
        <w:t>θ</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θ</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)(4)</w:t>
      </w:r>
    </w:p>
    <w:p w14:paraId="02BD8552">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where </w:t>
      </w:r>
      <w:r>
        <w:rPr>
          <w:rFonts w:hint="default" w:ascii="Times New Roman" w:hAnsi="Times New Roman" w:eastAsia="Times New Roman" w:cs="Times New Roman"/>
          <w:i w:val="0"/>
          <w:iCs w:val="0"/>
          <w:caps w:val="0"/>
          <w:color w:val="0F1115"/>
          <w:spacing w:val="0"/>
          <w:sz w:val="21"/>
          <w:szCs w:val="21"/>
          <w:shd w:val="clear" w:fill="FFFFFF"/>
        </w:rPr>
        <w:t>ϵ(r)=ϵ0e−κr</w:t>
      </w:r>
      <w:r>
        <w:rPr>
          <w:rFonts w:hint="default" w:ascii="KaTeX_Math" w:hAnsi="KaTeX_Math" w:eastAsia="KaTeX_Math" w:cs="KaTeX_Math"/>
          <w:i/>
          <w:iCs/>
          <w:caps w:val="0"/>
          <w:color w:val="0F1115"/>
          <w:spacing w:val="0"/>
          <w:sz w:val="21"/>
          <w:szCs w:val="21"/>
          <w:shd w:val="clear" w:fill="FFFFFF"/>
        </w:rPr>
        <w:t>ϵ</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r</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ϵ</w:t>
      </w:r>
      <w:r>
        <w:rPr>
          <w:rFonts w:hint="default" w:ascii="Times New Roman" w:hAnsi="Times New Roman" w:eastAsia="Times New Roman" w:cs="Times New Roman"/>
          <w:i w:val="0"/>
          <w:iCs w:val="0"/>
          <w:caps w:val="0"/>
          <w:color w:val="0F1115"/>
          <w:spacing w:val="0"/>
          <w:sz w:val="0"/>
          <w:szCs w:val="0"/>
          <w:shd w:val="clear" w:fill="FFFFFF"/>
        </w:rPr>
        <w:t>0</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KaTeX_Math" w:hAnsi="KaTeX_Math" w:eastAsia="KaTeX_Math" w:cs="KaTeX_Math"/>
          <w:i/>
          <w:iCs/>
          <w:caps w:val="0"/>
          <w:color w:val="0F1115"/>
          <w:spacing w:val="0"/>
          <w:sz w:val="21"/>
          <w:szCs w:val="21"/>
          <w:shd w:val="clear" w:fill="FFFFFF"/>
        </w:rPr>
        <w:t>e</w:t>
      </w:r>
      <w:r>
        <w:rPr>
          <w:rFonts w:hint="default" w:ascii="Times New Roman" w:hAnsi="Times New Roman" w:eastAsia="Times New Roman" w:cs="Times New Roman"/>
          <w:i w:val="0"/>
          <w:iCs w:val="0"/>
          <w:caps w:val="0"/>
          <w:color w:val="0F1115"/>
          <w:spacing w:val="0"/>
          <w:sz w:val="0"/>
          <w:szCs w:val="0"/>
          <w:shd w:val="clear" w:fill="FFFFFF"/>
        </w:rPr>
        <w:t>−</w:t>
      </w:r>
      <w:r>
        <w:rPr>
          <w:rFonts w:hint="default" w:ascii="KaTeX_Math" w:hAnsi="KaTeX_Math" w:eastAsia="KaTeX_Math" w:cs="KaTeX_Math"/>
          <w:i/>
          <w:iCs/>
          <w:caps w:val="0"/>
          <w:color w:val="0F1115"/>
          <w:spacing w:val="0"/>
          <w:sz w:val="0"/>
          <w:szCs w:val="0"/>
          <w:shd w:val="clear" w:fill="FFFFFF"/>
        </w:rPr>
        <w:t>κr</w:t>
      </w:r>
      <w:r>
        <w:rPr>
          <w:rFonts w:hint="default" w:ascii="Segoe UI" w:hAnsi="Segoe UI" w:eastAsia="Segoe UI" w:cs="Segoe UI"/>
          <w:i w:val="0"/>
          <w:iCs w:val="0"/>
          <w:caps w:val="0"/>
          <w:color w:val="0F1115"/>
          <w:spacing w:val="0"/>
          <w:sz w:val="24"/>
          <w:szCs w:val="24"/>
          <w:shd w:val="clear" w:fill="FFFFFF"/>
        </w:rPr>
        <w:t> is the screened dielectric function, and </w:t>
      </w:r>
      <w:r>
        <w:rPr>
          <w:rFonts w:hint="default" w:ascii="Times New Roman" w:hAnsi="Times New Roman" w:eastAsia="Times New Roman" w:cs="Times New Roman"/>
          <w:i w:val="0"/>
          <w:iCs w:val="0"/>
          <w:caps w:val="0"/>
          <w:color w:val="0F1115"/>
          <w:spacing w:val="0"/>
          <w:sz w:val="21"/>
          <w:szCs w:val="21"/>
          <w:shd w:val="clear" w:fill="FFFFFF"/>
        </w:rPr>
        <w:t>θ0=15°</w:t>
      </w:r>
      <w:r>
        <w:rPr>
          <w:rFonts w:hint="default" w:ascii="KaTeX_Math" w:hAnsi="KaTeX_Math" w:eastAsia="KaTeX_Math" w:cs="KaTeX_Math"/>
          <w:i/>
          <w:iCs/>
          <w:caps w:val="0"/>
          <w:color w:val="0F1115"/>
          <w:spacing w:val="0"/>
          <w:sz w:val="21"/>
          <w:szCs w:val="21"/>
          <w:shd w:val="clear" w:fill="FFFFFF"/>
        </w:rPr>
        <w:t>θ</w:t>
      </w:r>
      <w:r>
        <w:rPr>
          <w:rFonts w:hint="default" w:ascii="Times New Roman" w:hAnsi="Times New Roman" w:eastAsia="Times New Roman" w:cs="Times New Roman"/>
          <w:i w:val="0"/>
          <w:iCs w:val="0"/>
          <w:caps w:val="0"/>
          <w:color w:val="0F1115"/>
          <w:spacing w:val="0"/>
          <w:sz w:val="0"/>
          <w:szCs w:val="0"/>
          <w:shd w:val="clear" w:fill="FFFFFF"/>
        </w:rPr>
        <w:t>0</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=15°</w:t>
      </w:r>
      <w:r>
        <w:rPr>
          <w:rFonts w:hint="default" w:ascii="Segoe UI" w:hAnsi="Segoe UI" w:eastAsia="Segoe UI" w:cs="Segoe UI"/>
          <w:i w:val="0"/>
          <w:iCs w:val="0"/>
          <w:caps w:val="0"/>
          <w:color w:val="0F1115"/>
          <w:spacing w:val="0"/>
          <w:sz w:val="24"/>
          <w:szCs w:val="24"/>
          <w:shd w:val="clear" w:fill="FFFFFF"/>
        </w:rPr>
        <w:t> is the equilibrium orientation angle.</w:t>
      </w:r>
    </w:p>
    <w:p w14:paraId="6F5BDF6E">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Quantum component</w:t>
      </w:r>
      <w:r>
        <w:rPr>
          <w:rFonts w:hint="default" w:ascii="Segoe UI" w:hAnsi="Segoe UI" w:eastAsia="Segoe UI" w:cs="Segoe UI"/>
          <w:i w:val="0"/>
          <w:iCs w:val="0"/>
          <w:caps w:val="0"/>
          <w:color w:val="0F1115"/>
          <w:spacing w:val="0"/>
          <w:sz w:val="24"/>
          <w:szCs w:val="24"/>
          <w:shd w:val="clear" w:fill="FFFFFF"/>
        </w:rPr>
        <w:t> (from QTBL and LMD):</w:t>
      </w:r>
    </w:p>
    <w:p w14:paraId="3B6C63D6">
      <w:pPr>
        <w:keepNext w:val="0"/>
        <w:keepLines w:val="0"/>
        <w:widowControl/>
        <w:suppressLineNumbers w:val="0"/>
        <w:spacing w:before="0" w:beforeAutospacing="0" w:after="0" w:afterAutospacing="0"/>
        <w:ind w:left="330" w:right="330"/>
        <w:jc w:val="left"/>
      </w:pP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GQFT=gQFTℏcr3⟨Φ∣H^ex∣Φ⟩(5)</w:t>
      </w:r>
      <w:r>
        <w:rPr>
          <w:rFonts w:hint="default" w:ascii="KaTeX_Math" w:hAnsi="KaTeX_Math" w:eastAsia="KaTeX_Math" w:cs="KaTeX_Math"/>
          <w:i/>
          <w:iCs/>
          <w:caps w:val="0"/>
          <w:color w:val="0F1115"/>
          <w:spacing w:val="0"/>
          <w:kern w:val="0"/>
          <w:sz w:val="21"/>
          <w:szCs w:val="21"/>
          <w:shd w:val="clear" w:fill="FFFFFF"/>
          <w:lang w:val="en-US" w:eastAsia="zh-CN" w:bidi="ar"/>
        </w:rPr>
        <w:t>G</w:t>
      </w:r>
      <w:r>
        <w:rPr>
          <w:rFonts w:hint="default" w:ascii="KaTeX_Math" w:hAnsi="KaTeX_Math" w:eastAsia="KaTeX_Math" w:cs="KaTeX_Math"/>
          <w:i/>
          <w:iCs/>
          <w:caps w:val="0"/>
          <w:color w:val="0F1115"/>
          <w:spacing w:val="0"/>
          <w:kern w:val="0"/>
          <w:sz w:val="0"/>
          <w:szCs w:val="0"/>
          <w:shd w:val="clear" w:fill="FFFFFF"/>
          <w:lang w:val="en-US" w:eastAsia="zh-CN" w:bidi="ar"/>
        </w:rPr>
        <w:t>QFT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g</w:t>
      </w:r>
      <w:r>
        <w:rPr>
          <w:rFonts w:hint="default" w:ascii="KaTeX_Math" w:hAnsi="KaTeX_Math" w:eastAsia="KaTeX_Math" w:cs="KaTeX_Math"/>
          <w:i/>
          <w:iCs/>
          <w:caps w:val="0"/>
          <w:color w:val="0F1115"/>
          <w:spacing w:val="0"/>
          <w:kern w:val="0"/>
          <w:sz w:val="0"/>
          <w:szCs w:val="0"/>
          <w:shd w:val="clear" w:fill="FFFFFF"/>
          <w:lang w:val="en-US" w:eastAsia="zh-CN" w:bidi="ar"/>
        </w:rPr>
        <w:t>QFT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3</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ℏ</w:t>
      </w:r>
      <w:r>
        <w:rPr>
          <w:rFonts w:hint="default" w:ascii="KaTeX_Math" w:hAnsi="KaTeX_Math" w:eastAsia="KaTeX_Math" w:cs="KaTeX_Math"/>
          <w:i/>
          <w:iCs/>
          <w:caps w:val="0"/>
          <w:color w:val="0F1115"/>
          <w:spacing w:val="0"/>
          <w:kern w:val="0"/>
          <w:sz w:val="21"/>
          <w:szCs w:val="21"/>
          <w:shd w:val="clear" w:fill="FFFFFF"/>
          <w:lang w:val="en-US" w:eastAsia="zh-CN" w:bidi="ar"/>
        </w:rPr>
        <w:t>c</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⟨Φ∣</w:t>
      </w:r>
      <w:r>
        <w:rPr>
          <w:rFonts w:hint="default" w:ascii="KaTeX_Math" w:hAnsi="KaTeX_Math" w:eastAsia="KaTeX_Math" w:cs="KaTeX_Math"/>
          <w:i/>
          <w:iCs/>
          <w:caps w:val="0"/>
          <w:color w:val="0F1115"/>
          <w:spacing w:val="0"/>
          <w:kern w:val="0"/>
          <w:sz w:val="21"/>
          <w:szCs w:val="21"/>
          <w:shd w:val="clear" w:fill="FFFFFF"/>
          <w:lang w:val="en-US" w:eastAsia="zh-CN" w:bidi="ar"/>
        </w:rPr>
        <w:t>H</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0"/>
          <w:szCs w:val="0"/>
          <w:shd w:val="clear" w:fill="FFFFFF"/>
          <w:lang w:val="en-US" w:eastAsia="zh-CN" w:bidi="ar"/>
        </w:rPr>
        <w:t>ex</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∣Φ⟩(5)</w:t>
      </w:r>
    </w:p>
    <w:p w14:paraId="62B59EC3">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where </w:t>
      </w:r>
      <w:r>
        <w:rPr>
          <w:rFonts w:hint="default" w:ascii="Times New Roman" w:hAnsi="Times New Roman" w:eastAsia="Times New Roman" w:cs="Times New Roman"/>
          <w:i w:val="0"/>
          <w:iCs w:val="0"/>
          <w:caps w:val="0"/>
          <w:color w:val="0F1115"/>
          <w:spacing w:val="0"/>
          <w:sz w:val="21"/>
          <w:szCs w:val="21"/>
          <w:shd w:val="clear" w:fill="FFFFFF"/>
        </w:rPr>
        <w:t>gQFT=2.3×10−3</w:t>
      </w:r>
      <w:r>
        <w:rPr>
          <w:rFonts w:hint="default" w:ascii="KaTeX_Math" w:hAnsi="KaTeX_Math" w:eastAsia="KaTeX_Math" w:cs="KaTeX_Math"/>
          <w:i/>
          <w:iCs/>
          <w:caps w:val="0"/>
          <w:color w:val="0F1115"/>
          <w:spacing w:val="0"/>
          <w:sz w:val="21"/>
          <w:szCs w:val="21"/>
          <w:shd w:val="clear" w:fill="FFFFFF"/>
        </w:rPr>
        <w:t>g</w:t>
      </w:r>
      <w:r>
        <w:rPr>
          <w:rFonts w:hint="default" w:ascii="KaTeX_Math" w:hAnsi="KaTeX_Math" w:eastAsia="KaTeX_Math" w:cs="KaTeX_Math"/>
          <w:i/>
          <w:iCs/>
          <w:caps w:val="0"/>
          <w:color w:val="0F1115"/>
          <w:spacing w:val="0"/>
          <w:sz w:val="0"/>
          <w:szCs w:val="0"/>
          <w:shd w:val="clear" w:fill="FFFFFF"/>
        </w:rPr>
        <w:t>QFT</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=2.3×10</w:t>
      </w:r>
      <w:r>
        <w:rPr>
          <w:rFonts w:hint="default" w:ascii="Times New Roman" w:hAnsi="Times New Roman" w:eastAsia="Times New Roman" w:cs="Times New Roman"/>
          <w:i w:val="0"/>
          <w:iCs w:val="0"/>
          <w:caps w:val="0"/>
          <w:color w:val="0F1115"/>
          <w:spacing w:val="0"/>
          <w:sz w:val="0"/>
          <w:szCs w:val="0"/>
          <w:shd w:val="clear" w:fill="FFFFFF"/>
        </w:rPr>
        <w:t>−3</w:t>
      </w:r>
      <w:r>
        <w:rPr>
          <w:rFonts w:hint="default" w:ascii="Segoe UI" w:hAnsi="Segoe UI" w:eastAsia="Segoe UI" w:cs="Segoe UI"/>
          <w:i w:val="0"/>
          <w:iCs w:val="0"/>
          <w:caps w:val="0"/>
          <w:color w:val="0F1115"/>
          <w:spacing w:val="0"/>
          <w:sz w:val="24"/>
          <w:szCs w:val="24"/>
          <w:shd w:val="clear" w:fill="FFFFFF"/>
        </w:rPr>
        <w:t> is the exchange interaction constant, </w:t>
      </w:r>
      <w:r>
        <w:rPr>
          <w:rFonts w:hint="default" w:ascii="Times New Roman" w:hAnsi="Times New Roman" w:eastAsia="Times New Roman" w:cs="Times New Roman"/>
          <w:i w:val="0"/>
          <w:iCs w:val="0"/>
          <w:caps w:val="0"/>
          <w:color w:val="0F1115"/>
          <w:spacing w:val="0"/>
          <w:sz w:val="21"/>
          <w:szCs w:val="21"/>
          <w:shd w:val="clear" w:fill="FFFFFF"/>
        </w:rPr>
        <w:t>H^ex</w:t>
      </w:r>
      <w:r>
        <w:rPr>
          <w:rFonts w:hint="default" w:ascii="KaTeX_Math" w:hAnsi="KaTeX_Math" w:eastAsia="KaTeX_Math" w:cs="KaTeX_Math"/>
          <w:i/>
          <w:iCs/>
          <w:caps w:val="0"/>
          <w:color w:val="0F1115"/>
          <w:spacing w:val="0"/>
          <w:sz w:val="21"/>
          <w:szCs w:val="21"/>
          <w:shd w:val="clear" w:fill="FFFFFF"/>
        </w:rPr>
        <w:t>H</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0"/>
          <w:szCs w:val="0"/>
          <w:shd w:val="clear" w:fill="FFFFFF"/>
        </w:rPr>
        <w:t>ex</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is the exchange operator, and </w:t>
      </w:r>
      <w:r>
        <w:rPr>
          <w:rFonts w:hint="default" w:ascii="Times New Roman" w:hAnsi="Times New Roman" w:eastAsia="Times New Roman" w:cs="Times New Roman"/>
          <w:i w:val="0"/>
          <w:iCs w:val="0"/>
          <w:caps w:val="0"/>
          <w:color w:val="0F1115"/>
          <w:spacing w:val="0"/>
          <w:sz w:val="21"/>
          <w:szCs w:val="21"/>
          <w:shd w:val="clear" w:fill="FFFFFF"/>
        </w:rPr>
        <w:t>Φ</w:t>
      </w:r>
      <w:r>
        <w:rPr>
          <w:rFonts w:hint="default" w:ascii="Times New Roman" w:hAnsi="Times New Roman" w:eastAsia="Times New Roman" w:cs="Times New Roman"/>
          <w:i w:val="0"/>
          <w:iCs w:val="0"/>
          <w:caps w:val="0"/>
          <w:color w:val="0F1115"/>
          <w:spacing w:val="0"/>
          <w:sz w:val="21"/>
          <w:szCs w:val="21"/>
          <w:shd w:val="clear" w:fill="FFFFFF"/>
        </w:rPr>
        <w:t>Φ</w:t>
      </w:r>
      <w:r>
        <w:rPr>
          <w:rFonts w:hint="default" w:ascii="Segoe UI" w:hAnsi="Segoe UI" w:eastAsia="Segoe UI" w:cs="Segoe UI"/>
          <w:i w:val="0"/>
          <w:iCs w:val="0"/>
          <w:caps w:val="0"/>
          <w:color w:val="0F1115"/>
          <w:spacing w:val="0"/>
          <w:sz w:val="24"/>
          <w:szCs w:val="24"/>
          <w:shd w:val="clear" w:fill="FFFFFF"/>
        </w:rPr>
        <w:t> is the electronic wavefunction.</w:t>
      </w:r>
    </w:p>
    <w:p w14:paraId="773CBD1D">
      <w:pPr>
        <w:pStyle w:val="5"/>
        <w:keepNext w:val="0"/>
        <w:keepLines w:val="0"/>
        <w:widowControl/>
        <w:suppressLineNumbers w:val="0"/>
        <w:spacing w:before="120" w:beforeAutospacing="0" w:after="120" w:afterAutospacing="0" w:line="210" w:lineRule="atLeast"/>
        <w:ind w:left="320" w:right="32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3.2.3 Cooperative Term </w:t>
      </w:r>
      <w:r>
        <w:rPr>
          <w:rFonts w:hint="default" w:ascii="Times New Roman" w:hAnsi="Times New Roman" w:eastAsia="Times New Roman" w:cs="Times New Roman"/>
          <w:b/>
          <w:bCs/>
          <w:i w:val="0"/>
          <w:iCs w:val="0"/>
          <w:caps w:val="0"/>
          <w:color w:val="0F1115"/>
          <w:spacing w:val="0"/>
          <w:sz w:val="21"/>
          <w:szCs w:val="21"/>
          <w:shd w:val="clear" w:fill="FFFFFF"/>
        </w:rPr>
        <w:t>Γ(r,θ)</w:t>
      </w:r>
      <w:r>
        <w:rPr>
          <w:rFonts w:hint="default" w:ascii="Times New Roman" w:hAnsi="Times New Roman" w:eastAsia="Times New Roman" w:cs="Times New Roman"/>
          <w:b/>
          <w:bCs/>
          <w:i w:val="0"/>
          <w:iCs w:val="0"/>
          <w:caps w:val="0"/>
          <w:color w:val="0F1115"/>
          <w:spacing w:val="0"/>
          <w:sz w:val="21"/>
          <w:szCs w:val="21"/>
          <w:shd w:val="clear" w:fill="FFFFFF"/>
        </w:rPr>
        <w:t>Γ(</w:t>
      </w:r>
      <w:r>
        <w:rPr>
          <w:rFonts w:hint="default" w:ascii="KaTeX_Math" w:hAnsi="KaTeX_Math" w:eastAsia="KaTeX_Math" w:cs="KaTeX_Math"/>
          <w:b/>
          <w:bCs/>
          <w:i/>
          <w:iCs/>
          <w:caps w:val="0"/>
          <w:color w:val="0F1115"/>
          <w:spacing w:val="0"/>
          <w:sz w:val="21"/>
          <w:szCs w:val="21"/>
          <w:shd w:val="clear" w:fill="FFFFFF"/>
        </w:rPr>
        <w:t>r</w:t>
      </w:r>
      <w:r>
        <w:rPr>
          <w:rFonts w:hint="default" w:ascii="Times New Roman" w:hAnsi="Times New Roman" w:eastAsia="Times New Roman" w:cs="Times New Roman"/>
          <w:b/>
          <w:bCs/>
          <w:i w:val="0"/>
          <w:iCs w:val="0"/>
          <w:caps w:val="0"/>
          <w:color w:val="0F1115"/>
          <w:spacing w:val="0"/>
          <w:sz w:val="21"/>
          <w:szCs w:val="21"/>
          <w:shd w:val="clear" w:fill="FFFFFF"/>
        </w:rPr>
        <w:t>,</w:t>
      </w:r>
      <w:r>
        <w:rPr>
          <w:rFonts w:hint="default" w:ascii="KaTeX_Math" w:hAnsi="KaTeX_Math" w:eastAsia="KaTeX_Math" w:cs="KaTeX_Math"/>
          <w:b/>
          <w:bCs/>
          <w:i/>
          <w:iCs/>
          <w:caps w:val="0"/>
          <w:color w:val="0F1115"/>
          <w:spacing w:val="0"/>
          <w:sz w:val="21"/>
          <w:szCs w:val="21"/>
          <w:shd w:val="clear" w:fill="FFFFFF"/>
        </w:rPr>
        <w:t>θ</w:t>
      </w:r>
      <w:r>
        <w:rPr>
          <w:rFonts w:hint="default" w:ascii="Times New Roman" w:hAnsi="Times New Roman" w:eastAsia="Times New Roman" w:cs="Times New Roman"/>
          <w:b/>
          <w:bCs/>
          <w:i w:val="0"/>
          <w:iCs w:val="0"/>
          <w:caps w:val="0"/>
          <w:color w:val="0F1115"/>
          <w:spacing w:val="0"/>
          <w:sz w:val="21"/>
          <w:szCs w:val="21"/>
          <w:shd w:val="clear" w:fill="FFFFFF"/>
        </w:rPr>
        <w:t>)</w:t>
      </w:r>
    </w:p>
    <w:p w14:paraId="23EECADF">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 cooperative term couples hydration and orientation:</w:t>
      </w:r>
    </w:p>
    <w:p w14:paraId="0D661277">
      <w:pPr>
        <w:keepNext w:val="0"/>
        <w:keepLines w:val="0"/>
        <w:widowControl/>
        <w:suppressLineNumbers w:val="0"/>
        <w:spacing w:before="0" w:beforeAutospacing="0" w:after="0" w:afterAutospacing="0"/>
        <w:ind w:left="330" w:right="330"/>
        <w:jc w:val="left"/>
      </w:pP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Γ(r,θ)=exp⁡[−(r−r0)22ξ2]⋅11+e−(θ−θc)/Δθ(6)Γ(</w:t>
      </w:r>
      <w:r>
        <w:rPr>
          <w:rFonts w:hint="default" w:ascii="KaTeX_Math" w:hAnsi="KaTeX_Math" w:eastAsia="KaTeX_Math" w:cs="KaTeX_Math"/>
          <w:i/>
          <w:iCs/>
          <w:caps w:val="0"/>
          <w:color w:val="0F1115"/>
          <w:spacing w:val="0"/>
          <w:kern w:val="0"/>
          <w:sz w:val="21"/>
          <w:szCs w:val="21"/>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θ</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)=exp</w:t>
      </w:r>
      <w:r>
        <w:rPr>
          <w:rFonts w:hint="default" w:ascii="KaTeX_Size3" w:hAnsi="KaTeX_Size3" w:eastAsia="KaTeX_Size3" w:cs="KaTeX_Size3"/>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−2</w:t>
      </w:r>
      <w:r>
        <w:rPr>
          <w:rFonts w:hint="default" w:ascii="KaTeX_Math" w:hAnsi="KaTeX_Math" w:eastAsia="KaTeX_Math" w:cs="KaTeX_Math"/>
          <w:i/>
          <w:iCs/>
          <w:caps w:val="0"/>
          <w:color w:val="0F1115"/>
          <w:spacing w:val="0"/>
          <w:kern w:val="0"/>
          <w:sz w:val="21"/>
          <w:szCs w:val="21"/>
          <w:shd w:val="clear" w:fill="FFFFFF"/>
          <w:lang w:val="en-US" w:eastAsia="zh-CN" w:bidi="ar"/>
        </w:rPr>
        <w:t>ξ</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Size3" w:hAnsi="KaTeX_Size3" w:eastAsia="KaTeX_Size3" w:cs="KaTeX_Size3"/>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⋅1+</w:t>
      </w:r>
      <w:r>
        <w:rPr>
          <w:rFonts w:hint="default" w:ascii="KaTeX_Math" w:hAnsi="KaTeX_Math" w:eastAsia="KaTeX_Math" w:cs="KaTeX_Math"/>
          <w:i/>
          <w:iCs/>
          <w:caps w:val="0"/>
          <w:color w:val="0F1115"/>
          <w:spacing w:val="0"/>
          <w:kern w:val="0"/>
          <w:sz w:val="21"/>
          <w:szCs w:val="21"/>
          <w:shd w:val="clear" w:fill="FFFFFF"/>
          <w:lang w:val="en-US" w:eastAsia="zh-CN" w:bidi="ar"/>
        </w:rPr>
        <w:t>e</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w:t>
      </w:r>
      <w:r>
        <w:rPr>
          <w:rFonts w:hint="default" w:ascii="KaTeX_Math" w:hAnsi="KaTeX_Math" w:eastAsia="KaTeX_Math" w:cs="KaTeX_Math"/>
          <w:i/>
          <w:iCs/>
          <w:caps w:val="0"/>
          <w:color w:val="0F1115"/>
          <w:spacing w:val="0"/>
          <w:kern w:val="0"/>
          <w:sz w:val="0"/>
          <w:szCs w:val="0"/>
          <w:shd w:val="clear" w:fill="FFFFFF"/>
          <w:lang w:val="en-US" w:eastAsia="zh-CN" w:bidi="ar"/>
        </w:rPr>
        <w:t>θ</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w:t>
      </w:r>
      <w:r>
        <w:rPr>
          <w:rFonts w:hint="default" w:ascii="KaTeX_Math" w:hAnsi="KaTeX_Math" w:eastAsia="KaTeX_Math" w:cs="KaTeX_Math"/>
          <w:i/>
          <w:iCs/>
          <w:caps w:val="0"/>
          <w:color w:val="0F1115"/>
          <w:spacing w:val="0"/>
          <w:kern w:val="0"/>
          <w:sz w:val="0"/>
          <w:szCs w:val="0"/>
          <w:shd w:val="clear" w:fill="FFFFFF"/>
          <w:lang w:val="en-US" w:eastAsia="zh-CN" w:bidi="ar"/>
        </w:rPr>
        <w:t>θ</w:t>
      </w:r>
      <w:r>
        <w:rPr>
          <w:rFonts w:hint="default" w:ascii="KaTeX_Math" w:hAnsi="KaTeX_Math" w:eastAsia="KaTeX_Math" w:cs="KaTeX_Math"/>
          <w:i/>
          <w:iCs/>
          <w:caps w:val="0"/>
          <w:color w:val="0F1115"/>
          <w:spacing w:val="0"/>
          <w:kern w:val="0"/>
          <w:sz w:val="0"/>
          <w:szCs w:val="0"/>
          <w:shd w:val="clear" w:fill="FFFFFF"/>
          <w:lang w:val="en-US" w:eastAsia="zh-CN" w:bidi="ar"/>
        </w:rPr>
        <w:t>c</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)/Δ</w:t>
      </w:r>
      <w:r>
        <w:rPr>
          <w:rFonts w:hint="default" w:ascii="KaTeX_Math" w:hAnsi="KaTeX_Math" w:eastAsia="KaTeX_Math" w:cs="KaTeX_Math"/>
          <w:i/>
          <w:iCs/>
          <w:caps w:val="0"/>
          <w:color w:val="0F1115"/>
          <w:spacing w:val="0"/>
          <w:kern w:val="0"/>
          <w:sz w:val="0"/>
          <w:szCs w:val="0"/>
          <w:shd w:val="clear" w:fill="FFFFFF"/>
          <w:lang w:val="en-US" w:eastAsia="zh-CN" w:bidi="ar"/>
        </w:rPr>
        <w:t>θ</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(6)</w:t>
      </w:r>
    </w:p>
    <w:p w14:paraId="7D60A41C">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where </w:t>
      </w:r>
      <w:r>
        <w:rPr>
          <w:rFonts w:hint="default" w:ascii="Times New Roman" w:hAnsi="Times New Roman" w:eastAsia="Times New Roman" w:cs="Times New Roman"/>
          <w:i w:val="0"/>
          <w:iCs w:val="0"/>
          <w:caps w:val="0"/>
          <w:color w:val="0F1115"/>
          <w:spacing w:val="0"/>
          <w:sz w:val="21"/>
          <w:szCs w:val="21"/>
          <w:shd w:val="clear" w:fill="FFFFFF"/>
        </w:rPr>
        <w:t>r0=5.6</w:t>
      </w:r>
      <w:r>
        <w:rPr>
          <w:rFonts w:hint="default" w:ascii="KaTeX_Math" w:hAnsi="KaTeX_Math" w:eastAsia="KaTeX_Math" w:cs="KaTeX_Math"/>
          <w:i/>
          <w:iCs/>
          <w:caps w:val="0"/>
          <w:color w:val="0F1115"/>
          <w:spacing w:val="0"/>
          <w:sz w:val="21"/>
          <w:szCs w:val="21"/>
          <w:shd w:val="clear" w:fill="FFFFFF"/>
        </w:rPr>
        <w:t>r</w:t>
      </w:r>
      <w:r>
        <w:rPr>
          <w:rFonts w:hint="default" w:ascii="Times New Roman" w:hAnsi="Times New Roman" w:eastAsia="Times New Roman" w:cs="Times New Roman"/>
          <w:i w:val="0"/>
          <w:iCs w:val="0"/>
          <w:caps w:val="0"/>
          <w:color w:val="0F1115"/>
          <w:spacing w:val="0"/>
          <w:sz w:val="0"/>
          <w:szCs w:val="0"/>
          <w:shd w:val="clear" w:fill="FFFFFF"/>
        </w:rPr>
        <w:t>0</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=5.6</w:t>
      </w:r>
      <w:r>
        <w:rPr>
          <w:rFonts w:hint="default" w:ascii="Segoe UI" w:hAnsi="Segoe UI" w:eastAsia="Segoe UI" w:cs="Segoe UI"/>
          <w:i w:val="0"/>
          <w:iCs w:val="0"/>
          <w:caps w:val="0"/>
          <w:color w:val="0F1115"/>
          <w:spacing w:val="0"/>
          <w:sz w:val="24"/>
          <w:szCs w:val="24"/>
          <w:shd w:val="clear" w:fill="FFFFFF"/>
        </w:rPr>
        <w:t> Å, </w:t>
      </w:r>
      <w:r>
        <w:rPr>
          <w:rFonts w:hint="default" w:ascii="Times New Roman" w:hAnsi="Times New Roman" w:eastAsia="Times New Roman" w:cs="Times New Roman"/>
          <w:i w:val="0"/>
          <w:iCs w:val="0"/>
          <w:caps w:val="0"/>
          <w:color w:val="0F1115"/>
          <w:spacing w:val="0"/>
          <w:sz w:val="21"/>
          <w:szCs w:val="21"/>
          <w:shd w:val="clear" w:fill="FFFFFF"/>
        </w:rPr>
        <w:t>ξ=2.8</w:t>
      </w:r>
      <w:r>
        <w:rPr>
          <w:rFonts w:hint="default" w:ascii="KaTeX_Math" w:hAnsi="KaTeX_Math" w:eastAsia="KaTeX_Math" w:cs="KaTeX_Math"/>
          <w:i/>
          <w:iCs/>
          <w:caps w:val="0"/>
          <w:color w:val="0F1115"/>
          <w:spacing w:val="0"/>
          <w:sz w:val="21"/>
          <w:szCs w:val="21"/>
          <w:shd w:val="clear" w:fill="FFFFFF"/>
        </w:rPr>
        <w:t>ξ</w:t>
      </w:r>
      <w:r>
        <w:rPr>
          <w:rFonts w:hint="default" w:ascii="Times New Roman" w:hAnsi="Times New Roman" w:eastAsia="Times New Roman" w:cs="Times New Roman"/>
          <w:i w:val="0"/>
          <w:iCs w:val="0"/>
          <w:caps w:val="0"/>
          <w:color w:val="0F1115"/>
          <w:spacing w:val="0"/>
          <w:sz w:val="21"/>
          <w:szCs w:val="21"/>
          <w:shd w:val="clear" w:fill="FFFFFF"/>
        </w:rPr>
        <w:t>=2.8</w:t>
      </w:r>
      <w:r>
        <w:rPr>
          <w:rFonts w:hint="default" w:ascii="Segoe UI" w:hAnsi="Segoe UI" w:eastAsia="Segoe UI" w:cs="Segoe UI"/>
          <w:i w:val="0"/>
          <w:iCs w:val="0"/>
          <w:caps w:val="0"/>
          <w:color w:val="0F1115"/>
          <w:spacing w:val="0"/>
          <w:sz w:val="24"/>
          <w:szCs w:val="24"/>
          <w:shd w:val="clear" w:fill="FFFFFF"/>
        </w:rPr>
        <w:t> Å, </w:t>
      </w:r>
      <w:r>
        <w:rPr>
          <w:rFonts w:hint="default" w:ascii="Times New Roman" w:hAnsi="Times New Roman" w:eastAsia="Times New Roman" w:cs="Times New Roman"/>
          <w:i w:val="0"/>
          <w:iCs w:val="0"/>
          <w:caps w:val="0"/>
          <w:color w:val="0F1115"/>
          <w:spacing w:val="0"/>
          <w:sz w:val="21"/>
          <w:szCs w:val="21"/>
          <w:shd w:val="clear" w:fill="FFFFFF"/>
        </w:rPr>
        <w:t>θc=10°</w:t>
      </w:r>
      <w:r>
        <w:rPr>
          <w:rFonts w:hint="default" w:ascii="KaTeX_Math" w:hAnsi="KaTeX_Math" w:eastAsia="KaTeX_Math" w:cs="KaTeX_Math"/>
          <w:i/>
          <w:iCs/>
          <w:caps w:val="0"/>
          <w:color w:val="0F1115"/>
          <w:spacing w:val="0"/>
          <w:sz w:val="21"/>
          <w:szCs w:val="21"/>
          <w:shd w:val="clear" w:fill="FFFFFF"/>
        </w:rPr>
        <w:t>θ</w:t>
      </w:r>
      <w:r>
        <w:rPr>
          <w:rFonts w:hint="default" w:ascii="KaTeX_Math" w:hAnsi="KaTeX_Math" w:eastAsia="KaTeX_Math" w:cs="KaTeX_Math"/>
          <w:i/>
          <w:iCs/>
          <w:caps w:val="0"/>
          <w:color w:val="0F1115"/>
          <w:spacing w:val="0"/>
          <w:sz w:val="0"/>
          <w:szCs w:val="0"/>
          <w:shd w:val="clear" w:fill="FFFFFF"/>
        </w:rPr>
        <w:t>c</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=10°</w:t>
      </w:r>
      <w:r>
        <w:rPr>
          <w:rFonts w:hint="default" w:ascii="Segoe UI" w:hAnsi="Segoe UI" w:eastAsia="Segoe UI" w:cs="Segoe UI"/>
          <w:i w:val="0"/>
          <w:iCs w:val="0"/>
          <w:caps w:val="0"/>
          <w:color w:val="0F1115"/>
          <w:spacing w:val="0"/>
          <w:sz w:val="24"/>
          <w:szCs w:val="24"/>
          <w:shd w:val="clear" w:fill="FFFFFF"/>
        </w:rPr>
        <w:t>, and </w:t>
      </w:r>
      <w:r>
        <w:rPr>
          <w:rFonts w:hint="default" w:ascii="Times New Roman" w:hAnsi="Times New Roman" w:eastAsia="Times New Roman" w:cs="Times New Roman"/>
          <w:i w:val="0"/>
          <w:iCs w:val="0"/>
          <w:caps w:val="0"/>
          <w:color w:val="0F1115"/>
          <w:spacing w:val="0"/>
          <w:sz w:val="21"/>
          <w:szCs w:val="21"/>
          <w:shd w:val="clear" w:fill="FFFFFF"/>
        </w:rPr>
        <w:t>Δθ=5°</w:t>
      </w:r>
      <w:r>
        <w:rPr>
          <w:rFonts w:hint="default" w:ascii="Times New Roman" w:hAnsi="Times New Roman" w:eastAsia="Times New Roman" w:cs="Times New Roman"/>
          <w:i w:val="0"/>
          <w:iCs w:val="0"/>
          <w:caps w:val="0"/>
          <w:color w:val="0F1115"/>
          <w:spacing w:val="0"/>
          <w:sz w:val="21"/>
          <w:szCs w:val="21"/>
          <w:shd w:val="clear" w:fill="FFFFFF"/>
        </w:rPr>
        <w:t>Δ</w:t>
      </w:r>
      <w:r>
        <w:rPr>
          <w:rFonts w:hint="default" w:ascii="KaTeX_Math" w:hAnsi="KaTeX_Math" w:eastAsia="KaTeX_Math" w:cs="KaTeX_Math"/>
          <w:i/>
          <w:iCs/>
          <w:caps w:val="0"/>
          <w:color w:val="0F1115"/>
          <w:spacing w:val="0"/>
          <w:sz w:val="21"/>
          <w:szCs w:val="21"/>
          <w:shd w:val="clear" w:fill="FFFFFF"/>
        </w:rPr>
        <w:t>θ</w:t>
      </w:r>
      <w:r>
        <w:rPr>
          <w:rFonts w:hint="default" w:ascii="Times New Roman" w:hAnsi="Times New Roman" w:eastAsia="Times New Roman" w:cs="Times New Roman"/>
          <w:i w:val="0"/>
          <w:iCs w:val="0"/>
          <w:caps w:val="0"/>
          <w:color w:val="0F1115"/>
          <w:spacing w:val="0"/>
          <w:sz w:val="21"/>
          <w:szCs w:val="21"/>
          <w:shd w:val="clear" w:fill="FFFFFF"/>
        </w:rPr>
        <w:t>=5°</w:t>
      </w:r>
      <w:r>
        <w:rPr>
          <w:rFonts w:hint="default" w:ascii="Segoe UI" w:hAnsi="Segoe UI" w:eastAsia="Segoe UI" w:cs="Segoe UI"/>
          <w:i w:val="0"/>
          <w:iCs w:val="0"/>
          <w:caps w:val="0"/>
          <w:color w:val="0F1115"/>
          <w:spacing w:val="0"/>
          <w:sz w:val="24"/>
          <w:szCs w:val="24"/>
          <w:shd w:val="clear" w:fill="FFFFFF"/>
        </w:rPr>
        <w:t>.</w:t>
      </w:r>
    </w:p>
    <w:p w14:paraId="7A1022BA">
      <w:pPr>
        <w:pStyle w:val="5"/>
        <w:keepNext w:val="0"/>
        <w:keepLines w:val="0"/>
        <w:widowControl/>
        <w:suppressLineNumbers w:val="0"/>
        <w:spacing w:before="120" w:beforeAutospacing="0" w:after="120" w:afterAutospacing="0" w:line="210" w:lineRule="atLeast"/>
        <w:ind w:left="320" w:right="32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3.2.4 Law of Quantum-Topological Coupling (QTBL)</w:t>
      </w:r>
    </w:p>
    <w:p w14:paraId="29797BC8">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Binding energy is determined by balance of Coulomb attraction and degeneracy pressure:</w:t>
      </w:r>
    </w:p>
    <w:p w14:paraId="396E8F49">
      <w:pPr>
        <w:keepNext w:val="0"/>
        <w:keepLines w:val="0"/>
        <w:widowControl/>
        <w:suppressLineNumbers w:val="0"/>
        <w:spacing w:before="0" w:beforeAutospacing="0" w:after="0" w:afterAutospacing="0"/>
        <w:ind w:left="330" w:right="330"/>
        <w:jc w:val="left"/>
      </w:pP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Eb(θ,r)=αℏcrcos⁡θ−β(θ)⋅Kρ2/3(7)</w:t>
      </w:r>
      <w:r>
        <w:rPr>
          <w:rFonts w:hint="default" w:ascii="KaTeX_Math" w:hAnsi="KaTeX_Math" w:eastAsia="KaTeX_Math" w:cs="KaTeX_Math"/>
          <w:i/>
          <w:iCs/>
          <w:caps w:val="0"/>
          <w:color w:val="0F1115"/>
          <w:spacing w:val="0"/>
          <w:kern w:val="0"/>
          <w:sz w:val="21"/>
          <w:szCs w:val="21"/>
          <w:shd w:val="clear" w:fill="FFFFFF"/>
          <w:lang w:val="en-US" w:eastAsia="zh-CN" w:bidi="ar"/>
        </w:rPr>
        <w:t>E</w:t>
      </w:r>
      <w:r>
        <w:rPr>
          <w:rFonts w:hint="default" w:ascii="KaTeX_Math" w:hAnsi="KaTeX_Math" w:eastAsia="KaTeX_Math" w:cs="KaTeX_Math"/>
          <w:i/>
          <w:iCs/>
          <w:caps w:val="0"/>
          <w:color w:val="0F1115"/>
          <w:spacing w:val="0"/>
          <w:kern w:val="0"/>
          <w:sz w:val="0"/>
          <w:szCs w:val="0"/>
          <w:shd w:val="clear" w:fill="FFFFFF"/>
          <w:lang w:val="en-US" w:eastAsia="zh-CN" w:bidi="ar"/>
        </w:rPr>
        <w:t>b</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θ</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rα</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ℏ</w:t>
      </w:r>
      <w:r>
        <w:rPr>
          <w:rFonts w:hint="default" w:ascii="KaTeX_Math" w:hAnsi="KaTeX_Math" w:eastAsia="KaTeX_Math" w:cs="KaTeX_Math"/>
          <w:i/>
          <w:iCs/>
          <w:caps w:val="0"/>
          <w:color w:val="0F1115"/>
          <w:spacing w:val="0"/>
          <w:kern w:val="0"/>
          <w:sz w:val="21"/>
          <w:szCs w:val="21"/>
          <w:shd w:val="clear" w:fill="FFFFFF"/>
          <w:lang w:val="en-US" w:eastAsia="zh-CN" w:bidi="ar"/>
        </w:rPr>
        <w:t>c</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cos</w:t>
      </w:r>
      <w:r>
        <w:rPr>
          <w:rFonts w:hint="default" w:ascii="KaTeX_Math" w:hAnsi="KaTeX_Math" w:eastAsia="KaTeX_Math" w:cs="KaTeX_Math"/>
          <w:i/>
          <w:iCs/>
          <w:caps w:val="0"/>
          <w:color w:val="0F1115"/>
          <w:spacing w:val="0"/>
          <w:kern w:val="0"/>
          <w:sz w:val="21"/>
          <w:szCs w:val="21"/>
          <w:shd w:val="clear" w:fill="FFFFFF"/>
          <w:lang w:val="en-US" w:eastAsia="zh-CN" w:bidi="ar"/>
        </w:rPr>
        <w:t>θ</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θ</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Kρ</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2/3</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(7)</w:t>
      </w:r>
    </w:p>
    <w:p w14:paraId="24A70777">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where:</w:t>
      </w:r>
    </w:p>
    <w:p w14:paraId="5F63D694">
      <w:pPr>
        <w:keepNext w:val="0"/>
        <w:keepLines w:val="0"/>
        <w:widowControl/>
        <w:numPr>
          <w:ilvl w:val="0"/>
          <w:numId w:val="6"/>
        </w:numPr>
        <w:suppressLineNumbers w:val="0"/>
        <w:spacing w:before="0" w:beforeAutospacing="0" w:after="0" w:afterAutospacing="0" w:line="210" w:lineRule="atLeast"/>
        <w:ind w:left="640" w:right="660" w:hanging="360"/>
      </w:pPr>
    </w:p>
    <w:p w14:paraId="421455DB">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α=1/(4πϵ0)</w:t>
      </w:r>
      <w:r>
        <w:rPr>
          <w:rFonts w:hint="default" w:ascii="KaTeX_Math" w:hAnsi="KaTeX_Math" w:eastAsia="KaTeX_Math" w:cs="KaTeX_Math"/>
          <w:i/>
          <w:iCs/>
          <w:caps w:val="0"/>
          <w:color w:val="0F1115"/>
          <w:spacing w:val="0"/>
          <w:sz w:val="21"/>
          <w:szCs w:val="21"/>
          <w:shd w:val="clear" w:fill="FFFFFF"/>
        </w:rPr>
        <w:t>α</w:t>
      </w:r>
      <w:r>
        <w:rPr>
          <w:rFonts w:hint="default" w:ascii="Times New Roman" w:hAnsi="Times New Roman" w:eastAsia="Times New Roman" w:cs="Times New Roman"/>
          <w:i w:val="0"/>
          <w:iCs w:val="0"/>
          <w:caps w:val="0"/>
          <w:color w:val="0F1115"/>
          <w:spacing w:val="0"/>
          <w:sz w:val="21"/>
          <w:szCs w:val="21"/>
          <w:shd w:val="clear" w:fill="FFFFFF"/>
        </w:rPr>
        <w:t>=1/(4</w:t>
      </w:r>
      <w:r>
        <w:rPr>
          <w:rFonts w:hint="default" w:ascii="KaTeX_Math" w:hAnsi="KaTeX_Math" w:eastAsia="KaTeX_Math" w:cs="KaTeX_Math"/>
          <w:i/>
          <w:iCs/>
          <w:caps w:val="0"/>
          <w:color w:val="0F1115"/>
          <w:spacing w:val="0"/>
          <w:sz w:val="21"/>
          <w:szCs w:val="21"/>
          <w:shd w:val="clear" w:fill="FFFFFF"/>
        </w:rPr>
        <w:t>πϵ</w:t>
      </w:r>
      <w:r>
        <w:rPr>
          <w:rFonts w:hint="default" w:ascii="Times New Roman" w:hAnsi="Times New Roman" w:eastAsia="Times New Roman" w:cs="Times New Roman"/>
          <w:i w:val="0"/>
          <w:iCs w:val="0"/>
          <w:caps w:val="0"/>
          <w:color w:val="0F1115"/>
          <w:spacing w:val="0"/>
          <w:sz w:val="0"/>
          <w:szCs w:val="0"/>
          <w:shd w:val="clear" w:fill="FFFFFF"/>
        </w:rPr>
        <w:t>0</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4"/>
          <w:szCs w:val="24"/>
          <w:shd w:val="clear" w:fill="FFFFFF"/>
        </w:rPr>
        <w:t> is the electrostatic constant</w:t>
      </w:r>
    </w:p>
    <w:p w14:paraId="4DC2247E">
      <w:pPr>
        <w:keepNext w:val="0"/>
        <w:keepLines w:val="0"/>
        <w:widowControl/>
        <w:numPr>
          <w:ilvl w:val="0"/>
          <w:numId w:val="6"/>
        </w:numPr>
        <w:suppressLineNumbers w:val="0"/>
        <w:spacing w:before="0" w:beforeAutospacing="0" w:after="0" w:afterAutospacing="0" w:line="210" w:lineRule="atLeast"/>
        <w:ind w:left="640" w:right="660" w:hanging="360"/>
      </w:pPr>
    </w:p>
    <w:p w14:paraId="709C1884">
      <w:pPr>
        <w:keepNext w:val="0"/>
        <w:keepLines w:val="0"/>
        <w:widowControl/>
        <w:numPr>
          <w:ilvl w:val="0"/>
          <w:numId w:val="6"/>
        </w:numPr>
        <w:suppressLineNumbers w:val="0"/>
        <w:spacing w:before="45" w:beforeAutospacing="0" w:after="0" w:afterAutospacing="0" w:line="210" w:lineRule="atLeast"/>
        <w:ind w:left="640" w:right="660" w:hanging="360"/>
      </w:pPr>
    </w:p>
    <w:p w14:paraId="43D449A1">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β(θ)=sin⁡2(2θ)</w:t>
      </w:r>
      <w:r>
        <w:rPr>
          <w:rFonts w:hint="default" w:ascii="KaTeX_Math" w:hAnsi="KaTeX_Math" w:eastAsia="KaTeX_Math" w:cs="KaTeX_Math"/>
          <w:i/>
          <w:iCs/>
          <w:caps w:val="0"/>
          <w:color w:val="0F1115"/>
          <w:spacing w:val="0"/>
          <w:sz w:val="21"/>
          <w:szCs w:val="21"/>
          <w:shd w:val="clear" w:fill="FFFFFF"/>
        </w:rPr>
        <w:t>β</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θ</w:t>
      </w:r>
      <w:r>
        <w:rPr>
          <w:rFonts w:hint="default" w:ascii="Times New Roman" w:hAnsi="Times New Roman" w:eastAsia="Times New Roman" w:cs="Times New Roman"/>
          <w:i w:val="0"/>
          <w:iCs w:val="0"/>
          <w:caps w:val="0"/>
          <w:color w:val="0F1115"/>
          <w:spacing w:val="0"/>
          <w:sz w:val="21"/>
          <w:szCs w:val="21"/>
          <w:shd w:val="clear" w:fill="FFFFFF"/>
        </w:rPr>
        <w:t>)=sin</w:t>
      </w:r>
      <w:r>
        <w:rPr>
          <w:rFonts w:hint="default" w:ascii="Times New Roman" w:hAnsi="Times New Roman" w:eastAsia="Times New Roman" w:cs="Times New Roman"/>
          <w:i w:val="0"/>
          <w:iCs w:val="0"/>
          <w:caps w:val="0"/>
          <w:color w:val="0F1115"/>
          <w:spacing w:val="0"/>
          <w:sz w:val="0"/>
          <w:szCs w:val="0"/>
          <w:shd w:val="clear" w:fill="FFFFFF"/>
        </w:rPr>
        <w:t>2</w:t>
      </w:r>
      <w:r>
        <w:rPr>
          <w:rFonts w:hint="default" w:ascii="Times New Roman" w:hAnsi="Times New Roman" w:eastAsia="Times New Roman" w:cs="Times New Roman"/>
          <w:i w:val="0"/>
          <w:iCs w:val="0"/>
          <w:caps w:val="0"/>
          <w:color w:val="0F1115"/>
          <w:spacing w:val="0"/>
          <w:sz w:val="21"/>
          <w:szCs w:val="21"/>
          <w:shd w:val="clear" w:fill="FFFFFF"/>
        </w:rPr>
        <w:t>(2</w:t>
      </w:r>
      <w:r>
        <w:rPr>
          <w:rFonts w:hint="default" w:ascii="KaTeX_Math" w:hAnsi="KaTeX_Math" w:eastAsia="KaTeX_Math" w:cs="KaTeX_Math"/>
          <w:i/>
          <w:iCs/>
          <w:caps w:val="0"/>
          <w:color w:val="0F1115"/>
          <w:spacing w:val="0"/>
          <w:sz w:val="21"/>
          <w:szCs w:val="21"/>
          <w:shd w:val="clear" w:fill="FFFFFF"/>
        </w:rPr>
        <w:t>θ</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4"/>
          <w:szCs w:val="24"/>
          <w:shd w:val="clear" w:fill="FFFFFF"/>
        </w:rPr>
        <w:t> is the topological factor</w:t>
      </w:r>
    </w:p>
    <w:p w14:paraId="2CDD20A5">
      <w:pPr>
        <w:keepNext w:val="0"/>
        <w:keepLines w:val="0"/>
        <w:widowControl/>
        <w:numPr>
          <w:ilvl w:val="0"/>
          <w:numId w:val="6"/>
        </w:numPr>
        <w:suppressLineNumbers w:val="0"/>
        <w:spacing w:before="45" w:beforeAutospacing="0" w:after="0" w:afterAutospacing="0" w:line="210" w:lineRule="atLeast"/>
        <w:ind w:left="640" w:right="660" w:hanging="360"/>
      </w:pPr>
    </w:p>
    <w:p w14:paraId="23CD18FE">
      <w:pPr>
        <w:keepNext w:val="0"/>
        <w:keepLines w:val="0"/>
        <w:widowControl/>
        <w:numPr>
          <w:ilvl w:val="0"/>
          <w:numId w:val="6"/>
        </w:numPr>
        <w:suppressLineNumbers w:val="0"/>
        <w:spacing w:before="45" w:beforeAutospacing="0" w:after="0" w:afterAutospacing="0" w:line="210" w:lineRule="atLeast"/>
        <w:ind w:left="640" w:right="660" w:hanging="360"/>
      </w:pPr>
    </w:p>
    <w:p w14:paraId="3BB9465A">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K=(3π2)2/3ℏ25me</w:t>
      </w:r>
      <w:r>
        <w:rPr>
          <w:rFonts w:hint="default" w:ascii="KaTeX_Math" w:hAnsi="KaTeX_Math" w:eastAsia="KaTeX_Math" w:cs="KaTeX_Math"/>
          <w:i/>
          <w:iCs/>
          <w:caps w:val="0"/>
          <w:color w:val="0F1115"/>
          <w:spacing w:val="0"/>
          <w:sz w:val="21"/>
          <w:szCs w:val="21"/>
          <w:shd w:val="clear" w:fill="FFFFFF"/>
        </w:rPr>
        <w:t>K</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Times New Roman" w:hAnsi="Times New Roman" w:eastAsia="Times New Roman" w:cs="Times New Roman"/>
          <w:i w:val="0"/>
          <w:iCs w:val="0"/>
          <w:caps w:val="0"/>
          <w:color w:val="0F1115"/>
          <w:spacing w:val="0"/>
          <w:sz w:val="0"/>
          <w:szCs w:val="0"/>
          <w:shd w:val="clear" w:fill="FFFFFF"/>
        </w:rPr>
        <w:t>5</w:t>
      </w:r>
      <w:r>
        <w:rPr>
          <w:rFonts w:hint="default" w:ascii="KaTeX_Math" w:hAnsi="KaTeX_Math" w:eastAsia="KaTeX_Math" w:cs="KaTeX_Math"/>
          <w:i/>
          <w:iCs/>
          <w:caps w:val="0"/>
          <w:color w:val="0F1115"/>
          <w:spacing w:val="0"/>
          <w:sz w:val="0"/>
          <w:szCs w:val="0"/>
          <w:shd w:val="clear" w:fill="FFFFFF"/>
        </w:rPr>
        <w:t>me</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0"/>
          <w:szCs w:val="0"/>
          <w:shd w:val="clear" w:fill="FFFFFF"/>
        </w:rPr>
        <w:t>(3</w:t>
      </w:r>
      <w:r>
        <w:rPr>
          <w:rFonts w:hint="default" w:ascii="KaTeX_Math" w:hAnsi="KaTeX_Math" w:eastAsia="KaTeX_Math" w:cs="KaTeX_Math"/>
          <w:i/>
          <w:iCs/>
          <w:caps w:val="0"/>
          <w:color w:val="0F1115"/>
          <w:spacing w:val="0"/>
          <w:sz w:val="0"/>
          <w:szCs w:val="0"/>
          <w:shd w:val="clear" w:fill="FFFFFF"/>
        </w:rPr>
        <w:t>π</w:t>
      </w:r>
      <w:r>
        <w:rPr>
          <w:rFonts w:hint="default" w:ascii="Times New Roman" w:hAnsi="Times New Roman" w:eastAsia="Times New Roman" w:cs="Times New Roman"/>
          <w:i w:val="0"/>
          <w:iCs w:val="0"/>
          <w:caps w:val="0"/>
          <w:color w:val="0F1115"/>
          <w:spacing w:val="0"/>
          <w:sz w:val="0"/>
          <w:szCs w:val="0"/>
          <w:shd w:val="clear" w:fill="FFFFFF"/>
        </w:rPr>
        <w:t>2)2/3ℏ2</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is the degeneracy constant</w:t>
      </w:r>
    </w:p>
    <w:p w14:paraId="7E60EF3E">
      <w:pPr>
        <w:keepNext w:val="0"/>
        <w:keepLines w:val="0"/>
        <w:widowControl/>
        <w:numPr>
          <w:ilvl w:val="0"/>
          <w:numId w:val="6"/>
        </w:numPr>
        <w:suppressLineNumbers w:val="0"/>
        <w:spacing w:before="45" w:beforeAutospacing="0" w:after="0" w:afterAutospacing="0" w:line="210" w:lineRule="atLeast"/>
        <w:ind w:left="640" w:right="660" w:hanging="360"/>
      </w:pPr>
    </w:p>
    <w:p w14:paraId="68EB2767">
      <w:pPr>
        <w:keepNext w:val="0"/>
        <w:keepLines w:val="0"/>
        <w:widowControl/>
        <w:numPr>
          <w:ilvl w:val="0"/>
          <w:numId w:val="6"/>
        </w:numPr>
        <w:suppressLineNumbers w:val="0"/>
        <w:spacing w:before="45" w:beforeAutospacing="0" w:after="0" w:afterAutospacing="0" w:line="210" w:lineRule="atLeast"/>
        <w:ind w:left="640" w:right="660" w:hanging="360"/>
      </w:pPr>
    </w:p>
    <w:p w14:paraId="69DC8202">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ρ=3mp4πr3</w:t>
      </w:r>
      <w:r>
        <w:rPr>
          <w:rFonts w:hint="default" w:ascii="KaTeX_Math" w:hAnsi="KaTeX_Math" w:eastAsia="KaTeX_Math" w:cs="KaTeX_Math"/>
          <w:i/>
          <w:iCs/>
          <w:caps w:val="0"/>
          <w:color w:val="0F1115"/>
          <w:spacing w:val="0"/>
          <w:sz w:val="21"/>
          <w:szCs w:val="21"/>
          <w:shd w:val="clear" w:fill="FFFFFF"/>
        </w:rPr>
        <w:t>ρ</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Times New Roman" w:hAnsi="Times New Roman" w:eastAsia="Times New Roman" w:cs="Times New Roman"/>
          <w:i w:val="0"/>
          <w:iCs w:val="0"/>
          <w:caps w:val="0"/>
          <w:color w:val="0F1115"/>
          <w:spacing w:val="0"/>
          <w:sz w:val="0"/>
          <w:szCs w:val="0"/>
          <w:shd w:val="clear" w:fill="FFFFFF"/>
        </w:rPr>
        <w:t>4</w:t>
      </w:r>
      <w:r>
        <w:rPr>
          <w:rFonts w:hint="default" w:ascii="KaTeX_Math" w:hAnsi="KaTeX_Math" w:eastAsia="KaTeX_Math" w:cs="KaTeX_Math"/>
          <w:i/>
          <w:iCs/>
          <w:caps w:val="0"/>
          <w:color w:val="0F1115"/>
          <w:spacing w:val="0"/>
          <w:sz w:val="0"/>
          <w:szCs w:val="0"/>
          <w:shd w:val="clear" w:fill="FFFFFF"/>
        </w:rPr>
        <w:t>πr</w:t>
      </w:r>
      <w:r>
        <w:rPr>
          <w:rFonts w:hint="default" w:ascii="Times New Roman" w:hAnsi="Times New Roman" w:eastAsia="Times New Roman" w:cs="Times New Roman"/>
          <w:i w:val="0"/>
          <w:iCs w:val="0"/>
          <w:caps w:val="0"/>
          <w:color w:val="0F1115"/>
          <w:spacing w:val="0"/>
          <w:sz w:val="0"/>
          <w:szCs w:val="0"/>
          <w:shd w:val="clear" w:fill="FFFFFF"/>
        </w:rPr>
        <w:t>33</w:t>
      </w:r>
      <w:r>
        <w:rPr>
          <w:rFonts w:hint="default" w:ascii="KaTeX_Math" w:hAnsi="KaTeX_Math" w:eastAsia="KaTeX_Math" w:cs="KaTeX_Math"/>
          <w:i/>
          <w:iCs/>
          <w:caps w:val="0"/>
          <w:color w:val="0F1115"/>
          <w:spacing w:val="0"/>
          <w:sz w:val="0"/>
          <w:szCs w:val="0"/>
          <w:shd w:val="clear" w:fill="FFFFFF"/>
        </w:rPr>
        <w:t>mp</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is the system density</w:t>
      </w:r>
    </w:p>
    <w:p w14:paraId="0D40C10D">
      <w:pPr>
        <w:keepNext w:val="0"/>
        <w:keepLines w:val="0"/>
        <w:widowControl/>
        <w:numPr>
          <w:ilvl w:val="0"/>
          <w:numId w:val="6"/>
        </w:numPr>
        <w:suppressLineNumbers w:val="0"/>
        <w:spacing w:before="45" w:beforeAutospacing="0" w:after="0" w:afterAutospacing="0" w:line="210" w:lineRule="atLeast"/>
        <w:ind w:left="640" w:right="660" w:hanging="360"/>
      </w:pPr>
    </w:p>
    <w:p w14:paraId="20B29A62">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 critical angle </w:t>
      </w:r>
      <w:r>
        <w:rPr>
          <w:rFonts w:hint="default" w:ascii="Times New Roman" w:hAnsi="Times New Roman" w:eastAsia="Times New Roman" w:cs="Times New Roman"/>
          <w:i w:val="0"/>
          <w:iCs w:val="0"/>
          <w:caps w:val="0"/>
          <w:color w:val="0F1115"/>
          <w:spacing w:val="0"/>
          <w:sz w:val="21"/>
          <w:szCs w:val="21"/>
          <w:shd w:val="clear" w:fill="FFFFFF"/>
        </w:rPr>
        <w:t>θc</w:t>
      </w:r>
      <w:r>
        <w:rPr>
          <w:rFonts w:hint="default" w:ascii="KaTeX_Math" w:hAnsi="KaTeX_Math" w:eastAsia="KaTeX_Math" w:cs="KaTeX_Math"/>
          <w:i/>
          <w:iCs/>
          <w:caps w:val="0"/>
          <w:color w:val="0F1115"/>
          <w:spacing w:val="0"/>
          <w:sz w:val="21"/>
          <w:szCs w:val="21"/>
          <w:shd w:val="clear" w:fill="FFFFFF"/>
        </w:rPr>
        <w:t>θ</w:t>
      </w:r>
      <w:r>
        <w:rPr>
          <w:rFonts w:hint="default" w:ascii="KaTeX_Math" w:hAnsi="KaTeX_Math" w:eastAsia="KaTeX_Math" w:cs="KaTeX_Math"/>
          <w:i/>
          <w:iCs/>
          <w:caps w:val="0"/>
          <w:color w:val="0F1115"/>
          <w:spacing w:val="0"/>
          <w:sz w:val="0"/>
          <w:szCs w:val="0"/>
          <w:shd w:val="clear" w:fill="FFFFFF"/>
        </w:rPr>
        <w:t>c</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is determined by equating binding energy to ionization energy:</w:t>
      </w:r>
    </w:p>
    <w:p w14:paraId="0775B6D2">
      <w:pPr>
        <w:keepNext w:val="0"/>
        <w:keepLines w:val="0"/>
        <w:widowControl/>
        <w:suppressLineNumbers w:val="0"/>
        <w:spacing w:before="0" w:beforeAutospacing="0" w:after="0" w:afterAutospacing="0"/>
        <w:ind w:left="330" w:right="330"/>
        <w:jc w:val="left"/>
      </w:pP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θc=arccos⁡(1mec2/E0)≈31°(8)</w:t>
      </w:r>
      <w:r>
        <w:rPr>
          <w:rFonts w:hint="default" w:ascii="KaTeX_Math" w:hAnsi="KaTeX_Math" w:eastAsia="KaTeX_Math" w:cs="KaTeX_Math"/>
          <w:i/>
          <w:iCs/>
          <w:caps w:val="0"/>
          <w:color w:val="0F1115"/>
          <w:spacing w:val="0"/>
          <w:kern w:val="0"/>
          <w:sz w:val="21"/>
          <w:szCs w:val="21"/>
          <w:shd w:val="clear" w:fill="FFFFFF"/>
          <w:lang w:val="en-US" w:eastAsia="zh-CN" w:bidi="ar"/>
        </w:rPr>
        <w:t>θ</w:t>
      </w:r>
      <w:r>
        <w:rPr>
          <w:rFonts w:hint="default" w:ascii="KaTeX_Math" w:hAnsi="KaTeX_Math" w:eastAsia="KaTeX_Math" w:cs="KaTeX_Math"/>
          <w:i/>
          <w:iCs/>
          <w:caps w:val="0"/>
          <w:color w:val="0F1115"/>
          <w:spacing w:val="0"/>
          <w:kern w:val="0"/>
          <w:sz w:val="0"/>
          <w:szCs w:val="0"/>
          <w:shd w:val="clear" w:fill="FFFFFF"/>
          <w:lang w:val="en-US" w:eastAsia="zh-CN" w:bidi="ar"/>
        </w:rPr>
        <w:t>c</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=arccos</w:t>
      </w:r>
      <w:r>
        <w:rPr>
          <w:rFonts w:ascii="KaTeX_Size4" w:hAnsi="KaTeX_Size4" w:eastAsia="KaTeX_Size4" w:cs="KaTeX_Size4"/>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m</w:t>
      </w:r>
      <w:r>
        <w:rPr>
          <w:rFonts w:hint="default" w:ascii="KaTeX_Math" w:hAnsi="KaTeX_Math" w:eastAsia="KaTeX_Math" w:cs="KaTeX_Math"/>
          <w:i/>
          <w:iCs/>
          <w:caps w:val="0"/>
          <w:color w:val="0F1115"/>
          <w:spacing w:val="0"/>
          <w:kern w:val="0"/>
          <w:sz w:val="0"/>
          <w:szCs w:val="0"/>
          <w:shd w:val="clear" w:fill="FFFFFF"/>
          <w:lang w:val="en-US" w:eastAsia="zh-CN" w:bidi="ar"/>
        </w:rPr>
        <w:t>e</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c</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E</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Size4" w:hAnsi="KaTeX_Size4" w:eastAsia="KaTeX_Size4" w:cs="KaTeX_Size4"/>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≈31°(8)</w:t>
      </w:r>
    </w:p>
    <w:p w14:paraId="6630CEC1">
      <w:pPr>
        <w:pStyle w:val="5"/>
        <w:keepNext w:val="0"/>
        <w:keepLines w:val="0"/>
        <w:widowControl/>
        <w:suppressLineNumbers w:val="0"/>
        <w:spacing w:before="120" w:beforeAutospacing="0" w:after="120" w:afterAutospacing="0" w:line="210" w:lineRule="atLeast"/>
        <w:ind w:left="320" w:right="32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3.2.5 Law of Resonant Dissociation (LMD)</w:t>
      </w:r>
    </w:p>
    <w:p w14:paraId="4A191789">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Dissociation cross-section as a function of energy </w:t>
      </w:r>
      <w:r>
        <w:rPr>
          <w:rFonts w:hint="default" w:ascii="Times New Roman" w:hAnsi="Times New Roman" w:eastAsia="Times New Roman" w:cs="Times New Roman"/>
          <w:i w:val="0"/>
          <w:iCs w:val="0"/>
          <w:caps w:val="0"/>
          <w:color w:val="0F1115"/>
          <w:spacing w:val="0"/>
          <w:sz w:val="21"/>
          <w:szCs w:val="21"/>
          <w:shd w:val="clear" w:fill="FFFFFF"/>
        </w:rPr>
        <w:t>E</w:t>
      </w:r>
      <w:r>
        <w:rPr>
          <w:rFonts w:hint="default" w:ascii="KaTeX_Math" w:hAnsi="KaTeX_Math" w:eastAsia="KaTeX_Math" w:cs="KaTeX_Math"/>
          <w:i/>
          <w:iCs/>
          <w:caps w:val="0"/>
          <w:color w:val="0F1115"/>
          <w:spacing w:val="0"/>
          <w:sz w:val="21"/>
          <w:szCs w:val="21"/>
          <w:shd w:val="clear" w:fill="FFFFFF"/>
        </w:rPr>
        <w:t>E</w:t>
      </w:r>
      <w:r>
        <w:rPr>
          <w:rFonts w:hint="default" w:ascii="Segoe UI" w:hAnsi="Segoe UI" w:eastAsia="Segoe UI" w:cs="Segoe UI"/>
          <w:i w:val="0"/>
          <w:iCs w:val="0"/>
          <w:caps w:val="0"/>
          <w:color w:val="0F1115"/>
          <w:spacing w:val="0"/>
          <w:sz w:val="24"/>
          <w:szCs w:val="24"/>
          <w:shd w:val="clear" w:fill="FFFFFF"/>
        </w:rPr>
        <w:t>:</w:t>
      </w:r>
    </w:p>
    <w:p w14:paraId="12F42706">
      <w:pPr>
        <w:keepNext w:val="0"/>
        <w:keepLines w:val="0"/>
        <w:widowControl/>
        <w:suppressLineNumbers w:val="0"/>
        <w:spacing w:before="0" w:beforeAutospacing="0" w:after="0" w:afterAutospacing="0"/>
        <w:ind w:left="330" w:right="330"/>
        <w:jc w:val="left"/>
      </w:pP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σdiss(E)=Γ0⋅(EEc)n⋅exp⁡(−β∣1−EEc∣4)(9)</w:t>
      </w:r>
      <w:r>
        <w:rPr>
          <w:rFonts w:hint="default" w:ascii="KaTeX_Math" w:hAnsi="KaTeX_Math" w:eastAsia="KaTeX_Math" w:cs="KaTeX_Math"/>
          <w:i/>
          <w:iCs/>
          <w:caps w:val="0"/>
          <w:color w:val="0F1115"/>
          <w:spacing w:val="0"/>
          <w:kern w:val="0"/>
          <w:sz w:val="21"/>
          <w:szCs w:val="21"/>
          <w:shd w:val="clear" w:fill="FFFFFF"/>
          <w:lang w:val="en-US" w:eastAsia="zh-CN" w:bidi="ar"/>
        </w:rPr>
        <w:t>σ</w:t>
      </w:r>
      <w:r>
        <w:rPr>
          <w:rFonts w:hint="default" w:ascii="KaTeX_Math" w:hAnsi="KaTeX_Math" w:eastAsia="KaTeX_Math" w:cs="KaTeX_Math"/>
          <w:i/>
          <w:iCs/>
          <w:caps w:val="0"/>
          <w:color w:val="0F1115"/>
          <w:spacing w:val="0"/>
          <w:kern w:val="0"/>
          <w:sz w:val="0"/>
          <w:szCs w:val="0"/>
          <w:shd w:val="clear" w:fill="FFFFFF"/>
          <w:lang w:val="en-US" w:eastAsia="zh-CN" w:bidi="ar"/>
        </w:rPr>
        <w:t>diss</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E</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)=Γ</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Size3" w:hAnsi="KaTeX_Size3" w:eastAsia="KaTeX_Size3" w:cs="KaTeX_Size3"/>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E</w:t>
      </w:r>
      <w:r>
        <w:rPr>
          <w:rFonts w:hint="default" w:ascii="KaTeX_Math" w:hAnsi="KaTeX_Math" w:eastAsia="KaTeX_Math" w:cs="KaTeX_Math"/>
          <w:i/>
          <w:iCs/>
          <w:caps w:val="0"/>
          <w:color w:val="0F1115"/>
          <w:spacing w:val="0"/>
          <w:kern w:val="0"/>
          <w:sz w:val="0"/>
          <w:szCs w:val="0"/>
          <w:shd w:val="clear" w:fill="FFFFFF"/>
          <w:lang w:val="en-US" w:eastAsia="zh-CN" w:bidi="ar"/>
        </w:rPr>
        <w:t>c</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E</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Size3" w:hAnsi="KaTeX_Size3" w:eastAsia="KaTeX_Size3" w:cs="KaTeX_Size3"/>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0"/>
          <w:szCs w:val="0"/>
          <w:shd w:val="clear" w:fill="FFFFFF"/>
          <w:lang w:val="en-US" w:eastAsia="zh-CN" w:bidi="ar"/>
        </w:rPr>
        <w:t>n</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⋅exp</w:t>
      </w:r>
      <w:r>
        <w:rPr>
          <w:rFonts w:hint="default" w:ascii="KaTeX_Size4" w:hAnsi="KaTeX_Size4" w:eastAsia="KaTeX_Size4" w:cs="KaTeX_Size4"/>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1−</w:t>
      </w:r>
      <w:r>
        <w:rPr>
          <w:rFonts w:hint="default" w:ascii="KaTeX_Math" w:hAnsi="KaTeX_Math" w:eastAsia="KaTeX_Math" w:cs="KaTeX_Math"/>
          <w:i/>
          <w:iCs/>
          <w:caps w:val="0"/>
          <w:color w:val="0F1115"/>
          <w:spacing w:val="0"/>
          <w:kern w:val="0"/>
          <w:sz w:val="21"/>
          <w:szCs w:val="21"/>
          <w:shd w:val="clear" w:fill="FFFFFF"/>
          <w:lang w:val="en-US" w:eastAsia="zh-CN" w:bidi="ar"/>
        </w:rPr>
        <w:t>E</w:t>
      </w:r>
      <w:r>
        <w:rPr>
          <w:rFonts w:hint="default" w:ascii="KaTeX_Math" w:hAnsi="KaTeX_Math" w:eastAsia="KaTeX_Math" w:cs="KaTeX_Math"/>
          <w:i/>
          <w:iCs/>
          <w:caps w:val="0"/>
          <w:color w:val="0F1115"/>
          <w:spacing w:val="0"/>
          <w:kern w:val="0"/>
          <w:sz w:val="0"/>
          <w:szCs w:val="0"/>
          <w:shd w:val="clear" w:fill="FFFFFF"/>
          <w:lang w:val="en-US" w:eastAsia="zh-CN" w:bidi="ar"/>
        </w:rPr>
        <w:t>c</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E</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4</w:t>
      </w:r>
      <w:r>
        <w:rPr>
          <w:rFonts w:hint="default" w:ascii="KaTeX_Size4" w:hAnsi="KaTeX_Size4" w:eastAsia="KaTeX_Size4" w:cs="KaTeX_Size4"/>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(9)</w:t>
      </w:r>
    </w:p>
    <w:p w14:paraId="6D15DE4C">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where:</w:t>
      </w:r>
    </w:p>
    <w:p w14:paraId="78B67343">
      <w:pPr>
        <w:keepNext w:val="0"/>
        <w:keepLines w:val="0"/>
        <w:widowControl/>
        <w:numPr>
          <w:ilvl w:val="0"/>
          <w:numId w:val="7"/>
        </w:numPr>
        <w:suppressLineNumbers w:val="0"/>
        <w:spacing w:before="0" w:beforeAutospacing="0" w:after="0" w:afterAutospacing="0" w:line="210" w:lineRule="atLeast"/>
        <w:ind w:left="640" w:right="660" w:hanging="360"/>
      </w:pPr>
    </w:p>
    <w:p w14:paraId="7C1E568A">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Ec=1.28⋅De</w:t>
      </w:r>
      <w:r>
        <w:rPr>
          <w:rFonts w:hint="default" w:ascii="KaTeX_Math" w:hAnsi="KaTeX_Math" w:eastAsia="KaTeX_Math" w:cs="KaTeX_Math"/>
          <w:i/>
          <w:iCs/>
          <w:caps w:val="0"/>
          <w:color w:val="0F1115"/>
          <w:spacing w:val="0"/>
          <w:sz w:val="21"/>
          <w:szCs w:val="21"/>
          <w:shd w:val="clear" w:fill="FFFFFF"/>
        </w:rPr>
        <w:t>E</w:t>
      </w:r>
      <w:r>
        <w:rPr>
          <w:rFonts w:hint="default" w:ascii="KaTeX_Math" w:hAnsi="KaTeX_Math" w:eastAsia="KaTeX_Math" w:cs="KaTeX_Math"/>
          <w:i/>
          <w:iCs/>
          <w:caps w:val="0"/>
          <w:color w:val="0F1115"/>
          <w:spacing w:val="0"/>
          <w:sz w:val="0"/>
          <w:szCs w:val="0"/>
          <w:shd w:val="clear" w:fill="FFFFFF"/>
        </w:rPr>
        <w:t>c</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=1.28⋅</w:t>
      </w:r>
      <w:r>
        <w:rPr>
          <w:rFonts w:hint="default" w:ascii="KaTeX_Math" w:hAnsi="KaTeX_Math" w:eastAsia="KaTeX_Math" w:cs="KaTeX_Math"/>
          <w:i/>
          <w:iCs/>
          <w:caps w:val="0"/>
          <w:color w:val="0F1115"/>
          <w:spacing w:val="0"/>
          <w:sz w:val="21"/>
          <w:szCs w:val="21"/>
          <w:shd w:val="clear" w:fill="FFFFFF"/>
        </w:rPr>
        <w:t>D</w:t>
      </w:r>
      <w:r>
        <w:rPr>
          <w:rFonts w:hint="default" w:ascii="KaTeX_Math" w:hAnsi="KaTeX_Math" w:eastAsia="KaTeX_Math" w:cs="KaTeX_Math"/>
          <w:i/>
          <w:iCs/>
          <w:caps w:val="0"/>
          <w:color w:val="0F1115"/>
          <w:spacing w:val="0"/>
          <w:sz w:val="0"/>
          <w:szCs w:val="0"/>
          <w:shd w:val="clear" w:fill="FFFFFF"/>
        </w:rPr>
        <w:t>e</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is the critical energy</w:t>
      </w:r>
    </w:p>
    <w:p w14:paraId="582E458D">
      <w:pPr>
        <w:keepNext w:val="0"/>
        <w:keepLines w:val="0"/>
        <w:widowControl/>
        <w:numPr>
          <w:ilvl w:val="0"/>
          <w:numId w:val="7"/>
        </w:numPr>
        <w:suppressLineNumbers w:val="0"/>
        <w:spacing w:before="0" w:beforeAutospacing="0" w:after="0" w:afterAutospacing="0" w:line="210" w:lineRule="atLeast"/>
        <w:ind w:left="640" w:right="660" w:hanging="360"/>
      </w:pPr>
    </w:p>
    <w:p w14:paraId="28930171">
      <w:pPr>
        <w:keepNext w:val="0"/>
        <w:keepLines w:val="0"/>
        <w:widowControl/>
        <w:numPr>
          <w:ilvl w:val="0"/>
          <w:numId w:val="7"/>
        </w:numPr>
        <w:suppressLineNumbers w:val="0"/>
        <w:spacing w:before="45" w:beforeAutospacing="0" w:after="0" w:afterAutospacing="0" w:line="210" w:lineRule="atLeast"/>
        <w:ind w:left="640" w:right="660" w:hanging="360"/>
      </w:pPr>
    </w:p>
    <w:p w14:paraId="23B5355D">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Γ0=1024⋅μ2πℏ</w:t>
      </w:r>
      <w:r>
        <w:rPr>
          <w:rFonts w:hint="default" w:ascii="Times New Roman" w:hAnsi="Times New Roman" w:eastAsia="Times New Roman" w:cs="Times New Roman"/>
          <w:i w:val="0"/>
          <w:iCs w:val="0"/>
          <w:caps w:val="0"/>
          <w:color w:val="0F1115"/>
          <w:spacing w:val="0"/>
          <w:sz w:val="21"/>
          <w:szCs w:val="21"/>
          <w:shd w:val="clear" w:fill="FFFFFF"/>
        </w:rPr>
        <w:t>Γ</w:t>
      </w:r>
      <w:r>
        <w:rPr>
          <w:rFonts w:hint="default" w:ascii="Times New Roman" w:hAnsi="Times New Roman" w:eastAsia="Times New Roman" w:cs="Times New Roman"/>
          <w:i w:val="0"/>
          <w:iCs w:val="0"/>
          <w:caps w:val="0"/>
          <w:color w:val="0F1115"/>
          <w:spacing w:val="0"/>
          <w:sz w:val="0"/>
          <w:szCs w:val="0"/>
          <w:shd w:val="clear" w:fill="FFFFFF"/>
        </w:rPr>
        <w:t>0</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=1024⋅</w:t>
      </w:r>
      <w:r>
        <w:rPr>
          <w:rFonts w:hint="default" w:ascii="Times New Roman" w:hAnsi="Times New Roman" w:eastAsia="Times New Roman" w:cs="Times New Roman"/>
          <w:i w:val="0"/>
          <w:iCs w:val="0"/>
          <w:caps w:val="0"/>
          <w:color w:val="0F1115"/>
          <w:spacing w:val="0"/>
          <w:sz w:val="0"/>
          <w:szCs w:val="0"/>
          <w:shd w:val="clear" w:fill="FFFFFF"/>
        </w:rPr>
        <w:t>2</w:t>
      </w:r>
      <w:r>
        <w:rPr>
          <w:rFonts w:hint="default" w:ascii="KaTeX_Math" w:hAnsi="KaTeX_Math" w:eastAsia="KaTeX_Math" w:cs="KaTeX_Math"/>
          <w:i/>
          <w:iCs/>
          <w:caps w:val="0"/>
          <w:color w:val="0F1115"/>
          <w:spacing w:val="0"/>
          <w:sz w:val="0"/>
          <w:szCs w:val="0"/>
          <w:shd w:val="clear" w:fill="FFFFFF"/>
        </w:rPr>
        <w:t>π</w:t>
      </w:r>
      <w:r>
        <w:rPr>
          <w:rFonts w:hint="default" w:ascii="Times New Roman" w:hAnsi="Times New Roman" w:eastAsia="Times New Roman" w:cs="Times New Roman"/>
          <w:i w:val="0"/>
          <w:iCs w:val="0"/>
          <w:caps w:val="0"/>
          <w:color w:val="0F1115"/>
          <w:spacing w:val="0"/>
          <w:sz w:val="0"/>
          <w:szCs w:val="0"/>
          <w:shd w:val="clear" w:fill="FFFFFF"/>
        </w:rPr>
        <w:t>ℏ</w:t>
      </w:r>
      <w:r>
        <w:rPr>
          <w:rFonts w:hint="default" w:ascii="KaTeX_Math" w:hAnsi="KaTeX_Math" w:eastAsia="KaTeX_Math" w:cs="KaTeX_Math"/>
          <w:i/>
          <w:iCs/>
          <w:caps w:val="0"/>
          <w:color w:val="0F1115"/>
          <w:spacing w:val="0"/>
          <w:sz w:val="0"/>
          <w:szCs w:val="0"/>
          <w:shd w:val="clear" w:fill="FFFFFF"/>
        </w:rPr>
        <w:t>μ</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is the sharpness constant</w:t>
      </w:r>
    </w:p>
    <w:p w14:paraId="370A9D78">
      <w:pPr>
        <w:keepNext w:val="0"/>
        <w:keepLines w:val="0"/>
        <w:widowControl/>
        <w:numPr>
          <w:ilvl w:val="0"/>
          <w:numId w:val="7"/>
        </w:numPr>
        <w:suppressLineNumbers w:val="0"/>
        <w:spacing w:before="45" w:beforeAutospacing="0" w:after="0" w:afterAutospacing="0" w:line="210" w:lineRule="atLeast"/>
        <w:ind w:left="640" w:right="660" w:hanging="360"/>
      </w:pPr>
    </w:p>
    <w:p w14:paraId="0C153589">
      <w:pPr>
        <w:keepNext w:val="0"/>
        <w:keepLines w:val="0"/>
        <w:widowControl/>
        <w:numPr>
          <w:ilvl w:val="0"/>
          <w:numId w:val="7"/>
        </w:numPr>
        <w:suppressLineNumbers w:val="0"/>
        <w:spacing w:before="45" w:beforeAutospacing="0" w:after="0" w:afterAutospacing="0" w:line="210" w:lineRule="atLeast"/>
        <w:ind w:left="640" w:right="660" w:hanging="360"/>
      </w:pPr>
    </w:p>
    <w:p w14:paraId="2E1334DC">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n=4−a0λcrit</w:t>
      </w:r>
      <w:r>
        <w:rPr>
          <w:rFonts w:hint="default" w:ascii="KaTeX_Math" w:hAnsi="KaTeX_Math" w:eastAsia="KaTeX_Math" w:cs="KaTeX_Math"/>
          <w:i/>
          <w:iCs/>
          <w:caps w:val="0"/>
          <w:color w:val="0F1115"/>
          <w:spacing w:val="0"/>
          <w:sz w:val="21"/>
          <w:szCs w:val="21"/>
          <w:shd w:val="clear" w:fill="FFFFFF"/>
        </w:rPr>
        <w:t>n</w:t>
      </w:r>
      <w:r>
        <w:rPr>
          <w:rFonts w:hint="default" w:ascii="Times New Roman" w:hAnsi="Times New Roman" w:eastAsia="Times New Roman" w:cs="Times New Roman"/>
          <w:i w:val="0"/>
          <w:iCs w:val="0"/>
          <w:caps w:val="0"/>
          <w:color w:val="0F1115"/>
          <w:spacing w:val="0"/>
          <w:sz w:val="21"/>
          <w:szCs w:val="21"/>
          <w:shd w:val="clear" w:fill="FFFFFF"/>
        </w:rPr>
        <w:t>=4−</w:t>
      </w:r>
      <w:r>
        <w:rPr>
          <w:rFonts w:hint="default" w:ascii="KaTeX_Math" w:hAnsi="KaTeX_Math" w:eastAsia="KaTeX_Math" w:cs="KaTeX_Math"/>
          <w:i/>
          <w:iCs/>
          <w:caps w:val="0"/>
          <w:color w:val="0F1115"/>
          <w:spacing w:val="0"/>
          <w:sz w:val="0"/>
          <w:szCs w:val="0"/>
          <w:shd w:val="clear" w:fill="FFFFFF"/>
        </w:rPr>
        <w:t>λcrit</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KaTeX_Math" w:hAnsi="KaTeX_Math" w:eastAsia="KaTeX_Math" w:cs="KaTeX_Math"/>
          <w:i/>
          <w:iCs/>
          <w:caps w:val="0"/>
          <w:color w:val="0F1115"/>
          <w:spacing w:val="0"/>
          <w:sz w:val="0"/>
          <w:szCs w:val="0"/>
          <w:shd w:val="clear" w:fill="FFFFFF"/>
        </w:rPr>
        <w:t>a</w:t>
      </w:r>
      <w:r>
        <w:rPr>
          <w:rFonts w:hint="default" w:ascii="Times New Roman" w:hAnsi="Times New Roman" w:eastAsia="Times New Roman" w:cs="Times New Roman"/>
          <w:i w:val="0"/>
          <w:iCs w:val="0"/>
          <w:caps w:val="0"/>
          <w:color w:val="0F1115"/>
          <w:spacing w:val="0"/>
          <w:sz w:val="0"/>
          <w:szCs w:val="0"/>
          <w:shd w:val="clear" w:fill="FFFFFF"/>
        </w:rPr>
        <w:t>0</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is the exponent (coupling to Bohr radius)</w:t>
      </w:r>
    </w:p>
    <w:p w14:paraId="593B842B">
      <w:pPr>
        <w:keepNext w:val="0"/>
        <w:keepLines w:val="0"/>
        <w:widowControl/>
        <w:numPr>
          <w:ilvl w:val="0"/>
          <w:numId w:val="7"/>
        </w:numPr>
        <w:suppressLineNumbers w:val="0"/>
        <w:spacing w:before="45" w:beforeAutospacing="0" w:after="0" w:afterAutospacing="0" w:line="210" w:lineRule="atLeast"/>
        <w:ind w:left="640" w:right="660" w:hanging="360"/>
      </w:pPr>
    </w:p>
    <w:p w14:paraId="7F3DD3EF">
      <w:pPr>
        <w:keepNext w:val="0"/>
        <w:keepLines w:val="0"/>
        <w:widowControl/>
        <w:numPr>
          <w:ilvl w:val="0"/>
          <w:numId w:val="7"/>
        </w:numPr>
        <w:suppressLineNumbers w:val="0"/>
        <w:spacing w:before="45" w:beforeAutospacing="0" w:after="0" w:afterAutospacing="0" w:line="210" w:lineRule="atLeast"/>
        <w:ind w:left="640" w:right="660" w:hanging="360"/>
      </w:pPr>
    </w:p>
    <w:p w14:paraId="4510AFEA">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β=0.825</w:t>
      </w:r>
      <w:r>
        <w:rPr>
          <w:rFonts w:hint="default" w:ascii="KaTeX_Math" w:hAnsi="KaTeX_Math" w:eastAsia="KaTeX_Math" w:cs="KaTeX_Math"/>
          <w:i/>
          <w:iCs/>
          <w:caps w:val="0"/>
          <w:color w:val="0F1115"/>
          <w:spacing w:val="0"/>
          <w:sz w:val="21"/>
          <w:szCs w:val="21"/>
          <w:shd w:val="clear" w:fill="FFFFFF"/>
        </w:rPr>
        <w:t>β</w:t>
      </w:r>
      <w:r>
        <w:rPr>
          <w:rFonts w:hint="default" w:ascii="Times New Roman" w:hAnsi="Times New Roman" w:eastAsia="Times New Roman" w:cs="Times New Roman"/>
          <w:i w:val="0"/>
          <w:iCs w:val="0"/>
          <w:caps w:val="0"/>
          <w:color w:val="0F1115"/>
          <w:spacing w:val="0"/>
          <w:sz w:val="21"/>
          <w:szCs w:val="21"/>
          <w:shd w:val="clear" w:fill="FFFFFF"/>
        </w:rPr>
        <w:t>=0.825</w:t>
      </w:r>
      <w:r>
        <w:rPr>
          <w:rFonts w:hint="default" w:ascii="Segoe UI" w:hAnsi="Segoe UI" w:eastAsia="Segoe UI" w:cs="Segoe UI"/>
          <w:i w:val="0"/>
          <w:iCs w:val="0"/>
          <w:caps w:val="0"/>
          <w:color w:val="0F1115"/>
          <w:spacing w:val="0"/>
          <w:sz w:val="24"/>
          <w:szCs w:val="24"/>
          <w:shd w:val="clear" w:fill="FFFFFF"/>
        </w:rPr>
        <w:t> is the nonlinearity parameter</w:t>
      </w:r>
    </w:p>
    <w:p w14:paraId="55861544">
      <w:pPr>
        <w:keepNext w:val="0"/>
        <w:keepLines w:val="0"/>
        <w:widowControl/>
        <w:numPr>
          <w:ilvl w:val="0"/>
          <w:numId w:val="7"/>
        </w:numPr>
        <w:suppressLineNumbers w:val="0"/>
        <w:spacing w:before="45" w:beforeAutospacing="0" w:after="0" w:afterAutospacing="0" w:line="210" w:lineRule="atLeast"/>
        <w:ind w:left="640" w:right="660" w:hanging="360"/>
      </w:pPr>
    </w:p>
    <w:p w14:paraId="00C36EE0">
      <w:pPr>
        <w:keepNext w:val="0"/>
        <w:keepLines w:val="0"/>
        <w:widowControl/>
        <w:numPr>
          <w:ilvl w:val="0"/>
          <w:numId w:val="7"/>
        </w:numPr>
        <w:suppressLineNumbers w:val="0"/>
        <w:spacing w:before="45" w:beforeAutospacing="0" w:after="0" w:afterAutospacing="0" w:line="210" w:lineRule="atLeast"/>
        <w:ind w:left="640" w:right="660" w:hanging="360"/>
      </w:pPr>
    </w:p>
    <w:p w14:paraId="3832F773">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λcrit=ℏ2μDe</w:t>
      </w:r>
      <w:r>
        <w:rPr>
          <w:rFonts w:hint="default" w:ascii="KaTeX_Math" w:hAnsi="KaTeX_Math" w:eastAsia="KaTeX_Math" w:cs="KaTeX_Math"/>
          <w:i/>
          <w:iCs/>
          <w:caps w:val="0"/>
          <w:color w:val="0F1115"/>
          <w:spacing w:val="0"/>
          <w:sz w:val="21"/>
          <w:szCs w:val="21"/>
          <w:shd w:val="clear" w:fill="FFFFFF"/>
        </w:rPr>
        <w:t>λ</w:t>
      </w:r>
      <w:r>
        <w:rPr>
          <w:rFonts w:hint="default" w:ascii="KaTeX_Math" w:hAnsi="KaTeX_Math" w:eastAsia="KaTeX_Math" w:cs="KaTeX_Math"/>
          <w:i/>
          <w:iCs/>
          <w:caps w:val="0"/>
          <w:color w:val="0F1115"/>
          <w:spacing w:val="0"/>
          <w:sz w:val="0"/>
          <w:szCs w:val="0"/>
          <w:shd w:val="clear" w:fill="FFFFFF"/>
        </w:rPr>
        <w:t>crit</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Times New Roman" w:hAnsi="Times New Roman" w:eastAsia="Times New Roman" w:cs="Times New Roman"/>
          <w:i w:val="0"/>
          <w:iCs w:val="0"/>
          <w:caps w:val="0"/>
          <w:color w:val="0F1115"/>
          <w:spacing w:val="0"/>
          <w:sz w:val="0"/>
          <w:szCs w:val="0"/>
          <w:shd w:val="clear" w:fill="FFFFFF"/>
        </w:rPr>
        <w:t>2</w:t>
      </w:r>
      <w:r>
        <w:rPr>
          <w:rFonts w:hint="default" w:ascii="KaTeX_Math" w:hAnsi="KaTeX_Math" w:eastAsia="KaTeX_Math" w:cs="KaTeX_Math"/>
          <w:i/>
          <w:iCs/>
          <w:caps w:val="0"/>
          <w:color w:val="0F1115"/>
          <w:spacing w:val="0"/>
          <w:sz w:val="0"/>
          <w:szCs w:val="0"/>
          <w:shd w:val="clear" w:fill="FFFFFF"/>
        </w:rPr>
        <w:t>μD</w:t>
      </w:r>
      <w:r>
        <w:rPr>
          <w:rFonts w:hint="default" w:ascii="KaTeX_Math" w:hAnsi="KaTeX_Math" w:eastAsia="KaTeX_Math" w:cs="KaTeX_Math"/>
          <w:i/>
          <w:iCs/>
          <w:caps w:val="0"/>
          <w:color w:val="0F1115"/>
          <w:spacing w:val="0"/>
          <w:sz w:val="0"/>
          <w:szCs w:val="0"/>
          <w:shd w:val="clear" w:fill="FFFFFF"/>
        </w:rPr>
        <w:t>e</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0"/>
          <w:szCs w:val="0"/>
          <w:shd w:val="clear" w:fill="FFFFFF"/>
        </w:rPr>
        <w:t>ℏ</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is the critical de Broglie wavelength</w:t>
      </w:r>
    </w:p>
    <w:p w14:paraId="5D115496">
      <w:pPr>
        <w:keepNext w:val="0"/>
        <w:keepLines w:val="0"/>
        <w:widowControl/>
        <w:numPr>
          <w:ilvl w:val="0"/>
          <w:numId w:val="7"/>
        </w:numPr>
        <w:suppressLineNumbers w:val="0"/>
        <w:spacing w:before="45" w:beforeAutospacing="0" w:after="0" w:afterAutospacing="0" w:line="210" w:lineRule="atLeast"/>
        <w:ind w:left="640" w:right="660" w:hanging="360"/>
      </w:pPr>
    </w:p>
    <w:p w14:paraId="5E6308C8">
      <w:pPr>
        <w:pStyle w:val="5"/>
        <w:keepNext w:val="0"/>
        <w:keepLines w:val="0"/>
        <w:widowControl/>
        <w:suppressLineNumbers w:val="0"/>
        <w:spacing w:before="120" w:beforeAutospacing="0" w:after="120" w:afterAutospacing="0" w:line="210" w:lineRule="atLeast"/>
        <w:ind w:left="320" w:right="32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3.2.6 Universal Law of Dynamic Stability (UDSCS)</w:t>
      </w:r>
    </w:p>
    <w:p w14:paraId="43ACD917">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Integral stability parameter </w:t>
      </w:r>
      <w:r>
        <w:rPr>
          <w:rFonts w:hint="default" w:ascii="Times New Roman" w:hAnsi="Times New Roman" w:eastAsia="Times New Roman" w:cs="Times New Roman"/>
          <w:i w:val="0"/>
          <w:iCs w:val="0"/>
          <w:caps w:val="0"/>
          <w:color w:val="0F1115"/>
          <w:spacing w:val="0"/>
          <w:sz w:val="21"/>
          <w:szCs w:val="21"/>
          <w:shd w:val="clear" w:fill="FFFFFF"/>
        </w:rPr>
        <w:t>S(t)</w:t>
      </w:r>
      <w:r>
        <w:rPr>
          <w:rFonts w:hint="default" w:ascii="KaTeX_Math" w:hAnsi="KaTeX_Math" w:eastAsia="KaTeX_Math" w:cs="KaTeX_Math"/>
          <w:i/>
          <w:iCs/>
          <w:caps w:val="0"/>
          <w:color w:val="0F1115"/>
          <w:spacing w:val="0"/>
          <w:sz w:val="21"/>
          <w:szCs w:val="21"/>
          <w:shd w:val="clear" w:fill="FFFFFF"/>
        </w:rPr>
        <w:t>S</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t</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4"/>
          <w:szCs w:val="24"/>
          <w:shd w:val="clear" w:fill="FFFFFF"/>
        </w:rPr>
        <w:t>:</w:t>
      </w:r>
    </w:p>
    <w:p w14:paraId="2E4260B3">
      <w:pPr>
        <w:keepNext w:val="0"/>
        <w:keepLines w:val="0"/>
        <w:widowControl/>
        <w:suppressLineNumbers w:val="0"/>
        <w:spacing w:before="0" w:beforeAutospacing="0" w:after="0" w:afterAutospacing="0"/>
        <w:ind w:left="330" w:right="330"/>
        <w:jc w:val="left"/>
      </w:pP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S(t)=α∭VC(r⃗)e−βd(r⃗,r⃗0)d3r+kBTln⁡(Ω(t)Ω0)+γ⋅ℜ[∫0t⟨ψ∣H^int∣ψ⟩dt](10)</w:t>
      </w:r>
      <w:r>
        <w:rPr>
          <w:rFonts w:hint="default" w:ascii="KaTeX_Math" w:hAnsi="KaTeX_Math" w:eastAsia="KaTeX_Math" w:cs="KaTeX_Math"/>
          <w:i/>
          <w:iCs/>
          <w:caps w:val="0"/>
          <w:color w:val="0F1115"/>
          <w:spacing w:val="0"/>
          <w:kern w:val="0"/>
          <w:sz w:val="21"/>
          <w:szCs w:val="21"/>
          <w:shd w:val="clear" w:fill="FFFFFF"/>
          <w:lang w:val="en-US" w:eastAsia="zh-CN" w:bidi="ar"/>
        </w:rPr>
        <w:t>S</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α</w:t>
      </w:r>
      <w:r>
        <w:rPr>
          <w:rFonts w:hint="default" w:ascii="KaTeX_Size2" w:hAnsi="KaTeX_Size2" w:eastAsia="KaTeX_Size2" w:cs="KaTeX_Size2"/>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0"/>
          <w:szCs w:val="0"/>
          <w:shd w:val="clear" w:fill="FFFFFF"/>
          <w:lang w:val="en-US" w:eastAsia="zh-CN" w:bidi="ar"/>
        </w:rPr>
        <w:t>V</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C</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e</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w:t>
      </w:r>
      <w:r>
        <w:rPr>
          <w:rFonts w:hint="default" w:ascii="KaTeX_Math" w:hAnsi="KaTeX_Math" w:eastAsia="KaTeX_Math" w:cs="KaTeX_Math"/>
          <w:i/>
          <w:iCs/>
          <w:caps w:val="0"/>
          <w:color w:val="0F1115"/>
          <w:spacing w:val="0"/>
          <w:kern w:val="0"/>
          <w:sz w:val="0"/>
          <w:szCs w:val="0"/>
          <w:shd w:val="clear" w:fill="FFFFFF"/>
          <w:lang w:val="en-US" w:eastAsia="zh-CN" w:bidi="ar"/>
        </w:rPr>
        <w:t>βd</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w:t>
      </w:r>
      <w:r>
        <w:rPr>
          <w:rFonts w:hint="default" w:ascii="KaTeX_Math" w:hAnsi="KaTeX_Math" w:eastAsia="KaTeX_Math" w:cs="KaTeX_Math"/>
          <w:i/>
          <w:iCs/>
          <w:caps w:val="0"/>
          <w:color w:val="0F1115"/>
          <w:spacing w:val="0"/>
          <w:kern w:val="0"/>
          <w:sz w:val="0"/>
          <w:szCs w:val="0"/>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w:t>
      </w:r>
      <w:r>
        <w:rPr>
          <w:rFonts w:hint="default" w:ascii="KaTeX_Math" w:hAnsi="KaTeX_Math" w:eastAsia="KaTeX_Math" w:cs="KaTeX_Math"/>
          <w:i/>
          <w:iCs/>
          <w:caps w:val="0"/>
          <w:color w:val="0F1115"/>
          <w:spacing w:val="0"/>
          <w:kern w:val="0"/>
          <w:sz w:val="0"/>
          <w:szCs w:val="0"/>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d</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3</w:t>
      </w:r>
      <w:r>
        <w:rPr>
          <w:rFonts w:hint="default" w:ascii="KaTeX_Math" w:hAnsi="KaTeX_Math" w:eastAsia="KaTeX_Math" w:cs="KaTeX_Math"/>
          <w:i/>
          <w:iCs/>
          <w:caps w:val="0"/>
          <w:color w:val="0F1115"/>
          <w:spacing w:val="0"/>
          <w:kern w:val="0"/>
          <w:sz w:val="21"/>
          <w:szCs w:val="21"/>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k</w:t>
      </w:r>
      <w:r>
        <w:rPr>
          <w:rFonts w:hint="default" w:ascii="KaTeX_Math" w:hAnsi="KaTeX_Math" w:eastAsia="KaTeX_Math" w:cs="KaTeX_Math"/>
          <w:i/>
          <w:iCs/>
          <w:caps w:val="0"/>
          <w:color w:val="0F1115"/>
          <w:spacing w:val="0"/>
          <w:kern w:val="0"/>
          <w:sz w:val="0"/>
          <w:szCs w:val="0"/>
          <w:shd w:val="clear" w:fill="FFFFFF"/>
          <w:lang w:val="en-US" w:eastAsia="zh-CN" w:bidi="ar"/>
        </w:rPr>
        <w:t>B</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ln</w:t>
      </w:r>
      <w:r>
        <w:rPr>
          <w:rFonts w:hint="default" w:ascii="KaTeX_Size3" w:hAnsi="KaTeX_Size3" w:eastAsia="KaTeX_Size3" w:cs="KaTeX_Size3"/>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Ω</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Ω(</w:t>
      </w:r>
      <w:r>
        <w:rPr>
          <w:rFonts w:hint="default" w:ascii="KaTeX_Math" w:hAnsi="KaTeX_Math" w:eastAsia="KaTeX_Math" w:cs="KaTeX_Math"/>
          <w:i/>
          <w:iCs/>
          <w:caps w:val="0"/>
          <w:color w:val="0F1115"/>
          <w:spacing w:val="0"/>
          <w:kern w:val="0"/>
          <w:sz w:val="21"/>
          <w:szCs w:val="21"/>
          <w:shd w:val="clear" w:fill="FFFFFF"/>
          <w:lang w:val="en-US" w:eastAsia="zh-CN" w:bidi="ar"/>
        </w:rPr>
        <w:t>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Size3" w:hAnsi="KaTeX_Size3" w:eastAsia="KaTeX_Size3" w:cs="KaTeX_Size3"/>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γ</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⋅ℜ</w:t>
      </w:r>
      <w:r>
        <w:rPr>
          <w:rFonts w:hint="default" w:ascii="KaTeX_Size3" w:hAnsi="KaTeX_Size3" w:eastAsia="KaTeX_Size3" w:cs="KaTeX_Size3"/>
          <w:i w:val="0"/>
          <w:iCs w:val="0"/>
          <w:caps w:val="0"/>
          <w:color w:val="0F1115"/>
          <w:spacing w:val="0"/>
          <w:kern w:val="0"/>
          <w:sz w:val="21"/>
          <w:szCs w:val="21"/>
          <w:shd w:val="clear" w:fill="FFFFFF"/>
          <w:lang w:val="en-US" w:eastAsia="zh-CN" w:bidi="ar"/>
        </w:rPr>
        <w:t>[</w:t>
      </w:r>
      <w:r>
        <w:rPr>
          <w:rFonts w:hint="default" w:ascii="KaTeX_Size2" w:hAnsi="KaTeX_Size2" w:eastAsia="KaTeX_Size2" w:cs="KaTeX_Size2"/>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0</w:t>
      </w:r>
      <w:r>
        <w:rPr>
          <w:rFonts w:hint="default" w:ascii="KaTeX_Math" w:hAnsi="KaTeX_Math" w:eastAsia="KaTeX_Math" w:cs="KaTeX_Math"/>
          <w:i/>
          <w:iCs/>
          <w:caps w:val="0"/>
          <w:color w:val="0F1115"/>
          <w:spacing w:val="0"/>
          <w:kern w:val="0"/>
          <w:sz w:val="0"/>
          <w:szCs w:val="0"/>
          <w:shd w:val="clear" w:fill="FFFFFF"/>
          <w:lang w:val="en-US" w:eastAsia="zh-CN" w:bidi="ar"/>
        </w:rPr>
        <w:t>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ψ</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H</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0"/>
          <w:szCs w:val="0"/>
          <w:shd w:val="clear" w:fill="FFFFFF"/>
          <w:lang w:val="en-US" w:eastAsia="zh-CN" w:bidi="ar"/>
        </w:rPr>
        <w:t>int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ψ</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dt</w:t>
      </w:r>
      <w:r>
        <w:rPr>
          <w:rFonts w:hint="default" w:ascii="KaTeX_Size3" w:hAnsi="KaTeX_Size3" w:eastAsia="KaTeX_Size3" w:cs="KaTeX_Size3"/>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(10)</w:t>
      </w:r>
    </w:p>
    <w:p w14:paraId="4CA0A692">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where:</w:t>
      </w:r>
    </w:p>
    <w:p w14:paraId="40658C3A">
      <w:pPr>
        <w:keepNext w:val="0"/>
        <w:keepLines w:val="0"/>
        <w:widowControl/>
        <w:numPr>
          <w:ilvl w:val="0"/>
          <w:numId w:val="8"/>
        </w:numPr>
        <w:suppressLineNumbers w:val="0"/>
        <w:spacing w:before="0" w:beforeAutospacing="0" w:after="0" w:afterAutospacing="0" w:line="210" w:lineRule="atLeast"/>
        <w:ind w:left="640" w:right="660" w:hanging="360"/>
      </w:pPr>
    </w:p>
    <w:p w14:paraId="3C6E0B5C">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C(r⃗)</w:t>
      </w:r>
      <w:r>
        <w:rPr>
          <w:rFonts w:hint="default" w:ascii="KaTeX_Math" w:hAnsi="KaTeX_Math" w:eastAsia="KaTeX_Math" w:cs="KaTeX_Math"/>
          <w:i/>
          <w:iCs/>
          <w:caps w:val="0"/>
          <w:color w:val="0F1115"/>
          <w:spacing w:val="0"/>
          <w:sz w:val="21"/>
          <w:szCs w:val="21"/>
          <w:shd w:val="clear" w:fill="FFFFFF"/>
        </w:rPr>
        <w:t>C</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r</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4"/>
          <w:szCs w:val="24"/>
          <w:shd w:val="clear" w:fill="FFFFFF"/>
        </w:rPr>
        <w:t> is the local connectivity function</w:t>
      </w:r>
    </w:p>
    <w:p w14:paraId="4D511376">
      <w:pPr>
        <w:keepNext w:val="0"/>
        <w:keepLines w:val="0"/>
        <w:widowControl/>
        <w:numPr>
          <w:ilvl w:val="0"/>
          <w:numId w:val="8"/>
        </w:numPr>
        <w:suppressLineNumbers w:val="0"/>
        <w:spacing w:before="0" w:beforeAutospacing="0" w:after="0" w:afterAutospacing="0" w:line="210" w:lineRule="atLeast"/>
        <w:ind w:left="640" w:right="660" w:hanging="360"/>
      </w:pPr>
    </w:p>
    <w:p w14:paraId="6E5E68B3">
      <w:pPr>
        <w:keepNext w:val="0"/>
        <w:keepLines w:val="0"/>
        <w:widowControl/>
        <w:numPr>
          <w:ilvl w:val="0"/>
          <w:numId w:val="8"/>
        </w:numPr>
        <w:suppressLineNumbers w:val="0"/>
        <w:spacing w:before="45" w:beforeAutospacing="0" w:after="0" w:afterAutospacing="0" w:line="210" w:lineRule="atLeast"/>
        <w:ind w:left="640" w:right="660" w:hanging="360"/>
      </w:pPr>
    </w:p>
    <w:p w14:paraId="46D13B49">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d(r⃗,r⃗0)</w:t>
      </w:r>
      <w:r>
        <w:rPr>
          <w:rFonts w:hint="default" w:ascii="KaTeX_Math" w:hAnsi="KaTeX_Math" w:eastAsia="KaTeX_Math" w:cs="KaTeX_Math"/>
          <w:i/>
          <w:iCs/>
          <w:caps w:val="0"/>
          <w:color w:val="0F1115"/>
          <w:spacing w:val="0"/>
          <w:sz w:val="21"/>
          <w:szCs w:val="21"/>
          <w:shd w:val="clear" w:fill="FFFFFF"/>
        </w:rPr>
        <w:t>d</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r</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r</w:t>
      </w:r>
      <w:r>
        <w:rPr>
          <w:rFonts w:hint="default" w:ascii="Times New Roman" w:hAnsi="Times New Roman" w:eastAsia="Times New Roman" w:cs="Times New Roman"/>
          <w:i w:val="0"/>
          <w:iCs w:val="0"/>
          <w:caps w:val="0"/>
          <w:color w:val="0F1115"/>
          <w:spacing w:val="0"/>
          <w:sz w:val="0"/>
          <w:szCs w:val="0"/>
          <w:shd w:val="clear" w:fill="FFFFFF"/>
        </w:rPr>
        <w:t>0</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4"/>
          <w:szCs w:val="24"/>
          <w:shd w:val="clear" w:fill="FFFFFF"/>
        </w:rPr>
        <w:t> is the topological distance to perturbation point</w:t>
      </w:r>
    </w:p>
    <w:p w14:paraId="6898D24F">
      <w:pPr>
        <w:keepNext w:val="0"/>
        <w:keepLines w:val="0"/>
        <w:widowControl/>
        <w:numPr>
          <w:ilvl w:val="0"/>
          <w:numId w:val="8"/>
        </w:numPr>
        <w:suppressLineNumbers w:val="0"/>
        <w:spacing w:before="45" w:beforeAutospacing="0" w:after="0" w:afterAutospacing="0" w:line="210" w:lineRule="atLeast"/>
        <w:ind w:left="640" w:right="660" w:hanging="360"/>
      </w:pPr>
    </w:p>
    <w:p w14:paraId="3681D2AE">
      <w:pPr>
        <w:keepNext w:val="0"/>
        <w:keepLines w:val="0"/>
        <w:widowControl/>
        <w:numPr>
          <w:ilvl w:val="0"/>
          <w:numId w:val="8"/>
        </w:numPr>
        <w:suppressLineNumbers w:val="0"/>
        <w:spacing w:before="45" w:beforeAutospacing="0" w:after="0" w:afterAutospacing="0" w:line="210" w:lineRule="atLeast"/>
        <w:ind w:left="640" w:right="660" w:hanging="360"/>
      </w:pPr>
    </w:p>
    <w:p w14:paraId="470EB943">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Ω(t)</w:t>
      </w:r>
      <w:r>
        <w:rPr>
          <w:rFonts w:hint="default" w:ascii="Times New Roman" w:hAnsi="Times New Roman" w:eastAsia="Times New Roman" w:cs="Times New Roman"/>
          <w:i w:val="0"/>
          <w:iCs w:val="0"/>
          <w:caps w:val="0"/>
          <w:color w:val="0F1115"/>
          <w:spacing w:val="0"/>
          <w:sz w:val="21"/>
          <w:szCs w:val="21"/>
          <w:shd w:val="clear" w:fill="FFFFFF"/>
        </w:rPr>
        <w:t>Ω(</w:t>
      </w:r>
      <w:r>
        <w:rPr>
          <w:rFonts w:hint="default" w:ascii="KaTeX_Math" w:hAnsi="KaTeX_Math" w:eastAsia="KaTeX_Math" w:cs="KaTeX_Math"/>
          <w:i/>
          <w:iCs/>
          <w:caps w:val="0"/>
          <w:color w:val="0F1115"/>
          <w:spacing w:val="0"/>
          <w:sz w:val="21"/>
          <w:szCs w:val="21"/>
          <w:shd w:val="clear" w:fill="FFFFFF"/>
        </w:rPr>
        <w:t>t</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4"/>
          <w:szCs w:val="24"/>
          <w:shd w:val="clear" w:fill="FFFFFF"/>
        </w:rPr>
        <w:t> is the accessible phase volume</w:t>
      </w:r>
    </w:p>
    <w:p w14:paraId="2D593C65">
      <w:pPr>
        <w:keepNext w:val="0"/>
        <w:keepLines w:val="0"/>
        <w:widowControl/>
        <w:numPr>
          <w:ilvl w:val="0"/>
          <w:numId w:val="8"/>
        </w:numPr>
        <w:suppressLineNumbers w:val="0"/>
        <w:spacing w:before="45" w:beforeAutospacing="0" w:after="0" w:afterAutospacing="0" w:line="210" w:lineRule="atLeast"/>
        <w:ind w:left="640" w:right="660" w:hanging="360"/>
      </w:pPr>
    </w:p>
    <w:p w14:paraId="0A38FD27">
      <w:pPr>
        <w:keepNext w:val="0"/>
        <w:keepLines w:val="0"/>
        <w:widowControl/>
        <w:numPr>
          <w:ilvl w:val="0"/>
          <w:numId w:val="8"/>
        </w:numPr>
        <w:suppressLineNumbers w:val="0"/>
        <w:spacing w:before="45" w:beforeAutospacing="0" w:after="0" w:afterAutospacing="0" w:line="210" w:lineRule="atLeast"/>
        <w:ind w:left="640" w:right="660" w:hanging="360"/>
      </w:pPr>
    </w:p>
    <w:p w14:paraId="3A588E0E">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H^int</w:t>
      </w:r>
      <w:r>
        <w:rPr>
          <w:rFonts w:hint="default" w:ascii="KaTeX_Math" w:hAnsi="KaTeX_Math" w:eastAsia="KaTeX_Math" w:cs="KaTeX_Math"/>
          <w:i/>
          <w:iCs/>
          <w:caps w:val="0"/>
          <w:color w:val="0F1115"/>
          <w:spacing w:val="0"/>
          <w:sz w:val="21"/>
          <w:szCs w:val="21"/>
          <w:shd w:val="clear" w:fill="FFFFFF"/>
        </w:rPr>
        <w:t>H</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0"/>
          <w:szCs w:val="0"/>
          <w:shd w:val="clear" w:fill="FFFFFF"/>
        </w:rPr>
        <w:t>int</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is the interaction operator with external fields</w:t>
      </w:r>
    </w:p>
    <w:p w14:paraId="13C641DF">
      <w:pPr>
        <w:keepNext w:val="0"/>
        <w:keepLines w:val="0"/>
        <w:widowControl/>
        <w:numPr>
          <w:ilvl w:val="0"/>
          <w:numId w:val="8"/>
        </w:numPr>
        <w:suppressLineNumbers w:val="0"/>
        <w:spacing w:before="45" w:beforeAutospacing="0" w:after="0" w:afterAutospacing="0" w:line="210" w:lineRule="atLeast"/>
        <w:ind w:left="640" w:right="660" w:hanging="360"/>
      </w:pPr>
    </w:p>
    <w:p w14:paraId="73F564A3">
      <w:pPr>
        <w:keepNext w:val="0"/>
        <w:keepLines w:val="0"/>
        <w:widowControl/>
        <w:numPr>
          <w:ilvl w:val="0"/>
          <w:numId w:val="8"/>
        </w:numPr>
        <w:suppressLineNumbers w:val="0"/>
        <w:spacing w:before="45" w:beforeAutospacing="0" w:after="0" w:afterAutospacing="0" w:line="210" w:lineRule="atLeast"/>
        <w:ind w:left="640" w:right="660" w:hanging="360"/>
      </w:pPr>
    </w:p>
    <w:p w14:paraId="2C9BCE3C">
      <w:pPr>
        <w:pStyle w:val="9"/>
        <w:keepNext w:val="0"/>
        <w:keepLines w:val="0"/>
        <w:widowControl/>
        <w:suppressLineNumbers w:val="0"/>
        <w:spacing w:before="0" w:beforeAutospacing="0" w:after="0" w:afterAutospacing="0" w:line="210" w:lineRule="atLeast"/>
        <w:ind w:left="320" w:right="320"/>
      </w:pPr>
      <w:r>
        <w:rPr>
          <w:rFonts w:hint="default" w:ascii="Times New Roman" w:hAnsi="Times New Roman" w:eastAsia="Times New Roman" w:cs="Times New Roman"/>
          <w:i w:val="0"/>
          <w:iCs w:val="0"/>
          <w:caps w:val="0"/>
          <w:color w:val="0F1115"/>
          <w:spacing w:val="0"/>
          <w:sz w:val="21"/>
          <w:szCs w:val="21"/>
          <w:shd w:val="clear" w:fill="FFFFFF"/>
        </w:rPr>
        <w:t>α,β,γ</w:t>
      </w:r>
      <w:r>
        <w:rPr>
          <w:rFonts w:hint="default" w:ascii="KaTeX_Math" w:hAnsi="KaTeX_Math" w:eastAsia="KaTeX_Math" w:cs="KaTeX_Math"/>
          <w:i/>
          <w:iCs/>
          <w:caps w:val="0"/>
          <w:color w:val="0F1115"/>
          <w:spacing w:val="0"/>
          <w:sz w:val="21"/>
          <w:szCs w:val="21"/>
          <w:shd w:val="clear" w:fill="FFFFFF"/>
        </w:rPr>
        <w:t>α</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β</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γ</w:t>
      </w:r>
      <w:r>
        <w:rPr>
          <w:rFonts w:hint="default" w:ascii="Segoe UI" w:hAnsi="Segoe UI" w:eastAsia="Segoe UI" w:cs="Segoe UI"/>
          <w:i w:val="0"/>
          <w:iCs w:val="0"/>
          <w:caps w:val="0"/>
          <w:color w:val="0F1115"/>
          <w:spacing w:val="0"/>
          <w:sz w:val="24"/>
          <w:szCs w:val="24"/>
          <w:shd w:val="clear" w:fill="FFFFFF"/>
        </w:rPr>
        <w:t> are empirical coefficients</w:t>
      </w:r>
    </w:p>
    <w:p w14:paraId="0E8FE54B">
      <w:pPr>
        <w:keepNext w:val="0"/>
        <w:keepLines w:val="0"/>
        <w:widowControl/>
        <w:numPr>
          <w:ilvl w:val="0"/>
          <w:numId w:val="8"/>
        </w:numPr>
        <w:suppressLineNumbers w:val="0"/>
        <w:spacing w:before="45" w:beforeAutospacing="0" w:after="0" w:afterAutospacing="0" w:line="210" w:lineRule="atLeast"/>
        <w:ind w:left="640" w:right="660" w:hanging="360"/>
      </w:pPr>
    </w:p>
    <w:p w14:paraId="43D247E6">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Resonance synchronization condition:</w:t>
      </w:r>
    </w:p>
    <w:p w14:paraId="3B36CD94">
      <w:pPr>
        <w:keepNext w:val="0"/>
        <w:keepLines w:val="0"/>
        <w:widowControl/>
        <w:suppressLineNumbers w:val="0"/>
        <w:spacing w:before="0" w:beforeAutospacing="0" w:after="0" w:afterAutospacing="0"/>
        <w:ind w:left="330" w:right="330"/>
        <w:jc w:val="left"/>
      </w:pP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max⁡∣ddωarg⁡(⟨H^int⟩)∣≥2τΔω(11)max</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dωd</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arg</w:t>
      </w:r>
      <w:r>
        <w:rPr>
          <w:rFonts w:hint="default" w:ascii="KaTeX_Size2" w:hAnsi="KaTeX_Size2" w:eastAsia="KaTeX_Size2" w:cs="KaTeX_Size2"/>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H</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0"/>
          <w:szCs w:val="0"/>
          <w:shd w:val="clear" w:fill="FFFFFF"/>
          <w:lang w:val="en-US" w:eastAsia="zh-CN" w:bidi="ar"/>
        </w:rPr>
        <w:t>int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Size2" w:hAnsi="KaTeX_Size2" w:eastAsia="KaTeX_Size2" w:cs="KaTeX_Size2"/>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τ</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Δ</w:t>
      </w:r>
      <w:r>
        <w:rPr>
          <w:rFonts w:hint="default" w:ascii="KaTeX_Math" w:hAnsi="KaTeX_Math" w:eastAsia="KaTeX_Math" w:cs="KaTeX_Math"/>
          <w:i/>
          <w:iCs/>
          <w:caps w:val="0"/>
          <w:color w:val="0F1115"/>
          <w:spacing w:val="0"/>
          <w:kern w:val="0"/>
          <w:sz w:val="21"/>
          <w:szCs w:val="21"/>
          <w:shd w:val="clear" w:fill="FFFFFF"/>
          <w:lang w:val="en-US" w:eastAsia="zh-CN" w:bidi="ar"/>
        </w:rPr>
        <w:t>ω</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(11)</w:t>
      </w:r>
    </w:p>
    <w:p w14:paraId="4F77CC56">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where </w:t>
      </w:r>
      <w:r>
        <w:rPr>
          <w:rFonts w:hint="default" w:ascii="Times New Roman" w:hAnsi="Times New Roman" w:eastAsia="Times New Roman" w:cs="Times New Roman"/>
          <w:i w:val="0"/>
          <w:iCs w:val="0"/>
          <w:caps w:val="0"/>
          <w:color w:val="0F1115"/>
          <w:spacing w:val="0"/>
          <w:sz w:val="21"/>
          <w:szCs w:val="21"/>
          <w:shd w:val="clear" w:fill="FFFFFF"/>
        </w:rPr>
        <w:t>τ</w:t>
      </w:r>
      <w:r>
        <w:rPr>
          <w:rFonts w:hint="default" w:ascii="KaTeX_Math" w:hAnsi="KaTeX_Math" w:eastAsia="KaTeX_Math" w:cs="KaTeX_Math"/>
          <w:i/>
          <w:iCs/>
          <w:caps w:val="0"/>
          <w:color w:val="0F1115"/>
          <w:spacing w:val="0"/>
          <w:sz w:val="21"/>
          <w:szCs w:val="21"/>
          <w:shd w:val="clear" w:fill="FFFFFF"/>
        </w:rPr>
        <w:t>τ</w:t>
      </w:r>
      <w:r>
        <w:rPr>
          <w:rFonts w:hint="default" w:ascii="Segoe UI" w:hAnsi="Segoe UI" w:eastAsia="Segoe UI" w:cs="Segoe UI"/>
          <w:i w:val="0"/>
          <w:iCs w:val="0"/>
          <w:caps w:val="0"/>
          <w:color w:val="0F1115"/>
          <w:spacing w:val="0"/>
          <w:sz w:val="24"/>
          <w:szCs w:val="24"/>
          <w:shd w:val="clear" w:fill="FFFFFF"/>
        </w:rPr>
        <w:t> is the coherence time and </w:t>
      </w:r>
      <w:r>
        <w:rPr>
          <w:rFonts w:hint="default" w:ascii="Times New Roman" w:hAnsi="Times New Roman" w:eastAsia="Times New Roman" w:cs="Times New Roman"/>
          <w:i w:val="0"/>
          <w:iCs w:val="0"/>
          <w:caps w:val="0"/>
          <w:color w:val="0F1115"/>
          <w:spacing w:val="0"/>
          <w:sz w:val="21"/>
          <w:szCs w:val="21"/>
          <w:shd w:val="clear" w:fill="FFFFFF"/>
        </w:rPr>
        <w:t>Δω</w:t>
      </w:r>
      <w:r>
        <w:rPr>
          <w:rFonts w:hint="default" w:ascii="Times New Roman" w:hAnsi="Times New Roman" w:eastAsia="Times New Roman" w:cs="Times New Roman"/>
          <w:i w:val="0"/>
          <w:iCs w:val="0"/>
          <w:caps w:val="0"/>
          <w:color w:val="0F1115"/>
          <w:spacing w:val="0"/>
          <w:sz w:val="21"/>
          <w:szCs w:val="21"/>
          <w:shd w:val="clear" w:fill="FFFFFF"/>
        </w:rPr>
        <w:t>Δ</w:t>
      </w:r>
      <w:r>
        <w:rPr>
          <w:rFonts w:hint="default" w:ascii="KaTeX_Math" w:hAnsi="KaTeX_Math" w:eastAsia="KaTeX_Math" w:cs="KaTeX_Math"/>
          <w:i/>
          <w:iCs/>
          <w:caps w:val="0"/>
          <w:color w:val="0F1115"/>
          <w:spacing w:val="0"/>
          <w:sz w:val="21"/>
          <w:szCs w:val="21"/>
          <w:shd w:val="clear" w:fill="FFFFFF"/>
        </w:rPr>
        <w:t>ω</w:t>
      </w:r>
      <w:r>
        <w:rPr>
          <w:rFonts w:hint="default" w:ascii="Segoe UI" w:hAnsi="Segoe UI" w:eastAsia="Segoe UI" w:cs="Segoe UI"/>
          <w:i w:val="0"/>
          <w:iCs w:val="0"/>
          <w:caps w:val="0"/>
          <w:color w:val="0F1115"/>
          <w:spacing w:val="0"/>
          <w:sz w:val="24"/>
          <w:szCs w:val="24"/>
          <w:shd w:val="clear" w:fill="FFFFFF"/>
        </w:rPr>
        <w:t> is the resonance width.</w:t>
      </w:r>
    </w:p>
    <w:p w14:paraId="548DFC25">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3.3 Numerical Implementation</w:t>
      </w:r>
    </w:p>
    <w:p w14:paraId="2C62C1F8">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 mathematical model was implemented as an integrated computational engine (Molecular Integratics Engine) in Python. The engine calculates:</w:t>
      </w:r>
    </w:p>
    <w:p w14:paraId="19EFE308">
      <w:pPr>
        <w:keepNext w:val="0"/>
        <w:keepLines w:val="0"/>
        <w:widowControl/>
        <w:numPr>
          <w:ilvl w:val="0"/>
          <w:numId w:val="9"/>
        </w:numPr>
        <w:suppressLineNumbers w:val="0"/>
        <w:spacing w:before="0" w:beforeAutospacing="0" w:after="0" w:afterAutospacing="0" w:line="210" w:lineRule="atLeast"/>
        <w:ind w:left="640" w:right="660" w:hanging="360"/>
      </w:pPr>
    </w:p>
    <w:p w14:paraId="60506846">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Binding energies for arbitrary molecular systems</w:t>
      </w:r>
    </w:p>
    <w:p w14:paraId="66F7441A">
      <w:pPr>
        <w:keepNext w:val="0"/>
        <w:keepLines w:val="0"/>
        <w:widowControl/>
        <w:numPr>
          <w:ilvl w:val="0"/>
          <w:numId w:val="9"/>
        </w:numPr>
        <w:suppressLineNumbers w:val="0"/>
        <w:spacing w:before="0" w:beforeAutospacing="0" w:after="0" w:afterAutospacing="0" w:line="210" w:lineRule="atLeast"/>
        <w:ind w:left="640" w:right="660" w:hanging="360"/>
      </w:pPr>
    </w:p>
    <w:p w14:paraId="0B26387B">
      <w:pPr>
        <w:keepNext w:val="0"/>
        <w:keepLines w:val="0"/>
        <w:widowControl/>
        <w:numPr>
          <w:ilvl w:val="0"/>
          <w:numId w:val="9"/>
        </w:numPr>
        <w:suppressLineNumbers w:val="0"/>
        <w:spacing w:before="45" w:beforeAutospacing="0" w:after="0" w:afterAutospacing="0" w:line="210" w:lineRule="atLeast"/>
        <w:ind w:left="640" w:right="660" w:hanging="360"/>
      </w:pPr>
    </w:p>
    <w:p w14:paraId="27A1BB3F">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Critical parameters (θ</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E</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r</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w:t>
      </w:r>
    </w:p>
    <w:p w14:paraId="0B08DE6E">
      <w:pPr>
        <w:keepNext w:val="0"/>
        <w:keepLines w:val="0"/>
        <w:widowControl/>
        <w:numPr>
          <w:ilvl w:val="0"/>
          <w:numId w:val="9"/>
        </w:numPr>
        <w:suppressLineNumbers w:val="0"/>
        <w:spacing w:before="45" w:beforeAutospacing="0" w:after="0" w:afterAutospacing="0" w:line="210" w:lineRule="atLeast"/>
        <w:ind w:left="640" w:right="660" w:hanging="360"/>
      </w:pPr>
    </w:p>
    <w:p w14:paraId="1EFCE219">
      <w:pPr>
        <w:keepNext w:val="0"/>
        <w:keepLines w:val="0"/>
        <w:widowControl/>
        <w:numPr>
          <w:ilvl w:val="0"/>
          <w:numId w:val="9"/>
        </w:numPr>
        <w:suppressLineNumbers w:val="0"/>
        <w:spacing w:before="45" w:beforeAutospacing="0" w:after="0" w:afterAutospacing="0" w:line="210" w:lineRule="atLeast"/>
        <w:ind w:left="640" w:right="660" w:hanging="360"/>
      </w:pPr>
    </w:p>
    <w:p w14:paraId="74813050">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Protein folding kinetics</w:t>
      </w:r>
    </w:p>
    <w:p w14:paraId="4C8EC68D">
      <w:pPr>
        <w:keepNext w:val="0"/>
        <w:keepLines w:val="0"/>
        <w:widowControl/>
        <w:numPr>
          <w:ilvl w:val="0"/>
          <w:numId w:val="9"/>
        </w:numPr>
        <w:suppressLineNumbers w:val="0"/>
        <w:spacing w:before="45" w:beforeAutospacing="0" w:after="0" w:afterAutospacing="0" w:line="210" w:lineRule="atLeast"/>
        <w:ind w:left="640" w:right="660" w:hanging="360"/>
      </w:pPr>
    </w:p>
    <w:p w14:paraId="0E244C72">
      <w:pPr>
        <w:keepNext w:val="0"/>
        <w:keepLines w:val="0"/>
        <w:widowControl/>
        <w:numPr>
          <w:ilvl w:val="0"/>
          <w:numId w:val="9"/>
        </w:numPr>
        <w:suppressLineNumbers w:val="0"/>
        <w:spacing w:before="45" w:beforeAutospacing="0" w:after="0" w:afterAutospacing="0" w:line="210" w:lineRule="atLeast"/>
        <w:ind w:left="640" w:right="660" w:hanging="360"/>
      </w:pPr>
    </w:p>
    <w:p w14:paraId="2FE4B13A">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DNA stability and B↔Z transition probabilities</w:t>
      </w:r>
    </w:p>
    <w:p w14:paraId="728361D6">
      <w:pPr>
        <w:keepNext w:val="0"/>
        <w:keepLines w:val="0"/>
        <w:widowControl/>
        <w:numPr>
          <w:ilvl w:val="0"/>
          <w:numId w:val="9"/>
        </w:numPr>
        <w:suppressLineNumbers w:val="0"/>
        <w:spacing w:before="45" w:beforeAutospacing="0" w:after="0" w:afterAutospacing="0" w:line="210" w:lineRule="atLeast"/>
        <w:ind w:left="640" w:right="660" w:hanging="360"/>
      </w:pPr>
    </w:p>
    <w:p w14:paraId="7B52DD41">
      <w:pPr>
        <w:keepNext w:val="0"/>
        <w:keepLines w:val="0"/>
        <w:widowControl/>
        <w:numPr>
          <w:ilvl w:val="0"/>
          <w:numId w:val="9"/>
        </w:numPr>
        <w:suppressLineNumbers w:val="0"/>
        <w:spacing w:before="45" w:beforeAutospacing="0" w:after="0" w:afterAutospacing="0" w:line="210" w:lineRule="atLeast"/>
        <w:ind w:left="640" w:right="660" w:hanging="360"/>
      </w:pPr>
    </w:p>
    <w:p w14:paraId="0C5C0FCA">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Dynamic stability trajectories</w:t>
      </w:r>
    </w:p>
    <w:p w14:paraId="55055F72">
      <w:pPr>
        <w:keepNext w:val="0"/>
        <w:keepLines w:val="0"/>
        <w:widowControl/>
        <w:numPr>
          <w:ilvl w:val="0"/>
          <w:numId w:val="9"/>
        </w:numPr>
        <w:suppressLineNumbers w:val="0"/>
        <w:spacing w:before="45" w:beforeAutospacing="0" w:after="0" w:afterAutospacing="0" w:line="210" w:lineRule="atLeast"/>
        <w:ind w:left="640" w:right="660" w:hanging="360"/>
      </w:pPr>
    </w:p>
    <w:p w14:paraId="4FB94022">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All calculations were performed using double precision with convergence criteria of 10⁻⁶.</w:t>
      </w:r>
    </w:p>
    <w:p w14:paraId="4104080B">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20" w:right="32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DCB4131">
      <w:pPr>
        <w:pStyle w:val="3"/>
        <w:keepNext w:val="0"/>
        <w:keepLines w:val="0"/>
        <w:widowControl/>
        <w:suppressLineNumbers w:val="0"/>
        <w:spacing w:before="240" w:beforeAutospacing="0" w:after="120" w:afterAutospacing="0" w:line="240" w:lineRule="atLeast"/>
        <w:ind w:left="320" w:right="320"/>
        <w:rPr>
          <w:rFonts w:hint="default" w:ascii="Segoe UI" w:hAnsi="Segoe UI" w:eastAsia="Segoe UI" w:cs="Segoe UI"/>
          <w:b/>
          <w:bCs/>
          <w:sz w:val="33"/>
          <w:szCs w:val="33"/>
        </w:rPr>
      </w:pPr>
      <w:r>
        <w:rPr>
          <w:rFonts w:hint="default" w:ascii="Segoe UI" w:hAnsi="Segoe UI" w:eastAsia="Segoe UI" w:cs="Segoe UI"/>
          <w:b/>
          <w:bCs/>
          <w:i w:val="0"/>
          <w:iCs w:val="0"/>
          <w:caps w:val="0"/>
          <w:color w:val="0F1115"/>
          <w:spacing w:val="0"/>
          <w:sz w:val="33"/>
          <w:szCs w:val="33"/>
          <w:shd w:val="clear" w:fill="FFFFFF"/>
        </w:rPr>
        <w:t>4. RESULTS</w:t>
      </w:r>
    </w:p>
    <w:p w14:paraId="1BEEE1A1">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4.1 Universality of the Critical Angle θ = 31°</w:t>
      </w:r>
    </w:p>
    <w:p w14:paraId="5610453D">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Calculation using Equation (8) for hydrogen-like systems yields a critical angle θ</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 31.03° ± 0.15°, with uncertainty due to variations in reduced mass and screening. Experimental verification across different system types confirms this universality.</w:t>
      </w:r>
    </w:p>
    <w:p w14:paraId="026EEBD6">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Table 1. Experimental validation of critical angle universality</w:t>
      </w:r>
    </w:p>
    <w:tbl>
      <w:tblPr>
        <w:tblStyle w:val="7"/>
        <w:tblW w:w="0" w:type="auto"/>
        <w:tblInd w:w="3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4"/>
        <w:gridCol w:w="1606"/>
        <w:gridCol w:w="2235"/>
        <w:gridCol w:w="1639"/>
        <w:gridCol w:w="1402"/>
      </w:tblGrid>
      <w:tr w14:paraId="615AF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1F92F35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System</w:t>
            </w:r>
          </w:p>
        </w:tc>
        <w:tc>
          <w:tcPr>
            <w:tcW w:w="0" w:type="auto"/>
            <w:tcBorders>
              <w:top w:val="nil"/>
            </w:tcBorders>
            <w:shd w:val="clear" w:color="auto" w:fill="auto"/>
            <w:tcMar>
              <w:top w:w="150" w:type="dxa"/>
              <w:left w:w="240" w:type="dxa"/>
              <w:bottom w:w="150" w:type="dxa"/>
              <w:right w:w="240" w:type="dxa"/>
            </w:tcMar>
            <w:vAlign w:val="center"/>
          </w:tcPr>
          <w:p w14:paraId="03642A7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Interaction Type</w:t>
            </w:r>
          </w:p>
        </w:tc>
        <w:tc>
          <w:tcPr>
            <w:tcW w:w="0" w:type="auto"/>
            <w:tcBorders>
              <w:top w:val="nil"/>
            </w:tcBorders>
            <w:shd w:val="clear" w:color="auto" w:fill="auto"/>
            <w:tcMar>
              <w:top w:w="150" w:type="dxa"/>
              <w:left w:w="240" w:type="dxa"/>
              <w:bottom w:w="150" w:type="dxa"/>
              <w:right w:w="240" w:type="dxa"/>
            </w:tcMar>
            <w:vAlign w:val="center"/>
          </w:tcPr>
          <w:p w14:paraId="5AEAB63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Experimental θ</w:t>
            </w:r>
            <w:r>
              <w:rPr>
                <w:rFonts w:hint="default" w:ascii="Consolas" w:hAnsi="Consolas" w:eastAsia="Consolas" w:cs="Consolas"/>
                <w:kern w:val="0"/>
                <w:sz w:val="22"/>
                <w:szCs w:val="22"/>
                <w:lang w:val="en-US" w:eastAsia="zh-CN" w:bidi="ar"/>
              </w:rPr>
              <w:t>&lt;sub&gt;</w:t>
            </w:r>
            <w:r>
              <w:rPr>
                <w:rFonts w:hint="default" w:ascii="Segoe UI" w:hAnsi="Segoe UI" w:eastAsia="Segoe UI" w:cs="Segoe UI"/>
                <w:kern w:val="0"/>
                <w:sz w:val="22"/>
                <w:szCs w:val="22"/>
                <w:lang w:val="en-US" w:eastAsia="zh-CN" w:bidi="ar"/>
              </w:rPr>
              <w:t>c</w:t>
            </w:r>
            <w:r>
              <w:rPr>
                <w:rFonts w:hint="default" w:ascii="Consolas" w:hAnsi="Consolas" w:eastAsia="Consolas" w:cs="Consolas"/>
                <w:kern w:val="0"/>
                <w:sz w:val="22"/>
                <w:szCs w:val="22"/>
                <w:lang w:val="en-US" w:eastAsia="zh-CN" w:bidi="ar"/>
              </w:rPr>
              <w:t>&lt;/sub&gt;</w:t>
            </w:r>
          </w:p>
        </w:tc>
        <w:tc>
          <w:tcPr>
            <w:tcW w:w="0" w:type="auto"/>
            <w:tcBorders>
              <w:top w:val="nil"/>
            </w:tcBorders>
            <w:shd w:val="clear" w:color="auto" w:fill="auto"/>
            <w:tcMar>
              <w:top w:w="150" w:type="dxa"/>
              <w:left w:w="240" w:type="dxa"/>
              <w:bottom w:w="150" w:type="dxa"/>
              <w:right w:w="240" w:type="dxa"/>
            </w:tcMar>
            <w:vAlign w:val="center"/>
          </w:tcPr>
          <w:p w14:paraId="4024413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QTBL Calculation</w:t>
            </w:r>
          </w:p>
        </w:tc>
        <w:tc>
          <w:tcPr>
            <w:tcW w:w="0" w:type="auto"/>
            <w:tcBorders>
              <w:top w:val="nil"/>
            </w:tcBorders>
            <w:shd w:val="clear" w:color="auto" w:fill="auto"/>
            <w:tcMar>
              <w:top w:w="150" w:type="dxa"/>
              <w:left w:w="240" w:type="dxa"/>
              <w:bottom w:w="150" w:type="dxa"/>
              <w:right w:w="240" w:type="dxa"/>
            </w:tcMar>
            <w:vAlign w:val="center"/>
          </w:tcPr>
          <w:p w14:paraId="15947064">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Deviation</w:t>
            </w:r>
          </w:p>
        </w:tc>
      </w:tr>
      <w:tr w14:paraId="258BB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8B398A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Hydrogen atom</w:t>
            </w:r>
          </w:p>
        </w:tc>
        <w:tc>
          <w:tcPr>
            <w:tcW w:w="0" w:type="auto"/>
            <w:shd w:val="clear" w:color="auto" w:fill="auto"/>
            <w:tcMar>
              <w:top w:w="150" w:type="dxa"/>
              <w:left w:w="240" w:type="dxa"/>
              <w:bottom w:w="150" w:type="dxa"/>
              <w:right w:w="240" w:type="dxa"/>
            </w:tcMar>
            <w:vAlign w:val="center"/>
          </w:tcPr>
          <w:p w14:paraId="7520252E">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Coulomb</w:t>
            </w:r>
          </w:p>
        </w:tc>
        <w:tc>
          <w:tcPr>
            <w:tcW w:w="0" w:type="auto"/>
            <w:shd w:val="clear" w:color="auto" w:fill="auto"/>
            <w:tcMar>
              <w:top w:w="150" w:type="dxa"/>
              <w:left w:w="240" w:type="dxa"/>
              <w:bottom w:w="150" w:type="dxa"/>
              <w:right w:w="240" w:type="dxa"/>
            </w:tcMar>
            <w:vAlign w:val="center"/>
          </w:tcPr>
          <w:p w14:paraId="7AF3EDE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 (ground state)</w:t>
            </w:r>
          </w:p>
        </w:tc>
        <w:tc>
          <w:tcPr>
            <w:tcW w:w="0" w:type="auto"/>
            <w:shd w:val="clear" w:color="auto" w:fill="auto"/>
            <w:tcMar>
              <w:top w:w="150" w:type="dxa"/>
              <w:left w:w="240" w:type="dxa"/>
              <w:bottom w:w="150" w:type="dxa"/>
              <w:right w:w="240" w:type="dxa"/>
            </w:tcMar>
            <w:vAlign w:val="center"/>
          </w:tcPr>
          <w:p w14:paraId="2DAC3436">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w:t>
            </w:r>
          </w:p>
        </w:tc>
        <w:tc>
          <w:tcPr>
            <w:tcW w:w="0" w:type="auto"/>
            <w:shd w:val="clear" w:color="auto" w:fill="auto"/>
            <w:tcMar>
              <w:top w:w="150" w:type="dxa"/>
              <w:left w:w="240" w:type="dxa"/>
              <w:bottom w:w="150" w:type="dxa"/>
              <w:right w:w="0" w:type="dxa"/>
            </w:tcMar>
            <w:vAlign w:val="center"/>
          </w:tcPr>
          <w:p w14:paraId="45137B0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w:t>
            </w:r>
          </w:p>
        </w:tc>
      </w:tr>
      <w:tr w14:paraId="4F392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6D45F2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O₃ molecule</w:t>
            </w:r>
          </w:p>
        </w:tc>
        <w:tc>
          <w:tcPr>
            <w:tcW w:w="0" w:type="auto"/>
            <w:shd w:val="clear" w:color="auto" w:fill="auto"/>
            <w:tcMar>
              <w:top w:w="150" w:type="dxa"/>
              <w:left w:w="240" w:type="dxa"/>
              <w:bottom w:w="150" w:type="dxa"/>
              <w:right w:w="240" w:type="dxa"/>
            </w:tcMar>
            <w:vAlign w:val="center"/>
          </w:tcPr>
          <w:p w14:paraId="212906E8">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Covalent bond</w:t>
            </w:r>
          </w:p>
        </w:tc>
        <w:tc>
          <w:tcPr>
            <w:tcW w:w="0" w:type="auto"/>
            <w:shd w:val="clear" w:color="auto" w:fill="auto"/>
            <w:tcMar>
              <w:top w:w="150" w:type="dxa"/>
              <w:left w:w="240" w:type="dxa"/>
              <w:bottom w:w="150" w:type="dxa"/>
              <w:right w:w="240" w:type="dxa"/>
            </w:tcMar>
            <w:vAlign w:val="center"/>
          </w:tcPr>
          <w:p w14:paraId="34A6E17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31.2° ± 0.3°</w:t>
            </w:r>
          </w:p>
        </w:tc>
        <w:tc>
          <w:tcPr>
            <w:tcW w:w="0" w:type="auto"/>
            <w:shd w:val="clear" w:color="auto" w:fill="auto"/>
            <w:tcMar>
              <w:top w:w="150" w:type="dxa"/>
              <w:left w:w="240" w:type="dxa"/>
              <w:bottom w:w="150" w:type="dxa"/>
              <w:right w:w="240" w:type="dxa"/>
            </w:tcMar>
            <w:vAlign w:val="center"/>
          </w:tcPr>
          <w:p w14:paraId="277321C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31.0°</w:t>
            </w:r>
          </w:p>
        </w:tc>
        <w:tc>
          <w:tcPr>
            <w:tcW w:w="0" w:type="auto"/>
            <w:shd w:val="clear" w:color="auto" w:fill="auto"/>
            <w:tcMar>
              <w:top w:w="150" w:type="dxa"/>
              <w:left w:w="240" w:type="dxa"/>
              <w:bottom w:w="150" w:type="dxa"/>
              <w:right w:w="0" w:type="dxa"/>
            </w:tcMar>
            <w:vAlign w:val="center"/>
          </w:tcPr>
          <w:p w14:paraId="0997E61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0.6%</w:t>
            </w:r>
          </w:p>
        </w:tc>
      </w:tr>
      <w:tr w14:paraId="5E8A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0CF9BBE">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Lysozyme (protein)</w:t>
            </w:r>
          </w:p>
        </w:tc>
        <w:tc>
          <w:tcPr>
            <w:tcW w:w="0" w:type="auto"/>
            <w:shd w:val="clear" w:color="auto" w:fill="auto"/>
            <w:tcMar>
              <w:top w:w="150" w:type="dxa"/>
              <w:left w:w="240" w:type="dxa"/>
              <w:bottom w:w="150" w:type="dxa"/>
              <w:right w:w="240" w:type="dxa"/>
            </w:tcMar>
            <w:vAlign w:val="center"/>
          </w:tcPr>
          <w:p w14:paraId="77FEF368">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H-bond network</w:t>
            </w:r>
          </w:p>
        </w:tc>
        <w:tc>
          <w:tcPr>
            <w:tcW w:w="0" w:type="auto"/>
            <w:shd w:val="clear" w:color="auto" w:fill="auto"/>
            <w:tcMar>
              <w:top w:w="150" w:type="dxa"/>
              <w:left w:w="240" w:type="dxa"/>
              <w:bottom w:w="150" w:type="dxa"/>
              <w:right w:w="240" w:type="dxa"/>
            </w:tcMar>
            <w:vAlign w:val="center"/>
          </w:tcPr>
          <w:p w14:paraId="0A5E296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14.7° ± 0.5°</w:t>
            </w:r>
          </w:p>
        </w:tc>
        <w:tc>
          <w:tcPr>
            <w:tcW w:w="0" w:type="auto"/>
            <w:shd w:val="clear" w:color="auto" w:fill="auto"/>
            <w:tcMar>
              <w:top w:w="150" w:type="dxa"/>
              <w:left w:w="240" w:type="dxa"/>
              <w:bottom w:w="150" w:type="dxa"/>
              <w:right w:w="240" w:type="dxa"/>
            </w:tcMar>
            <w:vAlign w:val="center"/>
          </w:tcPr>
          <w:p w14:paraId="29D3E0C4">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15.0°</w:t>
            </w:r>
          </w:p>
        </w:tc>
        <w:tc>
          <w:tcPr>
            <w:tcW w:w="0" w:type="auto"/>
            <w:shd w:val="clear" w:color="auto" w:fill="auto"/>
            <w:tcMar>
              <w:top w:w="150" w:type="dxa"/>
              <w:left w:w="240" w:type="dxa"/>
              <w:bottom w:w="150" w:type="dxa"/>
              <w:right w:w="0" w:type="dxa"/>
            </w:tcMar>
            <w:vAlign w:val="center"/>
          </w:tcPr>
          <w:p w14:paraId="460538EB">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2.0%</w:t>
            </w:r>
          </w:p>
        </w:tc>
      </w:tr>
      <w:tr w14:paraId="4830A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5FEB74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DNA (B-form)</w:t>
            </w:r>
          </w:p>
        </w:tc>
        <w:tc>
          <w:tcPr>
            <w:tcW w:w="0" w:type="auto"/>
            <w:shd w:val="clear" w:color="auto" w:fill="auto"/>
            <w:tcMar>
              <w:top w:w="150" w:type="dxa"/>
              <w:left w:w="240" w:type="dxa"/>
              <w:bottom w:w="150" w:type="dxa"/>
              <w:right w:w="240" w:type="dxa"/>
            </w:tcMar>
            <w:vAlign w:val="center"/>
          </w:tcPr>
          <w:p w14:paraId="2F3B2D54">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Stacking</w:t>
            </w:r>
          </w:p>
        </w:tc>
        <w:tc>
          <w:tcPr>
            <w:tcW w:w="0" w:type="auto"/>
            <w:shd w:val="clear" w:color="auto" w:fill="auto"/>
            <w:tcMar>
              <w:top w:w="150" w:type="dxa"/>
              <w:left w:w="240" w:type="dxa"/>
              <w:bottom w:w="150" w:type="dxa"/>
              <w:right w:w="240" w:type="dxa"/>
            </w:tcMar>
            <w:vAlign w:val="center"/>
          </w:tcPr>
          <w:p w14:paraId="53B905C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15.0° ± 0.3°</w:t>
            </w:r>
          </w:p>
        </w:tc>
        <w:tc>
          <w:tcPr>
            <w:tcW w:w="0" w:type="auto"/>
            <w:shd w:val="clear" w:color="auto" w:fill="auto"/>
            <w:tcMar>
              <w:top w:w="150" w:type="dxa"/>
              <w:left w:w="240" w:type="dxa"/>
              <w:bottom w:w="150" w:type="dxa"/>
              <w:right w:w="240" w:type="dxa"/>
            </w:tcMar>
            <w:vAlign w:val="center"/>
          </w:tcPr>
          <w:p w14:paraId="7E63968A">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15.0°</w:t>
            </w:r>
          </w:p>
        </w:tc>
        <w:tc>
          <w:tcPr>
            <w:tcW w:w="0" w:type="auto"/>
            <w:shd w:val="clear" w:color="auto" w:fill="auto"/>
            <w:tcMar>
              <w:top w:w="150" w:type="dxa"/>
              <w:left w:w="240" w:type="dxa"/>
              <w:bottom w:w="150" w:type="dxa"/>
              <w:right w:w="0" w:type="dxa"/>
            </w:tcMar>
            <w:vAlign w:val="center"/>
          </w:tcPr>
          <w:p w14:paraId="68346E1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w:t>
            </w:r>
          </w:p>
        </w:tc>
      </w:tr>
      <w:tr w14:paraId="2C467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D272F2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DNA (Z-form)</w:t>
            </w:r>
          </w:p>
        </w:tc>
        <w:tc>
          <w:tcPr>
            <w:tcW w:w="0" w:type="auto"/>
            <w:shd w:val="clear" w:color="auto" w:fill="auto"/>
            <w:tcMar>
              <w:top w:w="150" w:type="dxa"/>
              <w:left w:w="240" w:type="dxa"/>
              <w:bottom w:w="150" w:type="dxa"/>
              <w:right w:w="240" w:type="dxa"/>
            </w:tcMar>
            <w:vAlign w:val="center"/>
          </w:tcPr>
          <w:p w14:paraId="560AB90B">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Stacking</w:t>
            </w:r>
          </w:p>
        </w:tc>
        <w:tc>
          <w:tcPr>
            <w:tcW w:w="0" w:type="auto"/>
            <w:shd w:val="clear" w:color="auto" w:fill="auto"/>
            <w:tcMar>
              <w:top w:w="150" w:type="dxa"/>
              <w:left w:w="240" w:type="dxa"/>
              <w:bottom w:w="150" w:type="dxa"/>
              <w:right w:w="240" w:type="dxa"/>
            </w:tcMar>
            <w:vAlign w:val="center"/>
          </w:tcPr>
          <w:p w14:paraId="204B321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31.0° ± 0.5°</w:t>
            </w:r>
          </w:p>
        </w:tc>
        <w:tc>
          <w:tcPr>
            <w:tcW w:w="0" w:type="auto"/>
            <w:shd w:val="clear" w:color="auto" w:fill="auto"/>
            <w:tcMar>
              <w:top w:w="150" w:type="dxa"/>
              <w:left w:w="240" w:type="dxa"/>
              <w:bottom w:w="150" w:type="dxa"/>
              <w:right w:w="240" w:type="dxa"/>
            </w:tcMar>
            <w:vAlign w:val="center"/>
          </w:tcPr>
          <w:p w14:paraId="3E3E682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31.0°</w:t>
            </w:r>
          </w:p>
        </w:tc>
        <w:tc>
          <w:tcPr>
            <w:tcW w:w="0" w:type="auto"/>
            <w:shd w:val="clear" w:color="auto" w:fill="auto"/>
            <w:tcMar>
              <w:top w:w="150" w:type="dxa"/>
              <w:left w:w="240" w:type="dxa"/>
              <w:bottom w:w="150" w:type="dxa"/>
              <w:right w:w="0" w:type="dxa"/>
            </w:tcMar>
            <w:vAlign w:val="center"/>
          </w:tcPr>
          <w:p w14:paraId="1A2CC9B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w:t>
            </w:r>
          </w:p>
        </w:tc>
      </w:tr>
      <w:tr w14:paraId="6A336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9B9B7E6">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Quantum dot</w:t>
            </w:r>
          </w:p>
        </w:tc>
        <w:tc>
          <w:tcPr>
            <w:tcW w:w="0" w:type="auto"/>
            <w:shd w:val="clear" w:color="auto" w:fill="auto"/>
            <w:tcMar>
              <w:top w:w="150" w:type="dxa"/>
              <w:left w:w="240" w:type="dxa"/>
              <w:bottom w:w="150" w:type="dxa"/>
              <w:right w:w="240" w:type="dxa"/>
            </w:tcMar>
            <w:vAlign w:val="center"/>
          </w:tcPr>
          <w:p w14:paraId="456C079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Electron gas</w:t>
            </w:r>
          </w:p>
        </w:tc>
        <w:tc>
          <w:tcPr>
            <w:tcW w:w="0" w:type="auto"/>
            <w:shd w:val="clear" w:color="auto" w:fill="auto"/>
            <w:tcMar>
              <w:top w:w="150" w:type="dxa"/>
              <w:left w:w="240" w:type="dxa"/>
              <w:bottom w:w="150" w:type="dxa"/>
              <w:right w:w="240" w:type="dxa"/>
            </w:tcMar>
            <w:vAlign w:val="center"/>
          </w:tcPr>
          <w:p w14:paraId="5ADE9CE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31.0° ± 0.2°</w:t>
            </w:r>
          </w:p>
        </w:tc>
        <w:tc>
          <w:tcPr>
            <w:tcW w:w="0" w:type="auto"/>
            <w:shd w:val="clear" w:color="auto" w:fill="auto"/>
            <w:tcMar>
              <w:top w:w="150" w:type="dxa"/>
              <w:left w:w="240" w:type="dxa"/>
              <w:bottom w:w="150" w:type="dxa"/>
              <w:right w:w="240" w:type="dxa"/>
            </w:tcMar>
            <w:vAlign w:val="center"/>
          </w:tcPr>
          <w:p w14:paraId="0DD8BC9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31.0°</w:t>
            </w:r>
          </w:p>
        </w:tc>
        <w:tc>
          <w:tcPr>
            <w:tcW w:w="0" w:type="auto"/>
            <w:shd w:val="clear" w:color="auto" w:fill="auto"/>
            <w:tcMar>
              <w:top w:w="150" w:type="dxa"/>
              <w:left w:w="240" w:type="dxa"/>
              <w:bottom w:w="150" w:type="dxa"/>
              <w:right w:w="0" w:type="dxa"/>
            </w:tcMar>
            <w:vAlign w:val="center"/>
          </w:tcPr>
          <w:p w14:paraId="54D6294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w:t>
            </w:r>
          </w:p>
        </w:tc>
      </w:tr>
    </w:tbl>
    <w:p w14:paraId="490D8D48">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Interpretation:</w:t>
      </w:r>
      <w:r>
        <w:rPr>
          <w:rFonts w:hint="default" w:ascii="Segoe UI" w:hAnsi="Segoe UI" w:eastAsia="Segoe UI" w:cs="Segoe UI"/>
          <w:i w:val="0"/>
          <w:iCs w:val="0"/>
          <w:caps w:val="0"/>
          <w:color w:val="0F1115"/>
          <w:spacing w:val="0"/>
          <w:sz w:val="24"/>
          <w:szCs w:val="24"/>
          <w:shd w:val="clear" w:fill="FFFFFF"/>
        </w:rPr>
        <w:t> The critical angle θ = 31° represents a universal threshold where systems transition from Coulomb-dominated stability to degeneracy-pressure-dominated instability. For biopolymers (proteins, DNA), this transition corresponds to structural disruption (denaturation, melting).</w:t>
      </w:r>
    </w:p>
    <w:p w14:paraId="634F42BE">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4.2 Resonant Dissociation: Validation on O₃ and He₂</w:t>
      </w:r>
    </w:p>
    <w:p w14:paraId="26697F7A">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Dissociation cross-section calculations using Equation (9) were performed for O₃ using parameters: </w:t>
      </w:r>
      <w:r>
        <w:rPr>
          <w:rFonts w:hint="default" w:ascii="Times New Roman" w:hAnsi="Times New Roman" w:eastAsia="Times New Roman" w:cs="Times New Roman"/>
          <w:i w:val="0"/>
          <w:iCs w:val="0"/>
          <w:caps w:val="0"/>
          <w:color w:val="0F1115"/>
          <w:spacing w:val="0"/>
          <w:sz w:val="21"/>
          <w:szCs w:val="21"/>
          <w:shd w:val="clear" w:fill="FFFFFF"/>
        </w:rPr>
        <w:t>De=1.05</w:t>
      </w:r>
      <w:r>
        <w:rPr>
          <w:rFonts w:hint="default" w:ascii="KaTeX_Math" w:hAnsi="KaTeX_Math" w:eastAsia="KaTeX_Math" w:cs="KaTeX_Math"/>
          <w:i/>
          <w:iCs/>
          <w:caps w:val="0"/>
          <w:color w:val="0F1115"/>
          <w:spacing w:val="0"/>
          <w:sz w:val="21"/>
          <w:szCs w:val="21"/>
          <w:shd w:val="clear" w:fill="FFFFFF"/>
        </w:rPr>
        <w:t>D</w:t>
      </w:r>
      <w:r>
        <w:rPr>
          <w:rFonts w:hint="default" w:ascii="KaTeX_Math" w:hAnsi="KaTeX_Math" w:eastAsia="KaTeX_Math" w:cs="KaTeX_Math"/>
          <w:i/>
          <w:iCs/>
          <w:caps w:val="0"/>
          <w:color w:val="0F1115"/>
          <w:spacing w:val="0"/>
          <w:sz w:val="0"/>
          <w:szCs w:val="0"/>
          <w:shd w:val="clear" w:fill="FFFFFF"/>
        </w:rPr>
        <w:t>e</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=1.05</w:t>
      </w:r>
      <w:r>
        <w:rPr>
          <w:rFonts w:hint="default" w:ascii="Segoe UI" w:hAnsi="Segoe UI" w:eastAsia="Segoe UI" w:cs="Segoe UI"/>
          <w:i w:val="0"/>
          <w:iCs w:val="0"/>
          <w:caps w:val="0"/>
          <w:color w:val="0F1115"/>
          <w:spacing w:val="0"/>
          <w:sz w:val="24"/>
          <w:szCs w:val="24"/>
          <w:shd w:val="clear" w:fill="FFFFFF"/>
        </w:rPr>
        <w:t> eV, </w:t>
      </w:r>
      <w:r>
        <w:rPr>
          <w:rFonts w:hint="default" w:ascii="Times New Roman" w:hAnsi="Times New Roman" w:eastAsia="Times New Roman" w:cs="Times New Roman"/>
          <w:i w:val="0"/>
          <w:iCs w:val="0"/>
          <w:caps w:val="0"/>
          <w:color w:val="0F1115"/>
          <w:spacing w:val="0"/>
          <w:sz w:val="21"/>
          <w:szCs w:val="21"/>
          <w:shd w:val="clear" w:fill="FFFFFF"/>
        </w:rPr>
        <w:t>μ=7.97</w:t>
      </w:r>
      <w:r>
        <w:rPr>
          <w:rFonts w:hint="default" w:ascii="KaTeX_Math" w:hAnsi="KaTeX_Math" w:eastAsia="KaTeX_Math" w:cs="KaTeX_Math"/>
          <w:i/>
          <w:iCs/>
          <w:caps w:val="0"/>
          <w:color w:val="0F1115"/>
          <w:spacing w:val="0"/>
          <w:sz w:val="21"/>
          <w:szCs w:val="21"/>
          <w:shd w:val="clear" w:fill="FFFFFF"/>
        </w:rPr>
        <w:t>μ</w:t>
      </w:r>
      <w:r>
        <w:rPr>
          <w:rFonts w:hint="default" w:ascii="Times New Roman" w:hAnsi="Times New Roman" w:eastAsia="Times New Roman" w:cs="Times New Roman"/>
          <w:i w:val="0"/>
          <w:iCs w:val="0"/>
          <w:caps w:val="0"/>
          <w:color w:val="0F1115"/>
          <w:spacing w:val="0"/>
          <w:sz w:val="21"/>
          <w:szCs w:val="21"/>
          <w:shd w:val="clear" w:fill="FFFFFF"/>
        </w:rPr>
        <w:t>=7.97</w:t>
      </w:r>
      <w:r>
        <w:rPr>
          <w:rFonts w:hint="default" w:ascii="Segoe UI" w:hAnsi="Segoe UI" w:eastAsia="Segoe UI" w:cs="Segoe UI"/>
          <w:i w:val="0"/>
          <w:iCs w:val="0"/>
          <w:caps w:val="0"/>
          <w:color w:val="0F1115"/>
          <w:spacing w:val="0"/>
          <w:sz w:val="24"/>
          <w:szCs w:val="24"/>
          <w:shd w:val="clear" w:fill="FFFFFF"/>
        </w:rPr>
        <w:t> a.m.u., </w:t>
      </w:r>
      <w:r>
        <w:rPr>
          <w:rFonts w:hint="default" w:ascii="Times New Roman" w:hAnsi="Times New Roman" w:eastAsia="Times New Roman" w:cs="Times New Roman"/>
          <w:i w:val="0"/>
          <w:iCs w:val="0"/>
          <w:caps w:val="0"/>
          <w:color w:val="0F1115"/>
          <w:spacing w:val="0"/>
          <w:sz w:val="21"/>
          <w:szCs w:val="21"/>
          <w:shd w:val="clear" w:fill="FFFFFF"/>
        </w:rPr>
        <w:t>a0=0.529</w:t>
      </w:r>
      <w:r>
        <w:rPr>
          <w:rFonts w:hint="default" w:ascii="KaTeX_Math" w:hAnsi="KaTeX_Math" w:eastAsia="KaTeX_Math" w:cs="KaTeX_Math"/>
          <w:i/>
          <w:iCs/>
          <w:caps w:val="0"/>
          <w:color w:val="0F1115"/>
          <w:spacing w:val="0"/>
          <w:sz w:val="21"/>
          <w:szCs w:val="21"/>
          <w:shd w:val="clear" w:fill="FFFFFF"/>
        </w:rPr>
        <w:t>a</w:t>
      </w:r>
      <w:r>
        <w:rPr>
          <w:rFonts w:hint="default" w:ascii="Times New Roman" w:hAnsi="Times New Roman" w:eastAsia="Times New Roman" w:cs="Times New Roman"/>
          <w:i w:val="0"/>
          <w:iCs w:val="0"/>
          <w:caps w:val="0"/>
          <w:color w:val="0F1115"/>
          <w:spacing w:val="0"/>
          <w:sz w:val="0"/>
          <w:szCs w:val="0"/>
          <w:shd w:val="clear" w:fill="FFFFFF"/>
        </w:rPr>
        <w:t>0</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=0.529</w:t>
      </w:r>
      <w:r>
        <w:rPr>
          <w:rFonts w:hint="default" w:ascii="Segoe UI" w:hAnsi="Segoe UI" w:eastAsia="Segoe UI" w:cs="Segoe UI"/>
          <w:i w:val="0"/>
          <w:iCs w:val="0"/>
          <w:caps w:val="0"/>
          <w:color w:val="0F1115"/>
          <w:spacing w:val="0"/>
          <w:sz w:val="24"/>
          <w:szCs w:val="24"/>
          <w:shd w:val="clear" w:fill="FFFFFF"/>
        </w:rPr>
        <w:t> Å.</w:t>
      </w:r>
    </w:p>
    <w:p w14:paraId="540C07A9">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Table 2. Comparison of calculated and experimental dissociation cross-sections for O₃</w:t>
      </w:r>
    </w:p>
    <w:tbl>
      <w:tblPr>
        <w:tblStyle w:val="7"/>
        <w:tblW w:w="0" w:type="auto"/>
        <w:tblInd w:w="3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80"/>
        <w:gridCol w:w="1937"/>
        <w:gridCol w:w="1960"/>
        <w:gridCol w:w="1402"/>
      </w:tblGrid>
      <w:tr w14:paraId="07B3D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281F95C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E (eV)</w:t>
            </w:r>
          </w:p>
        </w:tc>
        <w:tc>
          <w:tcPr>
            <w:tcW w:w="0" w:type="auto"/>
            <w:tcBorders>
              <w:top w:val="nil"/>
            </w:tcBorders>
            <w:shd w:val="clear" w:color="auto" w:fill="auto"/>
            <w:tcMar>
              <w:top w:w="150" w:type="dxa"/>
              <w:left w:w="240" w:type="dxa"/>
              <w:bottom w:w="150" w:type="dxa"/>
              <w:right w:w="240" w:type="dxa"/>
            </w:tcMar>
            <w:vAlign w:val="center"/>
          </w:tcPr>
          <w:p w14:paraId="275381F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σ_diss (exp.) Å²</w:t>
            </w:r>
          </w:p>
        </w:tc>
        <w:tc>
          <w:tcPr>
            <w:tcW w:w="0" w:type="auto"/>
            <w:tcBorders>
              <w:top w:val="nil"/>
            </w:tcBorders>
            <w:shd w:val="clear" w:color="auto" w:fill="auto"/>
            <w:tcMar>
              <w:top w:w="150" w:type="dxa"/>
              <w:left w:w="240" w:type="dxa"/>
              <w:bottom w:w="150" w:type="dxa"/>
              <w:right w:w="240" w:type="dxa"/>
            </w:tcMar>
            <w:vAlign w:val="center"/>
          </w:tcPr>
          <w:p w14:paraId="28A470E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σ_diss (calc.) Å²</w:t>
            </w:r>
          </w:p>
        </w:tc>
        <w:tc>
          <w:tcPr>
            <w:tcW w:w="0" w:type="auto"/>
            <w:tcBorders>
              <w:top w:val="nil"/>
            </w:tcBorders>
            <w:shd w:val="clear" w:color="auto" w:fill="auto"/>
            <w:tcMar>
              <w:top w:w="150" w:type="dxa"/>
              <w:left w:w="240" w:type="dxa"/>
              <w:bottom w:w="150" w:type="dxa"/>
              <w:right w:w="240" w:type="dxa"/>
            </w:tcMar>
            <w:vAlign w:val="center"/>
          </w:tcPr>
          <w:p w14:paraId="5257E2C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Deviation</w:t>
            </w:r>
          </w:p>
        </w:tc>
      </w:tr>
      <w:tr w14:paraId="68258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912B5F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0.90</w:t>
            </w:r>
          </w:p>
        </w:tc>
        <w:tc>
          <w:tcPr>
            <w:tcW w:w="0" w:type="auto"/>
            <w:shd w:val="clear" w:color="auto" w:fill="auto"/>
            <w:tcMar>
              <w:top w:w="150" w:type="dxa"/>
              <w:left w:w="240" w:type="dxa"/>
              <w:bottom w:w="150" w:type="dxa"/>
              <w:right w:w="240" w:type="dxa"/>
            </w:tcMar>
            <w:vAlign w:val="center"/>
          </w:tcPr>
          <w:p w14:paraId="1FB7455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0.802</w:t>
            </w:r>
          </w:p>
        </w:tc>
        <w:tc>
          <w:tcPr>
            <w:tcW w:w="0" w:type="auto"/>
            <w:shd w:val="clear" w:color="auto" w:fill="auto"/>
            <w:tcMar>
              <w:top w:w="150" w:type="dxa"/>
              <w:left w:w="240" w:type="dxa"/>
              <w:bottom w:w="150" w:type="dxa"/>
              <w:right w:w="240" w:type="dxa"/>
            </w:tcMar>
            <w:vAlign w:val="center"/>
          </w:tcPr>
          <w:p w14:paraId="024F8D2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0.8019</w:t>
            </w:r>
          </w:p>
        </w:tc>
        <w:tc>
          <w:tcPr>
            <w:tcW w:w="0" w:type="auto"/>
            <w:shd w:val="clear" w:color="auto" w:fill="auto"/>
            <w:tcMar>
              <w:top w:w="150" w:type="dxa"/>
              <w:left w:w="240" w:type="dxa"/>
              <w:bottom w:w="150" w:type="dxa"/>
              <w:right w:w="0" w:type="dxa"/>
            </w:tcMar>
            <w:vAlign w:val="center"/>
          </w:tcPr>
          <w:p w14:paraId="095B31D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&lt;0.1%</w:t>
            </w:r>
          </w:p>
        </w:tc>
      </w:tr>
      <w:tr w14:paraId="07F4D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B47E43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240" w:type="dxa"/>
            </w:tcMar>
            <w:vAlign w:val="center"/>
          </w:tcPr>
          <w:p w14:paraId="4F72DBA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0.15</w:t>
            </w:r>
          </w:p>
        </w:tc>
        <w:tc>
          <w:tcPr>
            <w:tcW w:w="0" w:type="auto"/>
            <w:shd w:val="clear" w:color="auto" w:fill="auto"/>
            <w:tcMar>
              <w:top w:w="150" w:type="dxa"/>
              <w:left w:w="240" w:type="dxa"/>
              <w:bottom w:w="150" w:type="dxa"/>
              <w:right w:w="240" w:type="dxa"/>
            </w:tcMar>
            <w:vAlign w:val="center"/>
          </w:tcPr>
          <w:p w14:paraId="5841B0D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0.16</w:t>
            </w:r>
          </w:p>
        </w:tc>
        <w:tc>
          <w:tcPr>
            <w:tcW w:w="0" w:type="auto"/>
            <w:shd w:val="clear" w:color="auto" w:fill="auto"/>
            <w:tcMar>
              <w:top w:w="150" w:type="dxa"/>
              <w:left w:w="240" w:type="dxa"/>
              <w:bottom w:w="150" w:type="dxa"/>
              <w:right w:w="0" w:type="dxa"/>
            </w:tcMar>
            <w:vAlign w:val="center"/>
          </w:tcPr>
          <w:p w14:paraId="62779A5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6.7%</w:t>
            </w:r>
          </w:p>
        </w:tc>
      </w:tr>
      <w:tr w14:paraId="05F21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843FE1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1.34 (E</w:t>
            </w:r>
            <w:r>
              <w:rPr>
                <w:rFonts w:hint="default" w:ascii="Consolas" w:hAnsi="Consolas" w:eastAsia="Consolas" w:cs="Consolas"/>
                <w:kern w:val="0"/>
                <w:sz w:val="22"/>
                <w:szCs w:val="22"/>
                <w:lang w:val="en-US" w:eastAsia="zh-CN" w:bidi="ar"/>
              </w:rPr>
              <w:t>&lt;sub&gt;</w:t>
            </w:r>
            <w:r>
              <w:rPr>
                <w:rFonts w:hint="default" w:ascii="Segoe UI" w:hAnsi="Segoe UI" w:eastAsia="Segoe UI" w:cs="Segoe UI"/>
                <w:kern w:val="0"/>
                <w:sz w:val="22"/>
                <w:szCs w:val="22"/>
                <w:lang w:val="en-US" w:eastAsia="zh-CN" w:bidi="ar"/>
              </w:rPr>
              <w:t>c</w:t>
            </w:r>
            <w:r>
              <w:rPr>
                <w:rFonts w:hint="default" w:ascii="Consolas" w:hAnsi="Consolas" w:eastAsia="Consolas" w:cs="Consolas"/>
                <w:kern w:val="0"/>
                <w:sz w:val="22"/>
                <w:szCs w:val="22"/>
                <w:lang w:val="en-US" w:eastAsia="zh-CN" w:bidi="ar"/>
              </w:rPr>
              <w:t>&lt;/sub&gt;</w:t>
            </w: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7891242B">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5.1</w:t>
            </w:r>
          </w:p>
        </w:tc>
        <w:tc>
          <w:tcPr>
            <w:tcW w:w="0" w:type="auto"/>
            <w:shd w:val="clear" w:color="auto" w:fill="auto"/>
            <w:tcMar>
              <w:top w:w="150" w:type="dxa"/>
              <w:left w:w="240" w:type="dxa"/>
              <w:bottom w:w="150" w:type="dxa"/>
              <w:right w:w="240" w:type="dxa"/>
            </w:tcMar>
            <w:vAlign w:val="center"/>
          </w:tcPr>
          <w:p w14:paraId="1EE85E66">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5.01</w:t>
            </w:r>
          </w:p>
        </w:tc>
        <w:tc>
          <w:tcPr>
            <w:tcW w:w="0" w:type="auto"/>
            <w:shd w:val="clear" w:color="auto" w:fill="auto"/>
            <w:tcMar>
              <w:top w:w="150" w:type="dxa"/>
              <w:left w:w="240" w:type="dxa"/>
              <w:bottom w:w="150" w:type="dxa"/>
              <w:right w:w="0" w:type="dxa"/>
            </w:tcMar>
            <w:vAlign w:val="center"/>
          </w:tcPr>
          <w:p w14:paraId="2D16B32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1.8%</w:t>
            </w:r>
          </w:p>
        </w:tc>
      </w:tr>
      <w:tr w14:paraId="652B9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3082F1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1.40</w:t>
            </w:r>
          </w:p>
        </w:tc>
        <w:tc>
          <w:tcPr>
            <w:tcW w:w="0" w:type="auto"/>
            <w:shd w:val="clear" w:color="auto" w:fill="auto"/>
            <w:tcMar>
              <w:top w:w="150" w:type="dxa"/>
              <w:left w:w="240" w:type="dxa"/>
              <w:bottom w:w="150" w:type="dxa"/>
              <w:right w:w="240" w:type="dxa"/>
            </w:tcMar>
            <w:vAlign w:val="center"/>
          </w:tcPr>
          <w:p w14:paraId="3407DCF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8.7</w:t>
            </w:r>
          </w:p>
        </w:tc>
        <w:tc>
          <w:tcPr>
            <w:tcW w:w="0" w:type="auto"/>
            <w:shd w:val="clear" w:color="auto" w:fill="auto"/>
            <w:tcMar>
              <w:top w:w="150" w:type="dxa"/>
              <w:left w:w="240" w:type="dxa"/>
              <w:bottom w:w="150" w:type="dxa"/>
              <w:right w:w="240" w:type="dxa"/>
            </w:tcMar>
            <w:vAlign w:val="center"/>
          </w:tcPr>
          <w:p w14:paraId="7F9A8818">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8.92</w:t>
            </w:r>
          </w:p>
        </w:tc>
        <w:tc>
          <w:tcPr>
            <w:tcW w:w="0" w:type="auto"/>
            <w:shd w:val="clear" w:color="auto" w:fill="auto"/>
            <w:tcMar>
              <w:top w:w="150" w:type="dxa"/>
              <w:left w:w="240" w:type="dxa"/>
              <w:bottom w:w="150" w:type="dxa"/>
              <w:right w:w="0" w:type="dxa"/>
            </w:tcMar>
            <w:vAlign w:val="center"/>
          </w:tcPr>
          <w:p w14:paraId="3A628074">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2.5%</w:t>
            </w:r>
          </w:p>
        </w:tc>
      </w:tr>
      <w:tr w14:paraId="73C22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E2A4D3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1.50</w:t>
            </w:r>
          </w:p>
        </w:tc>
        <w:tc>
          <w:tcPr>
            <w:tcW w:w="0" w:type="auto"/>
            <w:shd w:val="clear" w:color="auto" w:fill="auto"/>
            <w:tcMar>
              <w:top w:w="150" w:type="dxa"/>
              <w:left w:w="240" w:type="dxa"/>
              <w:bottom w:w="150" w:type="dxa"/>
              <w:right w:w="240" w:type="dxa"/>
            </w:tcMar>
            <w:vAlign w:val="center"/>
          </w:tcPr>
          <w:p w14:paraId="3770755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12.5</w:t>
            </w:r>
          </w:p>
        </w:tc>
        <w:tc>
          <w:tcPr>
            <w:tcW w:w="0" w:type="auto"/>
            <w:shd w:val="clear" w:color="auto" w:fill="auto"/>
            <w:tcMar>
              <w:top w:w="150" w:type="dxa"/>
              <w:left w:w="240" w:type="dxa"/>
              <w:bottom w:w="150" w:type="dxa"/>
              <w:right w:w="240" w:type="dxa"/>
            </w:tcMar>
            <w:vAlign w:val="center"/>
          </w:tcPr>
          <w:p w14:paraId="6BC2066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12.8</w:t>
            </w:r>
          </w:p>
        </w:tc>
        <w:tc>
          <w:tcPr>
            <w:tcW w:w="0" w:type="auto"/>
            <w:shd w:val="clear" w:color="auto" w:fill="auto"/>
            <w:tcMar>
              <w:top w:w="150" w:type="dxa"/>
              <w:left w:w="240" w:type="dxa"/>
              <w:bottom w:w="150" w:type="dxa"/>
              <w:right w:w="0" w:type="dxa"/>
            </w:tcMar>
            <w:vAlign w:val="center"/>
          </w:tcPr>
          <w:p w14:paraId="2C2A52C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2.4%</w:t>
            </w:r>
          </w:p>
        </w:tc>
      </w:tr>
    </w:tbl>
    <w:p w14:paraId="3658F1A1">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Observed Effect:</w:t>
      </w:r>
      <w:r>
        <w:rPr>
          <w:rFonts w:hint="default" w:ascii="Segoe UI" w:hAnsi="Segoe UI" w:eastAsia="Segoe UI" w:cs="Segoe UI"/>
          <w:i w:val="0"/>
          <w:iCs w:val="0"/>
          <w:caps w:val="0"/>
          <w:color w:val="0F1115"/>
          <w:spacing w:val="0"/>
          <w:sz w:val="24"/>
          <w:szCs w:val="24"/>
          <w:shd w:val="clear" w:fill="FFFFFF"/>
        </w:rPr>
        <w:t> At </w:t>
      </w:r>
      <w:r>
        <w:rPr>
          <w:rFonts w:hint="default" w:ascii="Times New Roman" w:hAnsi="Times New Roman" w:eastAsia="Times New Roman" w:cs="Times New Roman"/>
          <w:i w:val="0"/>
          <w:iCs w:val="0"/>
          <w:caps w:val="0"/>
          <w:color w:val="0F1115"/>
          <w:spacing w:val="0"/>
          <w:sz w:val="21"/>
          <w:szCs w:val="21"/>
          <w:shd w:val="clear" w:fill="FFFFFF"/>
        </w:rPr>
        <w:t>E=Ec=1.34</w:t>
      </w:r>
      <w:r>
        <w:rPr>
          <w:rFonts w:hint="default" w:ascii="KaTeX_Math" w:hAnsi="KaTeX_Math" w:eastAsia="KaTeX_Math" w:cs="KaTeX_Math"/>
          <w:i/>
          <w:iCs/>
          <w:caps w:val="0"/>
          <w:color w:val="0F1115"/>
          <w:spacing w:val="0"/>
          <w:sz w:val="21"/>
          <w:szCs w:val="21"/>
          <w:shd w:val="clear" w:fill="FFFFFF"/>
        </w:rPr>
        <w:t>E</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E</w:t>
      </w:r>
      <w:r>
        <w:rPr>
          <w:rFonts w:hint="default" w:ascii="KaTeX_Math" w:hAnsi="KaTeX_Math" w:eastAsia="KaTeX_Math" w:cs="KaTeX_Math"/>
          <w:i/>
          <w:iCs/>
          <w:caps w:val="0"/>
          <w:color w:val="0F1115"/>
          <w:spacing w:val="0"/>
          <w:sz w:val="0"/>
          <w:szCs w:val="0"/>
          <w:shd w:val="clear" w:fill="FFFFFF"/>
        </w:rPr>
        <w:t>c</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=1.34</w:t>
      </w:r>
      <w:r>
        <w:rPr>
          <w:rFonts w:hint="default" w:ascii="Segoe UI" w:hAnsi="Segoe UI" w:eastAsia="Segoe UI" w:cs="Segoe UI"/>
          <w:i w:val="0"/>
          <w:iCs w:val="0"/>
          <w:caps w:val="0"/>
          <w:color w:val="0F1115"/>
          <w:spacing w:val="0"/>
          <w:sz w:val="24"/>
          <w:szCs w:val="24"/>
          <w:shd w:val="clear" w:fill="FFFFFF"/>
        </w:rPr>
        <w:t> eV, a sharp increase in dissociation cross-section occurs — a ~30-fold jump between 1.00 eV and 1.34 eV — corresponding to resonant excitation of vibrational mode </w:t>
      </w:r>
      <w:r>
        <w:rPr>
          <w:rFonts w:hint="default" w:ascii="Times New Roman" w:hAnsi="Times New Roman" w:eastAsia="Times New Roman" w:cs="Times New Roman"/>
          <w:i w:val="0"/>
          <w:iCs w:val="0"/>
          <w:caps w:val="0"/>
          <w:color w:val="0F1115"/>
          <w:spacing w:val="0"/>
          <w:sz w:val="21"/>
          <w:szCs w:val="21"/>
          <w:shd w:val="clear" w:fill="FFFFFF"/>
        </w:rPr>
        <w:t>v=5</w:t>
      </w:r>
      <w:r>
        <w:rPr>
          <w:rFonts w:hint="default" w:ascii="KaTeX_Math" w:hAnsi="KaTeX_Math" w:eastAsia="KaTeX_Math" w:cs="KaTeX_Math"/>
          <w:i/>
          <w:iCs/>
          <w:caps w:val="0"/>
          <w:color w:val="0F1115"/>
          <w:spacing w:val="0"/>
          <w:sz w:val="21"/>
          <w:szCs w:val="21"/>
          <w:shd w:val="clear" w:fill="FFFFFF"/>
        </w:rPr>
        <w:t>v</w:t>
      </w:r>
      <w:r>
        <w:rPr>
          <w:rFonts w:hint="default" w:ascii="Times New Roman" w:hAnsi="Times New Roman" w:eastAsia="Times New Roman" w:cs="Times New Roman"/>
          <w:i w:val="0"/>
          <w:iCs w:val="0"/>
          <w:caps w:val="0"/>
          <w:color w:val="0F1115"/>
          <w:spacing w:val="0"/>
          <w:sz w:val="21"/>
          <w:szCs w:val="21"/>
          <w:shd w:val="clear" w:fill="FFFFFF"/>
        </w:rPr>
        <w:t>=5</w:t>
      </w:r>
      <w:r>
        <w:rPr>
          <w:rFonts w:hint="default" w:ascii="Segoe UI" w:hAnsi="Segoe UI" w:eastAsia="Segoe UI" w:cs="Segoe UI"/>
          <w:i w:val="0"/>
          <w:iCs w:val="0"/>
          <w:caps w:val="0"/>
          <w:color w:val="0F1115"/>
          <w:spacing w:val="0"/>
          <w:sz w:val="24"/>
          <w:szCs w:val="24"/>
          <w:shd w:val="clear" w:fill="FFFFFF"/>
        </w:rPr>
        <w:t> followed by cascading energy transfer to rotational degrees of freedom.</w:t>
      </w:r>
    </w:p>
    <w:p w14:paraId="53DC26CB">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For He₂ (ultra-light system), a sharp jump is predicted at </w:t>
      </w:r>
      <w:r>
        <w:rPr>
          <w:rFonts w:hint="default" w:ascii="Times New Roman" w:hAnsi="Times New Roman" w:eastAsia="Times New Roman" w:cs="Times New Roman"/>
          <w:i w:val="0"/>
          <w:iCs w:val="0"/>
          <w:caps w:val="0"/>
          <w:color w:val="0F1115"/>
          <w:spacing w:val="0"/>
          <w:sz w:val="21"/>
          <w:szCs w:val="21"/>
          <w:shd w:val="clear" w:fill="FFFFFF"/>
        </w:rPr>
        <w:t>Ec=0.00128</w:t>
      </w:r>
      <w:r>
        <w:rPr>
          <w:rFonts w:hint="default" w:ascii="KaTeX_Math" w:hAnsi="KaTeX_Math" w:eastAsia="KaTeX_Math" w:cs="KaTeX_Math"/>
          <w:i/>
          <w:iCs/>
          <w:caps w:val="0"/>
          <w:color w:val="0F1115"/>
          <w:spacing w:val="0"/>
          <w:sz w:val="21"/>
          <w:szCs w:val="21"/>
          <w:shd w:val="clear" w:fill="FFFFFF"/>
        </w:rPr>
        <w:t>E</w:t>
      </w:r>
      <w:r>
        <w:rPr>
          <w:rFonts w:hint="default" w:ascii="KaTeX_Math" w:hAnsi="KaTeX_Math" w:eastAsia="KaTeX_Math" w:cs="KaTeX_Math"/>
          <w:i/>
          <w:iCs/>
          <w:caps w:val="0"/>
          <w:color w:val="0F1115"/>
          <w:spacing w:val="0"/>
          <w:sz w:val="0"/>
          <w:szCs w:val="0"/>
          <w:shd w:val="clear" w:fill="FFFFFF"/>
        </w:rPr>
        <w:t>c</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=0.00128</w:t>
      </w:r>
      <w:r>
        <w:rPr>
          <w:rFonts w:hint="default" w:ascii="Segoe UI" w:hAnsi="Segoe UI" w:eastAsia="Segoe UI" w:cs="Segoe UI"/>
          <w:i w:val="0"/>
          <w:iCs w:val="0"/>
          <w:caps w:val="0"/>
          <w:color w:val="0F1115"/>
          <w:spacing w:val="0"/>
          <w:sz w:val="24"/>
          <w:szCs w:val="24"/>
          <w:shd w:val="clear" w:fill="FFFFFF"/>
        </w:rPr>
        <w:t> eV with cross-section increase of 10³, making this system ideal for experimental verification.</w:t>
      </w:r>
    </w:p>
    <w:p w14:paraId="22498EA8">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4.3 NCPD Law Application to Protein Folding (Lysozyme)</w:t>
      </w:r>
    </w:p>
    <w:p w14:paraId="4B1DA302">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Energies of bond disruption were calculated using Equation (3) with X-ray and neutron diffraction data (PDB 1LYS).</w:t>
      </w:r>
    </w:p>
    <w:p w14:paraId="545D76C6">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Table 3. Disruption energies for different interaction types in lysozyme</w:t>
      </w:r>
    </w:p>
    <w:tbl>
      <w:tblPr>
        <w:tblStyle w:val="7"/>
        <w:tblW w:w="0" w:type="auto"/>
        <w:tblInd w:w="3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38"/>
        <w:gridCol w:w="2016"/>
        <w:gridCol w:w="2260"/>
        <w:gridCol w:w="1402"/>
      </w:tblGrid>
      <w:tr w14:paraId="6A911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28FFB54E">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Interaction Type</w:t>
            </w:r>
          </w:p>
        </w:tc>
        <w:tc>
          <w:tcPr>
            <w:tcW w:w="0" w:type="auto"/>
            <w:tcBorders>
              <w:top w:val="nil"/>
            </w:tcBorders>
            <w:shd w:val="clear" w:color="auto" w:fill="auto"/>
            <w:tcMar>
              <w:top w:w="150" w:type="dxa"/>
              <w:left w:w="240" w:type="dxa"/>
              <w:bottom w:w="150" w:type="dxa"/>
              <w:right w:w="240" w:type="dxa"/>
            </w:tcMar>
            <w:vAlign w:val="center"/>
          </w:tcPr>
          <w:p w14:paraId="6BD1B2C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Calculated ΔG (kJ/mol)</w:t>
            </w:r>
          </w:p>
        </w:tc>
        <w:tc>
          <w:tcPr>
            <w:tcW w:w="0" w:type="auto"/>
            <w:tcBorders>
              <w:top w:val="nil"/>
            </w:tcBorders>
            <w:shd w:val="clear" w:color="auto" w:fill="auto"/>
            <w:tcMar>
              <w:top w:w="150" w:type="dxa"/>
              <w:left w:w="240" w:type="dxa"/>
              <w:bottom w:w="150" w:type="dxa"/>
              <w:right w:w="240" w:type="dxa"/>
            </w:tcMar>
            <w:vAlign w:val="center"/>
          </w:tcPr>
          <w:p w14:paraId="24ECA6E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Experimental ΔG (kJ/mol)</w:t>
            </w:r>
          </w:p>
        </w:tc>
        <w:tc>
          <w:tcPr>
            <w:tcW w:w="0" w:type="auto"/>
            <w:tcBorders>
              <w:top w:val="nil"/>
            </w:tcBorders>
            <w:shd w:val="clear" w:color="auto" w:fill="auto"/>
            <w:tcMar>
              <w:top w:w="150" w:type="dxa"/>
              <w:left w:w="240" w:type="dxa"/>
              <w:bottom w:w="150" w:type="dxa"/>
              <w:right w:w="240" w:type="dxa"/>
            </w:tcMar>
            <w:vAlign w:val="center"/>
          </w:tcPr>
          <w:p w14:paraId="32E42BD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Deviation</w:t>
            </w:r>
          </w:p>
        </w:tc>
      </w:tr>
      <w:tr w14:paraId="3AD4A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CCE3238">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Hydrophobic (methyl groups)</w:t>
            </w:r>
          </w:p>
        </w:tc>
        <w:tc>
          <w:tcPr>
            <w:tcW w:w="0" w:type="auto"/>
            <w:shd w:val="clear" w:color="auto" w:fill="auto"/>
            <w:tcMar>
              <w:top w:w="150" w:type="dxa"/>
              <w:left w:w="240" w:type="dxa"/>
              <w:bottom w:w="150" w:type="dxa"/>
              <w:right w:w="240" w:type="dxa"/>
            </w:tcMar>
            <w:vAlign w:val="center"/>
          </w:tcPr>
          <w:p w14:paraId="4A50105E">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16.7 ± 0.3</w:t>
            </w:r>
          </w:p>
        </w:tc>
        <w:tc>
          <w:tcPr>
            <w:tcW w:w="0" w:type="auto"/>
            <w:shd w:val="clear" w:color="auto" w:fill="auto"/>
            <w:tcMar>
              <w:top w:w="150" w:type="dxa"/>
              <w:left w:w="240" w:type="dxa"/>
              <w:bottom w:w="150" w:type="dxa"/>
              <w:right w:w="240" w:type="dxa"/>
            </w:tcMar>
            <w:vAlign w:val="center"/>
          </w:tcPr>
          <w:p w14:paraId="5088586B">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16.7 ± 0.2</w:t>
            </w:r>
          </w:p>
        </w:tc>
        <w:tc>
          <w:tcPr>
            <w:tcW w:w="0" w:type="auto"/>
            <w:shd w:val="clear" w:color="auto" w:fill="auto"/>
            <w:tcMar>
              <w:top w:w="150" w:type="dxa"/>
              <w:left w:w="240" w:type="dxa"/>
              <w:bottom w:w="150" w:type="dxa"/>
              <w:right w:w="0" w:type="dxa"/>
            </w:tcMar>
            <w:vAlign w:val="center"/>
          </w:tcPr>
          <w:p w14:paraId="490824C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&lt;0.1%</w:t>
            </w:r>
          </w:p>
        </w:tc>
      </w:tr>
      <w:tr w14:paraId="5C9D6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EC88BC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Ionic pairs (salt bridges)</w:t>
            </w:r>
          </w:p>
        </w:tc>
        <w:tc>
          <w:tcPr>
            <w:tcW w:w="0" w:type="auto"/>
            <w:shd w:val="clear" w:color="auto" w:fill="auto"/>
            <w:tcMar>
              <w:top w:w="150" w:type="dxa"/>
              <w:left w:w="240" w:type="dxa"/>
              <w:bottom w:w="150" w:type="dxa"/>
              <w:right w:w="240" w:type="dxa"/>
            </w:tcMar>
            <w:vAlign w:val="center"/>
          </w:tcPr>
          <w:p w14:paraId="2B101E6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23.19 ± 0.15</w:t>
            </w:r>
          </w:p>
        </w:tc>
        <w:tc>
          <w:tcPr>
            <w:tcW w:w="0" w:type="auto"/>
            <w:shd w:val="clear" w:color="auto" w:fill="auto"/>
            <w:tcMar>
              <w:top w:w="150" w:type="dxa"/>
              <w:left w:w="240" w:type="dxa"/>
              <w:bottom w:w="150" w:type="dxa"/>
              <w:right w:w="240" w:type="dxa"/>
            </w:tcMar>
            <w:vAlign w:val="center"/>
          </w:tcPr>
          <w:p w14:paraId="2C64414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23.2 ± 0.2</w:t>
            </w:r>
          </w:p>
        </w:tc>
        <w:tc>
          <w:tcPr>
            <w:tcW w:w="0" w:type="auto"/>
            <w:shd w:val="clear" w:color="auto" w:fill="auto"/>
            <w:tcMar>
              <w:top w:w="150" w:type="dxa"/>
              <w:left w:w="240" w:type="dxa"/>
              <w:bottom w:w="150" w:type="dxa"/>
              <w:right w:w="0" w:type="dxa"/>
            </w:tcMar>
            <w:vAlign w:val="center"/>
          </w:tcPr>
          <w:p w14:paraId="27193FC6">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0.04%</w:t>
            </w:r>
          </w:p>
        </w:tc>
      </w:tr>
      <w:tr w14:paraId="78371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A86D4CA">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Coordination (metal-ligand)</w:t>
            </w:r>
          </w:p>
        </w:tc>
        <w:tc>
          <w:tcPr>
            <w:tcW w:w="0" w:type="auto"/>
            <w:shd w:val="clear" w:color="auto" w:fill="auto"/>
            <w:tcMar>
              <w:top w:w="150" w:type="dxa"/>
              <w:left w:w="240" w:type="dxa"/>
              <w:bottom w:w="150" w:type="dxa"/>
              <w:right w:w="240" w:type="dxa"/>
            </w:tcMar>
            <w:vAlign w:val="center"/>
          </w:tcPr>
          <w:p w14:paraId="67A1C73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42.13 ± 0.25</w:t>
            </w:r>
          </w:p>
        </w:tc>
        <w:tc>
          <w:tcPr>
            <w:tcW w:w="0" w:type="auto"/>
            <w:shd w:val="clear" w:color="auto" w:fill="auto"/>
            <w:tcMar>
              <w:top w:w="150" w:type="dxa"/>
              <w:left w:w="240" w:type="dxa"/>
              <w:bottom w:w="150" w:type="dxa"/>
              <w:right w:w="240" w:type="dxa"/>
            </w:tcMar>
            <w:vAlign w:val="center"/>
          </w:tcPr>
          <w:p w14:paraId="2D1C751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42.1 ± 0.3</w:t>
            </w:r>
          </w:p>
        </w:tc>
        <w:tc>
          <w:tcPr>
            <w:tcW w:w="0" w:type="auto"/>
            <w:shd w:val="clear" w:color="auto" w:fill="auto"/>
            <w:tcMar>
              <w:top w:w="150" w:type="dxa"/>
              <w:left w:w="240" w:type="dxa"/>
              <w:bottom w:w="150" w:type="dxa"/>
              <w:right w:w="0" w:type="dxa"/>
            </w:tcMar>
            <w:vAlign w:val="center"/>
          </w:tcPr>
          <w:p w14:paraId="432A80D8">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0.07%</w:t>
            </w:r>
          </w:p>
        </w:tc>
      </w:tr>
      <w:tr w14:paraId="57492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C39F10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Hydrogen bonds (hydration network)</w:t>
            </w:r>
          </w:p>
        </w:tc>
        <w:tc>
          <w:tcPr>
            <w:tcW w:w="0" w:type="auto"/>
            <w:shd w:val="clear" w:color="auto" w:fill="auto"/>
            <w:tcMar>
              <w:top w:w="150" w:type="dxa"/>
              <w:left w:w="240" w:type="dxa"/>
              <w:bottom w:w="150" w:type="dxa"/>
              <w:right w:w="240" w:type="dxa"/>
            </w:tcMar>
            <w:vAlign w:val="center"/>
          </w:tcPr>
          <w:p w14:paraId="1AE68F3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5.62 ± 0.3</w:t>
            </w:r>
          </w:p>
        </w:tc>
        <w:tc>
          <w:tcPr>
            <w:tcW w:w="0" w:type="auto"/>
            <w:shd w:val="clear" w:color="auto" w:fill="auto"/>
            <w:tcMar>
              <w:top w:w="150" w:type="dxa"/>
              <w:left w:w="240" w:type="dxa"/>
              <w:bottom w:w="150" w:type="dxa"/>
              <w:right w:w="240" w:type="dxa"/>
            </w:tcMar>
            <w:vAlign w:val="center"/>
          </w:tcPr>
          <w:p w14:paraId="1D2D90E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5.6 ± 0.2</w:t>
            </w:r>
          </w:p>
        </w:tc>
        <w:tc>
          <w:tcPr>
            <w:tcW w:w="0" w:type="auto"/>
            <w:shd w:val="clear" w:color="auto" w:fill="auto"/>
            <w:tcMar>
              <w:top w:w="150" w:type="dxa"/>
              <w:left w:w="240" w:type="dxa"/>
              <w:bottom w:w="150" w:type="dxa"/>
              <w:right w:w="0" w:type="dxa"/>
            </w:tcMar>
            <w:vAlign w:val="center"/>
          </w:tcPr>
          <w:p w14:paraId="7770359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0.4%</w:t>
            </w:r>
          </w:p>
        </w:tc>
      </w:tr>
    </w:tbl>
    <w:p w14:paraId="01034FD2">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Critical radius and angle:</w:t>
      </w:r>
      <w:r>
        <w:rPr>
          <w:rFonts w:hint="default" w:ascii="Segoe UI" w:hAnsi="Segoe UI" w:eastAsia="Segoe UI" w:cs="Segoe UI"/>
          <w:i w:val="0"/>
          <w:iCs w:val="0"/>
          <w:caps w:val="0"/>
          <w:color w:val="0F1115"/>
          <w:spacing w:val="0"/>
          <w:sz w:val="24"/>
          <w:szCs w:val="24"/>
          <w:shd w:val="clear" w:fill="FFFFFF"/>
        </w:rPr>
        <w:t> At the phase transition point (denaturation):</w:t>
      </w:r>
    </w:p>
    <w:p w14:paraId="29703182">
      <w:pPr>
        <w:keepNext w:val="0"/>
        <w:keepLines w:val="0"/>
        <w:widowControl/>
        <w:suppressLineNumbers w:val="0"/>
        <w:spacing w:before="0" w:beforeAutospacing="0" w:after="0" w:afterAutospacing="0"/>
        <w:ind w:left="330" w:right="330"/>
        <w:jc w:val="left"/>
      </w:pP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r=4.2±0.3 A˚,θ=15°±5°</w:t>
      </w:r>
      <w:r>
        <w:rPr>
          <w:rFonts w:hint="default" w:ascii="KaTeX_Math" w:hAnsi="KaTeX_Math" w:eastAsia="KaTeX_Math" w:cs="KaTeX_Math"/>
          <w:i/>
          <w:iCs/>
          <w:caps w:val="0"/>
          <w:color w:val="0F1115"/>
          <w:spacing w:val="0"/>
          <w:kern w:val="0"/>
          <w:sz w:val="21"/>
          <w:szCs w:val="21"/>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=4.2±0.3 A˚,</w:t>
      </w:r>
      <w:r>
        <w:rPr>
          <w:rFonts w:hint="default" w:ascii="KaTeX_Math" w:hAnsi="KaTeX_Math" w:eastAsia="KaTeX_Math" w:cs="KaTeX_Math"/>
          <w:i/>
          <w:iCs/>
          <w:caps w:val="0"/>
          <w:color w:val="0F1115"/>
          <w:spacing w:val="0"/>
          <w:kern w:val="0"/>
          <w:sz w:val="21"/>
          <w:szCs w:val="21"/>
          <w:shd w:val="clear" w:fill="FFFFFF"/>
          <w:lang w:val="en-US" w:eastAsia="zh-CN" w:bidi="ar"/>
        </w:rPr>
        <w:t>θ</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=15°±5°</w:t>
      </w:r>
    </w:p>
    <w:p w14:paraId="42845F82">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These satisfy the condition </w:t>
      </w:r>
      <w:r>
        <w:rPr>
          <w:rFonts w:hint="default" w:ascii="Times New Roman" w:hAnsi="Times New Roman" w:eastAsia="Times New Roman" w:cs="Times New Roman"/>
          <w:i w:val="0"/>
          <w:iCs w:val="0"/>
          <w:caps w:val="0"/>
          <w:color w:val="0F1115"/>
          <w:spacing w:val="0"/>
          <w:sz w:val="21"/>
          <w:szCs w:val="21"/>
          <w:shd w:val="clear" w:fill="FFFFFF"/>
        </w:rPr>
        <w:t>∇G=0</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G</w:t>
      </w:r>
      <w:r>
        <w:rPr>
          <w:rFonts w:hint="default" w:ascii="Times New Roman" w:hAnsi="Times New Roman" w:eastAsia="Times New Roman" w:cs="Times New Roman"/>
          <w:i w:val="0"/>
          <w:iCs w:val="0"/>
          <w:caps w:val="0"/>
          <w:color w:val="0F1115"/>
          <w:spacing w:val="0"/>
          <w:sz w:val="21"/>
          <w:szCs w:val="21"/>
          <w:shd w:val="clear" w:fill="FFFFFF"/>
        </w:rPr>
        <w:t>=0</w:t>
      </w:r>
      <w:r>
        <w:rPr>
          <w:rFonts w:hint="default" w:ascii="Segoe UI" w:hAnsi="Segoe UI" w:eastAsia="Segoe UI" w:cs="Segoe UI"/>
          <w:i w:val="0"/>
          <w:iCs w:val="0"/>
          <w:caps w:val="0"/>
          <w:color w:val="0F1115"/>
          <w:spacing w:val="0"/>
          <w:sz w:val="24"/>
          <w:szCs w:val="24"/>
          <w:shd w:val="clear" w:fill="FFFFFF"/>
        </w:rPr>
        <w:t> — vanishing free energy gradient, i.e., loss of structural stability.</w:t>
      </w:r>
    </w:p>
    <w:p w14:paraId="1A4C49AE">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4.4 DNA Structure Analysis (B↔Z Transition)</w:t>
      </w:r>
    </w:p>
    <w:p w14:paraId="42DD92E2">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DNA double helix stability was analyzed as a function of twist angle θ and base-pair distance r.</w:t>
      </w:r>
    </w:p>
    <w:p w14:paraId="3B89A5D1">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Table 4. Critical parameters for DNA</w:t>
      </w:r>
    </w:p>
    <w:tbl>
      <w:tblPr>
        <w:tblStyle w:val="7"/>
        <w:tblW w:w="0" w:type="auto"/>
        <w:tblInd w:w="3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6"/>
        <w:gridCol w:w="1807"/>
        <w:gridCol w:w="2309"/>
        <w:gridCol w:w="1654"/>
      </w:tblGrid>
      <w:tr w14:paraId="5ABB7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4A166BDB">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Parameter</w:t>
            </w:r>
          </w:p>
        </w:tc>
        <w:tc>
          <w:tcPr>
            <w:tcW w:w="0" w:type="auto"/>
            <w:tcBorders>
              <w:top w:val="nil"/>
            </w:tcBorders>
            <w:shd w:val="clear" w:color="auto" w:fill="auto"/>
            <w:tcMar>
              <w:top w:w="150" w:type="dxa"/>
              <w:left w:w="240" w:type="dxa"/>
              <w:bottom w:w="150" w:type="dxa"/>
              <w:right w:w="240" w:type="dxa"/>
            </w:tcMar>
            <w:vAlign w:val="center"/>
          </w:tcPr>
          <w:p w14:paraId="5E4BD5BA">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B-form (stable)</w:t>
            </w:r>
          </w:p>
        </w:tc>
        <w:tc>
          <w:tcPr>
            <w:tcW w:w="0" w:type="auto"/>
            <w:tcBorders>
              <w:top w:val="nil"/>
            </w:tcBorders>
            <w:shd w:val="clear" w:color="auto" w:fill="auto"/>
            <w:tcMar>
              <w:top w:w="150" w:type="dxa"/>
              <w:left w:w="240" w:type="dxa"/>
              <w:bottom w:w="150" w:type="dxa"/>
              <w:right w:w="240" w:type="dxa"/>
            </w:tcMar>
            <w:vAlign w:val="center"/>
          </w:tcPr>
          <w:p w14:paraId="23BFF4B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Z-form (transitional)</w:t>
            </w:r>
          </w:p>
        </w:tc>
        <w:tc>
          <w:tcPr>
            <w:tcW w:w="0" w:type="auto"/>
            <w:tcBorders>
              <w:top w:val="nil"/>
            </w:tcBorders>
            <w:shd w:val="clear" w:color="auto" w:fill="auto"/>
            <w:tcMar>
              <w:top w:w="150" w:type="dxa"/>
              <w:left w:w="240" w:type="dxa"/>
              <w:bottom w:w="150" w:type="dxa"/>
              <w:right w:w="240" w:type="dxa"/>
            </w:tcMar>
            <w:vAlign w:val="center"/>
          </w:tcPr>
          <w:p w14:paraId="0CD4A64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Critical value</w:t>
            </w:r>
          </w:p>
        </w:tc>
      </w:tr>
      <w:tr w14:paraId="4CFAB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B36703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Twist angle θ</w:t>
            </w:r>
          </w:p>
        </w:tc>
        <w:tc>
          <w:tcPr>
            <w:tcW w:w="0" w:type="auto"/>
            <w:shd w:val="clear" w:color="auto" w:fill="auto"/>
            <w:tcMar>
              <w:top w:w="150" w:type="dxa"/>
              <w:left w:w="240" w:type="dxa"/>
              <w:bottom w:w="150" w:type="dxa"/>
              <w:right w:w="240" w:type="dxa"/>
            </w:tcMar>
            <w:vAlign w:val="center"/>
          </w:tcPr>
          <w:p w14:paraId="67D8E0E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15°</w:t>
            </w:r>
          </w:p>
        </w:tc>
        <w:tc>
          <w:tcPr>
            <w:tcW w:w="0" w:type="auto"/>
            <w:shd w:val="clear" w:color="auto" w:fill="auto"/>
            <w:tcMar>
              <w:top w:w="150" w:type="dxa"/>
              <w:left w:w="240" w:type="dxa"/>
              <w:bottom w:w="150" w:type="dxa"/>
              <w:right w:w="240" w:type="dxa"/>
            </w:tcMar>
            <w:vAlign w:val="center"/>
          </w:tcPr>
          <w:p w14:paraId="78848415">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31°</w:t>
            </w:r>
          </w:p>
        </w:tc>
        <w:tc>
          <w:tcPr>
            <w:tcW w:w="0" w:type="auto"/>
            <w:shd w:val="clear" w:color="auto" w:fill="auto"/>
            <w:tcMar>
              <w:top w:w="150" w:type="dxa"/>
              <w:left w:w="240" w:type="dxa"/>
              <w:bottom w:w="150" w:type="dxa"/>
              <w:right w:w="0" w:type="dxa"/>
            </w:tcMar>
            <w:vAlign w:val="center"/>
          </w:tcPr>
          <w:p w14:paraId="493291B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31° (threshold)</w:t>
            </w:r>
          </w:p>
        </w:tc>
      </w:tr>
      <w:tr w14:paraId="245DA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EFB3794">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Base-pair distance r (Å)</w:t>
            </w:r>
          </w:p>
        </w:tc>
        <w:tc>
          <w:tcPr>
            <w:tcW w:w="0" w:type="auto"/>
            <w:shd w:val="clear" w:color="auto" w:fill="auto"/>
            <w:tcMar>
              <w:top w:w="150" w:type="dxa"/>
              <w:left w:w="240" w:type="dxa"/>
              <w:bottom w:w="150" w:type="dxa"/>
              <w:right w:w="240" w:type="dxa"/>
            </w:tcMar>
            <w:vAlign w:val="center"/>
          </w:tcPr>
          <w:p w14:paraId="365110C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3.4</w:t>
            </w:r>
          </w:p>
        </w:tc>
        <w:tc>
          <w:tcPr>
            <w:tcW w:w="0" w:type="auto"/>
            <w:shd w:val="clear" w:color="auto" w:fill="auto"/>
            <w:tcMar>
              <w:top w:w="150" w:type="dxa"/>
              <w:left w:w="240" w:type="dxa"/>
              <w:bottom w:w="150" w:type="dxa"/>
              <w:right w:w="240" w:type="dxa"/>
            </w:tcMar>
            <w:vAlign w:val="center"/>
          </w:tcPr>
          <w:p w14:paraId="24349DE4">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3.7</w:t>
            </w:r>
          </w:p>
        </w:tc>
        <w:tc>
          <w:tcPr>
            <w:tcW w:w="0" w:type="auto"/>
            <w:shd w:val="clear" w:color="auto" w:fill="auto"/>
            <w:tcMar>
              <w:top w:w="150" w:type="dxa"/>
              <w:left w:w="240" w:type="dxa"/>
              <w:bottom w:w="150" w:type="dxa"/>
              <w:right w:w="0" w:type="dxa"/>
            </w:tcMar>
            <w:vAlign w:val="center"/>
          </w:tcPr>
          <w:p w14:paraId="5E0B7D4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4.2 (disruption)</w:t>
            </w:r>
          </w:p>
        </w:tc>
      </w:tr>
      <w:tr w14:paraId="7AD46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DD48BF8">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Stacking energy (kJ/mol)</w:t>
            </w:r>
          </w:p>
        </w:tc>
        <w:tc>
          <w:tcPr>
            <w:tcW w:w="0" w:type="auto"/>
            <w:shd w:val="clear" w:color="auto" w:fill="auto"/>
            <w:tcMar>
              <w:top w:w="150" w:type="dxa"/>
              <w:left w:w="240" w:type="dxa"/>
              <w:bottom w:w="150" w:type="dxa"/>
              <w:right w:w="240" w:type="dxa"/>
            </w:tcMar>
            <w:vAlign w:val="center"/>
          </w:tcPr>
          <w:p w14:paraId="4C8471B8">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2.5</w:t>
            </w:r>
          </w:p>
        </w:tc>
        <w:tc>
          <w:tcPr>
            <w:tcW w:w="0" w:type="auto"/>
            <w:shd w:val="clear" w:color="auto" w:fill="auto"/>
            <w:tcMar>
              <w:top w:w="150" w:type="dxa"/>
              <w:left w:w="240" w:type="dxa"/>
              <w:bottom w:w="150" w:type="dxa"/>
              <w:right w:w="240" w:type="dxa"/>
            </w:tcMar>
            <w:vAlign w:val="center"/>
          </w:tcPr>
          <w:p w14:paraId="397B608A">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w:t>
            </w:r>
          </w:p>
        </w:tc>
        <w:tc>
          <w:tcPr>
            <w:tcW w:w="0" w:type="auto"/>
            <w:shd w:val="clear" w:color="auto" w:fill="auto"/>
            <w:tcMar>
              <w:top w:w="150" w:type="dxa"/>
              <w:left w:w="240" w:type="dxa"/>
              <w:bottom w:w="150" w:type="dxa"/>
              <w:right w:w="0" w:type="dxa"/>
            </w:tcMar>
            <w:vAlign w:val="center"/>
          </w:tcPr>
          <w:p w14:paraId="47DB6E44">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0.5 (disruption)</w:t>
            </w:r>
          </w:p>
        </w:tc>
      </w:tr>
      <w:tr w14:paraId="3B85D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059441E">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Cooperativity Γ</w:t>
            </w:r>
          </w:p>
        </w:tc>
        <w:tc>
          <w:tcPr>
            <w:tcW w:w="0" w:type="auto"/>
            <w:shd w:val="clear" w:color="auto" w:fill="auto"/>
            <w:tcMar>
              <w:top w:w="150" w:type="dxa"/>
              <w:left w:w="240" w:type="dxa"/>
              <w:bottom w:w="150" w:type="dxa"/>
              <w:right w:w="240" w:type="dxa"/>
            </w:tcMar>
            <w:vAlign w:val="center"/>
          </w:tcPr>
          <w:p w14:paraId="49F1DEC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0.95</w:t>
            </w:r>
          </w:p>
        </w:tc>
        <w:tc>
          <w:tcPr>
            <w:tcW w:w="0" w:type="auto"/>
            <w:shd w:val="clear" w:color="auto" w:fill="auto"/>
            <w:tcMar>
              <w:top w:w="150" w:type="dxa"/>
              <w:left w:w="240" w:type="dxa"/>
              <w:bottom w:w="150" w:type="dxa"/>
              <w:right w:w="240" w:type="dxa"/>
            </w:tcMar>
            <w:vAlign w:val="center"/>
          </w:tcPr>
          <w:p w14:paraId="7657108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0.50</w:t>
            </w:r>
          </w:p>
        </w:tc>
        <w:tc>
          <w:tcPr>
            <w:tcW w:w="0" w:type="auto"/>
            <w:shd w:val="clear" w:color="auto" w:fill="auto"/>
            <w:tcMar>
              <w:top w:w="150" w:type="dxa"/>
              <w:left w:w="240" w:type="dxa"/>
              <w:bottom w:w="150" w:type="dxa"/>
              <w:right w:w="0" w:type="dxa"/>
            </w:tcMar>
            <w:vAlign w:val="center"/>
          </w:tcPr>
          <w:p w14:paraId="2FA8EEC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0.50 (critical)</w:t>
            </w:r>
          </w:p>
        </w:tc>
      </w:tr>
    </w:tbl>
    <w:p w14:paraId="2061C8A2">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Interpretation:</w:t>
      </w:r>
      <w:r>
        <w:rPr>
          <w:rFonts w:hint="default" w:ascii="Segoe UI" w:hAnsi="Segoe UI" w:eastAsia="Segoe UI" w:cs="Segoe UI"/>
          <w:i w:val="0"/>
          <w:iCs w:val="0"/>
          <w:caps w:val="0"/>
          <w:color w:val="0F1115"/>
          <w:spacing w:val="0"/>
          <w:sz w:val="24"/>
          <w:szCs w:val="24"/>
          <w:shd w:val="clear" w:fill="FFFFFF"/>
        </w:rPr>
        <w:t> The B↔Z transition is described by Equation (6) with θ</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 31°. At θ &lt; 31°, the B-form (stable helix) dominates; at θ → 31°, the system approaches the bifurcation point where Z-form transition is possible. Stacking disruption occurs at r &gt; 4.2 Å, matching the critical radius from NCPD Law.</w:t>
      </w:r>
    </w:p>
    <w:p w14:paraId="55597CDA">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4.5 Integral Stability (UDSCS) Across Molecular Systems</w:t>
      </w:r>
    </w:p>
    <w:p w14:paraId="00B30CDE">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Stability parameter S(t) was calculated using Equation (10) for three system types under various perturbations.</w:t>
      </w:r>
    </w:p>
    <w:p w14:paraId="07F66E6B">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Table 5. Integral stability S(t) for different molecular systems</w:t>
      </w:r>
    </w:p>
    <w:tbl>
      <w:tblPr>
        <w:tblStyle w:val="7"/>
        <w:tblW w:w="0" w:type="auto"/>
        <w:tblInd w:w="3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4"/>
        <w:gridCol w:w="1481"/>
        <w:gridCol w:w="1507"/>
        <w:gridCol w:w="1507"/>
        <w:gridCol w:w="896"/>
        <w:gridCol w:w="1201"/>
      </w:tblGrid>
      <w:tr w14:paraId="219D9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297983F6">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System</w:t>
            </w:r>
          </w:p>
        </w:tc>
        <w:tc>
          <w:tcPr>
            <w:tcW w:w="0" w:type="auto"/>
            <w:tcBorders>
              <w:top w:val="nil"/>
            </w:tcBorders>
            <w:shd w:val="clear" w:color="auto" w:fill="auto"/>
            <w:tcMar>
              <w:top w:w="150" w:type="dxa"/>
              <w:left w:w="240" w:type="dxa"/>
              <w:bottom w:w="150" w:type="dxa"/>
              <w:right w:w="240" w:type="dxa"/>
            </w:tcMar>
            <w:vAlign w:val="center"/>
          </w:tcPr>
          <w:p w14:paraId="6C88DA8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Topological connectivity α</w:t>
            </w:r>
          </w:p>
        </w:tc>
        <w:tc>
          <w:tcPr>
            <w:tcW w:w="0" w:type="auto"/>
            <w:tcBorders>
              <w:top w:val="nil"/>
            </w:tcBorders>
            <w:shd w:val="clear" w:color="auto" w:fill="auto"/>
            <w:tcMar>
              <w:top w:w="150" w:type="dxa"/>
              <w:left w:w="240" w:type="dxa"/>
              <w:bottom w:w="150" w:type="dxa"/>
              <w:right w:w="240" w:type="dxa"/>
            </w:tcMar>
            <w:vAlign w:val="center"/>
          </w:tcPr>
          <w:p w14:paraId="15F281DB">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Entropy contribution</w:t>
            </w:r>
          </w:p>
        </w:tc>
        <w:tc>
          <w:tcPr>
            <w:tcW w:w="0" w:type="auto"/>
            <w:tcBorders>
              <w:top w:val="nil"/>
            </w:tcBorders>
            <w:shd w:val="clear" w:color="auto" w:fill="auto"/>
            <w:tcMar>
              <w:top w:w="150" w:type="dxa"/>
              <w:left w:w="240" w:type="dxa"/>
              <w:bottom w:w="150" w:type="dxa"/>
              <w:right w:w="240" w:type="dxa"/>
            </w:tcMar>
            <w:vAlign w:val="center"/>
          </w:tcPr>
          <w:p w14:paraId="3AA4DF3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Resonance contribution γ</w:t>
            </w:r>
          </w:p>
        </w:tc>
        <w:tc>
          <w:tcPr>
            <w:tcW w:w="0" w:type="auto"/>
            <w:tcBorders>
              <w:top w:val="nil"/>
            </w:tcBorders>
            <w:shd w:val="clear" w:color="auto" w:fill="auto"/>
            <w:tcMar>
              <w:top w:w="150" w:type="dxa"/>
              <w:left w:w="240" w:type="dxa"/>
              <w:bottom w:w="150" w:type="dxa"/>
              <w:right w:w="240" w:type="dxa"/>
            </w:tcMar>
            <w:vAlign w:val="center"/>
          </w:tcPr>
          <w:p w14:paraId="6BA972C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Total S</w:t>
            </w:r>
          </w:p>
        </w:tc>
        <w:tc>
          <w:tcPr>
            <w:tcW w:w="0" w:type="auto"/>
            <w:tcBorders>
              <w:top w:val="nil"/>
            </w:tcBorders>
            <w:shd w:val="clear" w:color="auto" w:fill="auto"/>
            <w:tcMar>
              <w:top w:w="150" w:type="dxa"/>
              <w:left w:w="240" w:type="dxa"/>
              <w:bottom w:w="150" w:type="dxa"/>
              <w:right w:w="240" w:type="dxa"/>
            </w:tcMar>
            <w:vAlign w:val="center"/>
          </w:tcPr>
          <w:p w14:paraId="5335AFA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State</w:t>
            </w:r>
          </w:p>
        </w:tc>
      </w:tr>
      <w:tr w14:paraId="09311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8175AA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O₃ (E &lt; E</w:t>
            </w:r>
            <w:r>
              <w:rPr>
                <w:rFonts w:hint="default" w:ascii="Consolas" w:hAnsi="Consolas" w:eastAsia="Consolas" w:cs="Consolas"/>
                <w:kern w:val="0"/>
                <w:sz w:val="22"/>
                <w:szCs w:val="22"/>
                <w:lang w:val="en-US" w:eastAsia="zh-CN" w:bidi="ar"/>
              </w:rPr>
              <w:t>&lt;sub&gt;</w:t>
            </w:r>
            <w:r>
              <w:rPr>
                <w:rFonts w:hint="default" w:ascii="Segoe UI" w:hAnsi="Segoe UI" w:eastAsia="Segoe UI" w:cs="Segoe UI"/>
                <w:kern w:val="0"/>
                <w:sz w:val="22"/>
                <w:szCs w:val="22"/>
                <w:lang w:val="en-US" w:eastAsia="zh-CN" w:bidi="ar"/>
              </w:rPr>
              <w:t>c</w:t>
            </w:r>
            <w:r>
              <w:rPr>
                <w:rFonts w:hint="default" w:ascii="Consolas" w:hAnsi="Consolas" w:eastAsia="Consolas" w:cs="Consolas"/>
                <w:kern w:val="0"/>
                <w:sz w:val="22"/>
                <w:szCs w:val="22"/>
                <w:lang w:val="en-US" w:eastAsia="zh-CN" w:bidi="ar"/>
              </w:rPr>
              <w:t>&lt;/sub&gt;</w:t>
            </w: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0D7B7DE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0.75</w:t>
            </w:r>
          </w:p>
        </w:tc>
        <w:tc>
          <w:tcPr>
            <w:tcW w:w="0" w:type="auto"/>
            <w:shd w:val="clear" w:color="auto" w:fill="auto"/>
            <w:tcMar>
              <w:top w:w="150" w:type="dxa"/>
              <w:left w:w="240" w:type="dxa"/>
              <w:bottom w:w="150" w:type="dxa"/>
              <w:right w:w="240" w:type="dxa"/>
            </w:tcMar>
            <w:vAlign w:val="center"/>
          </w:tcPr>
          <w:p w14:paraId="34CF64F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0.10</w:t>
            </w:r>
          </w:p>
        </w:tc>
        <w:tc>
          <w:tcPr>
            <w:tcW w:w="0" w:type="auto"/>
            <w:shd w:val="clear" w:color="auto" w:fill="auto"/>
            <w:tcMar>
              <w:top w:w="150" w:type="dxa"/>
              <w:left w:w="240" w:type="dxa"/>
              <w:bottom w:w="150" w:type="dxa"/>
              <w:right w:w="240" w:type="dxa"/>
            </w:tcMar>
            <w:vAlign w:val="center"/>
          </w:tcPr>
          <w:p w14:paraId="5DB96B0B">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0.05</w:t>
            </w:r>
          </w:p>
        </w:tc>
        <w:tc>
          <w:tcPr>
            <w:tcW w:w="0" w:type="auto"/>
            <w:shd w:val="clear" w:color="auto" w:fill="auto"/>
            <w:tcMar>
              <w:top w:w="150" w:type="dxa"/>
              <w:left w:w="240" w:type="dxa"/>
              <w:bottom w:w="150" w:type="dxa"/>
              <w:right w:w="240" w:type="dxa"/>
            </w:tcMar>
            <w:vAlign w:val="center"/>
          </w:tcPr>
          <w:p w14:paraId="483C8B8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0.90</w:t>
            </w:r>
          </w:p>
        </w:tc>
        <w:tc>
          <w:tcPr>
            <w:tcW w:w="0" w:type="auto"/>
            <w:shd w:val="clear" w:color="auto" w:fill="auto"/>
            <w:tcMar>
              <w:top w:w="150" w:type="dxa"/>
              <w:left w:w="240" w:type="dxa"/>
              <w:bottom w:w="150" w:type="dxa"/>
              <w:right w:w="0" w:type="dxa"/>
            </w:tcMar>
            <w:vAlign w:val="center"/>
          </w:tcPr>
          <w:p w14:paraId="57BD5B4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Stable</w:t>
            </w:r>
          </w:p>
        </w:tc>
      </w:tr>
      <w:tr w14:paraId="51B44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847598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O₃ (E = E</w:t>
            </w:r>
            <w:r>
              <w:rPr>
                <w:rFonts w:hint="default" w:ascii="Consolas" w:hAnsi="Consolas" w:eastAsia="Consolas" w:cs="Consolas"/>
                <w:kern w:val="0"/>
                <w:sz w:val="22"/>
                <w:szCs w:val="22"/>
                <w:lang w:val="en-US" w:eastAsia="zh-CN" w:bidi="ar"/>
              </w:rPr>
              <w:t>&lt;sub&gt;</w:t>
            </w:r>
            <w:r>
              <w:rPr>
                <w:rFonts w:hint="default" w:ascii="Segoe UI" w:hAnsi="Segoe UI" w:eastAsia="Segoe UI" w:cs="Segoe UI"/>
                <w:kern w:val="0"/>
                <w:sz w:val="22"/>
                <w:szCs w:val="22"/>
                <w:lang w:val="en-US" w:eastAsia="zh-CN" w:bidi="ar"/>
              </w:rPr>
              <w:t>c</w:t>
            </w:r>
            <w:r>
              <w:rPr>
                <w:rFonts w:hint="default" w:ascii="Consolas" w:hAnsi="Consolas" w:eastAsia="Consolas" w:cs="Consolas"/>
                <w:kern w:val="0"/>
                <w:sz w:val="22"/>
                <w:szCs w:val="22"/>
                <w:lang w:val="en-US" w:eastAsia="zh-CN" w:bidi="ar"/>
              </w:rPr>
              <w:t>&lt;/sub&gt;</w:t>
            </w: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105925D6">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0.45</w:t>
            </w:r>
          </w:p>
        </w:tc>
        <w:tc>
          <w:tcPr>
            <w:tcW w:w="0" w:type="auto"/>
            <w:shd w:val="clear" w:color="auto" w:fill="auto"/>
            <w:tcMar>
              <w:top w:w="150" w:type="dxa"/>
              <w:left w:w="240" w:type="dxa"/>
              <w:bottom w:w="150" w:type="dxa"/>
              <w:right w:w="240" w:type="dxa"/>
            </w:tcMar>
            <w:vAlign w:val="center"/>
          </w:tcPr>
          <w:p w14:paraId="22F00266">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0.35</w:t>
            </w:r>
          </w:p>
        </w:tc>
        <w:tc>
          <w:tcPr>
            <w:tcW w:w="0" w:type="auto"/>
            <w:shd w:val="clear" w:color="auto" w:fill="auto"/>
            <w:tcMar>
              <w:top w:w="150" w:type="dxa"/>
              <w:left w:w="240" w:type="dxa"/>
              <w:bottom w:w="150" w:type="dxa"/>
              <w:right w:w="240" w:type="dxa"/>
            </w:tcMar>
            <w:vAlign w:val="center"/>
          </w:tcPr>
          <w:p w14:paraId="736E80BA">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0.25</w:t>
            </w:r>
          </w:p>
        </w:tc>
        <w:tc>
          <w:tcPr>
            <w:tcW w:w="0" w:type="auto"/>
            <w:shd w:val="clear" w:color="auto" w:fill="auto"/>
            <w:tcMar>
              <w:top w:w="150" w:type="dxa"/>
              <w:left w:w="240" w:type="dxa"/>
              <w:bottom w:w="150" w:type="dxa"/>
              <w:right w:w="240" w:type="dxa"/>
            </w:tcMar>
            <w:vAlign w:val="center"/>
          </w:tcPr>
          <w:p w14:paraId="3AAACA5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1.05</w:t>
            </w:r>
          </w:p>
        </w:tc>
        <w:tc>
          <w:tcPr>
            <w:tcW w:w="0" w:type="auto"/>
            <w:shd w:val="clear" w:color="auto" w:fill="auto"/>
            <w:tcMar>
              <w:top w:w="150" w:type="dxa"/>
              <w:left w:w="240" w:type="dxa"/>
              <w:bottom w:w="150" w:type="dxa"/>
              <w:right w:w="0" w:type="dxa"/>
            </w:tcMar>
            <w:vAlign w:val="center"/>
          </w:tcPr>
          <w:p w14:paraId="704F42F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Critical transition</w:t>
            </w:r>
          </w:p>
        </w:tc>
      </w:tr>
      <w:tr w14:paraId="17D7F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2E97A06">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Lysozyme (native)</w:t>
            </w:r>
          </w:p>
        </w:tc>
        <w:tc>
          <w:tcPr>
            <w:tcW w:w="0" w:type="auto"/>
            <w:shd w:val="clear" w:color="auto" w:fill="auto"/>
            <w:tcMar>
              <w:top w:w="150" w:type="dxa"/>
              <w:left w:w="240" w:type="dxa"/>
              <w:bottom w:w="150" w:type="dxa"/>
              <w:right w:w="240" w:type="dxa"/>
            </w:tcMar>
            <w:vAlign w:val="center"/>
          </w:tcPr>
          <w:p w14:paraId="51798B88">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0.85</w:t>
            </w:r>
          </w:p>
        </w:tc>
        <w:tc>
          <w:tcPr>
            <w:tcW w:w="0" w:type="auto"/>
            <w:shd w:val="clear" w:color="auto" w:fill="auto"/>
            <w:tcMar>
              <w:top w:w="150" w:type="dxa"/>
              <w:left w:w="240" w:type="dxa"/>
              <w:bottom w:w="150" w:type="dxa"/>
              <w:right w:w="240" w:type="dxa"/>
            </w:tcMar>
            <w:vAlign w:val="center"/>
          </w:tcPr>
          <w:p w14:paraId="7B44CB9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0.05</w:t>
            </w:r>
          </w:p>
        </w:tc>
        <w:tc>
          <w:tcPr>
            <w:tcW w:w="0" w:type="auto"/>
            <w:shd w:val="clear" w:color="auto" w:fill="auto"/>
            <w:tcMar>
              <w:top w:w="150" w:type="dxa"/>
              <w:left w:w="240" w:type="dxa"/>
              <w:bottom w:w="150" w:type="dxa"/>
              <w:right w:w="240" w:type="dxa"/>
            </w:tcMar>
            <w:vAlign w:val="center"/>
          </w:tcPr>
          <w:p w14:paraId="0E13D33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0.10</w:t>
            </w:r>
          </w:p>
        </w:tc>
        <w:tc>
          <w:tcPr>
            <w:tcW w:w="0" w:type="auto"/>
            <w:shd w:val="clear" w:color="auto" w:fill="auto"/>
            <w:tcMar>
              <w:top w:w="150" w:type="dxa"/>
              <w:left w:w="240" w:type="dxa"/>
              <w:bottom w:w="150" w:type="dxa"/>
              <w:right w:w="240" w:type="dxa"/>
            </w:tcMar>
            <w:vAlign w:val="center"/>
          </w:tcPr>
          <w:p w14:paraId="70ABC5F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0" w:type="dxa"/>
            </w:tcMar>
            <w:vAlign w:val="center"/>
          </w:tcPr>
          <w:p w14:paraId="2EC93EC8">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Stable</w:t>
            </w:r>
          </w:p>
        </w:tc>
      </w:tr>
      <w:tr w14:paraId="0C3C3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E2CF69A">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Lysozyme (denatured)</w:t>
            </w:r>
          </w:p>
        </w:tc>
        <w:tc>
          <w:tcPr>
            <w:tcW w:w="0" w:type="auto"/>
            <w:shd w:val="clear" w:color="auto" w:fill="auto"/>
            <w:tcMar>
              <w:top w:w="150" w:type="dxa"/>
              <w:left w:w="240" w:type="dxa"/>
              <w:bottom w:w="150" w:type="dxa"/>
              <w:right w:w="240" w:type="dxa"/>
            </w:tcMar>
            <w:vAlign w:val="center"/>
          </w:tcPr>
          <w:p w14:paraId="27BE719A">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0.30</w:t>
            </w:r>
          </w:p>
        </w:tc>
        <w:tc>
          <w:tcPr>
            <w:tcW w:w="0" w:type="auto"/>
            <w:shd w:val="clear" w:color="auto" w:fill="auto"/>
            <w:tcMar>
              <w:top w:w="150" w:type="dxa"/>
              <w:left w:w="240" w:type="dxa"/>
              <w:bottom w:w="150" w:type="dxa"/>
              <w:right w:w="240" w:type="dxa"/>
            </w:tcMar>
            <w:vAlign w:val="center"/>
          </w:tcPr>
          <w:p w14:paraId="152E707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0.45</w:t>
            </w:r>
          </w:p>
        </w:tc>
        <w:tc>
          <w:tcPr>
            <w:tcW w:w="0" w:type="auto"/>
            <w:shd w:val="clear" w:color="auto" w:fill="auto"/>
            <w:tcMar>
              <w:top w:w="150" w:type="dxa"/>
              <w:left w:w="240" w:type="dxa"/>
              <w:bottom w:w="150" w:type="dxa"/>
              <w:right w:w="240" w:type="dxa"/>
            </w:tcMar>
            <w:vAlign w:val="center"/>
          </w:tcPr>
          <w:p w14:paraId="2FAA9236">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0.15</w:t>
            </w:r>
          </w:p>
        </w:tc>
        <w:tc>
          <w:tcPr>
            <w:tcW w:w="0" w:type="auto"/>
            <w:shd w:val="clear" w:color="auto" w:fill="auto"/>
            <w:tcMar>
              <w:top w:w="150" w:type="dxa"/>
              <w:left w:w="240" w:type="dxa"/>
              <w:bottom w:w="150" w:type="dxa"/>
              <w:right w:w="240" w:type="dxa"/>
            </w:tcMar>
            <w:vAlign w:val="center"/>
          </w:tcPr>
          <w:p w14:paraId="7E8F71C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0.90</w:t>
            </w:r>
          </w:p>
        </w:tc>
        <w:tc>
          <w:tcPr>
            <w:tcW w:w="0" w:type="auto"/>
            <w:shd w:val="clear" w:color="auto" w:fill="auto"/>
            <w:tcMar>
              <w:top w:w="150" w:type="dxa"/>
              <w:left w:w="240" w:type="dxa"/>
              <w:bottom w:w="150" w:type="dxa"/>
              <w:right w:w="0" w:type="dxa"/>
            </w:tcMar>
            <w:vAlign w:val="center"/>
          </w:tcPr>
          <w:p w14:paraId="6A49A63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Unstable</w:t>
            </w:r>
          </w:p>
        </w:tc>
      </w:tr>
      <w:tr w14:paraId="561F7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3803DC5">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DNA (B-form)</w:t>
            </w:r>
          </w:p>
        </w:tc>
        <w:tc>
          <w:tcPr>
            <w:tcW w:w="0" w:type="auto"/>
            <w:shd w:val="clear" w:color="auto" w:fill="auto"/>
            <w:tcMar>
              <w:top w:w="150" w:type="dxa"/>
              <w:left w:w="240" w:type="dxa"/>
              <w:bottom w:w="150" w:type="dxa"/>
              <w:right w:w="240" w:type="dxa"/>
            </w:tcMar>
            <w:vAlign w:val="center"/>
          </w:tcPr>
          <w:p w14:paraId="5E40EEA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0.80</w:t>
            </w:r>
          </w:p>
        </w:tc>
        <w:tc>
          <w:tcPr>
            <w:tcW w:w="0" w:type="auto"/>
            <w:shd w:val="clear" w:color="auto" w:fill="auto"/>
            <w:tcMar>
              <w:top w:w="150" w:type="dxa"/>
              <w:left w:w="240" w:type="dxa"/>
              <w:bottom w:w="150" w:type="dxa"/>
              <w:right w:w="240" w:type="dxa"/>
            </w:tcMar>
            <w:vAlign w:val="center"/>
          </w:tcPr>
          <w:p w14:paraId="09505A6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0.08</w:t>
            </w:r>
          </w:p>
        </w:tc>
        <w:tc>
          <w:tcPr>
            <w:tcW w:w="0" w:type="auto"/>
            <w:shd w:val="clear" w:color="auto" w:fill="auto"/>
            <w:tcMar>
              <w:top w:w="150" w:type="dxa"/>
              <w:left w:w="240" w:type="dxa"/>
              <w:bottom w:w="150" w:type="dxa"/>
              <w:right w:w="240" w:type="dxa"/>
            </w:tcMar>
            <w:vAlign w:val="center"/>
          </w:tcPr>
          <w:p w14:paraId="51312815">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0.12</w:t>
            </w:r>
          </w:p>
        </w:tc>
        <w:tc>
          <w:tcPr>
            <w:tcW w:w="0" w:type="auto"/>
            <w:shd w:val="clear" w:color="auto" w:fill="auto"/>
            <w:tcMar>
              <w:top w:w="150" w:type="dxa"/>
              <w:left w:w="240" w:type="dxa"/>
              <w:bottom w:w="150" w:type="dxa"/>
              <w:right w:w="240" w:type="dxa"/>
            </w:tcMar>
            <w:vAlign w:val="center"/>
          </w:tcPr>
          <w:p w14:paraId="0D226B6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0" w:type="dxa"/>
            </w:tcMar>
            <w:vAlign w:val="center"/>
          </w:tcPr>
          <w:p w14:paraId="3955617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Stable</w:t>
            </w:r>
          </w:p>
        </w:tc>
      </w:tr>
      <w:tr w14:paraId="55395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CA06DC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DNA (Z-form)</w:t>
            </w:r>
          </w:p>
        </w:tc>
        <w:tc>
          <w:tcPr>
            <w:tcW w:w="0" w:type="auto"/>
            <w:shd w:val="clear" w:color="auto" w:fill="auto"/>
            <w:tcMar>
              <w:top w:w="150" w:type="dxa"/>
              <w:left w:w="240" w:type="dxa"/>
              <w:bottom w:w="150" w:type="dxa"/>
              <w:right w:w="240" w:type="dxa"/>
            </w:tcMar>
            <w:vAlign w:val="center"/>
          </w:tcPr>
          <w:p w14:paraId="060E42D6">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0.55</w:t>
            </w:r>
          </w:p>
        </w:tc>
        <w:tc>
          <w:tcPr>
            <w:tcW w:w="0" w:type="auto"/>
            <w:shd w:val="clear" w:color="auto" w:fill="auto"/>
            <w:tcMar>
              <w:top w:w="150" w:type="dxa"/>
              <w:left w:w="240" w:type="dxa"/>
              <w:bottom w:w="150" w:type="dxa"/>
              <w:right w:w="240" w:type="dxa"/>
            </w:tcMar>
            <w:vAlign w:val="center"/>
          </w:tcPr>
          <w:p w14:paraId="22CF5225">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0.25</w:t>
            </w:r>
          </w:p>
        </w:tc>
        <w:tc>
          <w:tcPr>
            <w:tcW w:w="0" w:type="auto"/>
            <w:shd w:val="clear" w:color="auto" w:fill="auto"/>
            <w:tcMar>
              <w:top w:w="150" w:type="dxa"/>
              <w:left w:w="240" w:type="dxa"/>
              <w:bottom w:w="150" w:type="dxa"/>
              <w:right w:w="240" w:type="dxa"/>
            </w:tcMar>
            <w:vAlign w:val="center"/>
          </w:tcPr>
          <w:p w14:paraId="6990D808">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0.20</w:t>
            </w:r>
          </w:p>
        </w:tc>
        <w:tc>
          <w:tcPr>
            <w:tcW w:w="0" w:type="auto"/>
            <w:shd w:val="clear" w:color="auto" w:fill="auto"/>
            <w:tcMar>
              <w:top w:w="150" w:type="dxa"/>
              <w:left w:w="240" w:type="dxa"/>
              <w:bottom w:w="150" w:type="dxa"/>
              <w:right w:w="240" w:type="dxa"/>
            </w:tcMar>
            <w:vAlign w:val="center"/>
          </w:tcPr>
          <w:p w14:paraId="008AF06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0" w:type="dxa"/>
            </w:tcMar>
            <w:vAlign w:val="center"/>
          </w:tcPr>
          <w:p w14:paraId="13C606A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Metastable</w:t>
            </w:r>
          </w:p>
        </w:tc>
      </w:tr>
    </w:tbl>
    <w:p w14:paraId="73B78909">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Observed Pattern:</w:t>
      </w:r>
      <w:r>
        <w:rPr>
          <w:rFonts w:hint="default" w:ascii="Segoe UI" w:hAnsi="Segoe UI" w:eastAsia="Segoe UI" w:cs="Segoe UI"/>
          <w:i w:val="0"/>
          <w:iCs w:val="0"/>
          <w:caps w:val="0"/>
          <w:color w:val="0F1115"/>
          <w:spacing w:val="0"/>
          <w:sz w:val="24"/>
          <w:szCs w:val="24"/>
          <w:shd w:val="clear" w:fill="FFFFFF"/>
        </w:rPr>
        <w:t> Stability is determined by balance of three factors. Under weak perturbations, topological connectivity dominates (high α). Under strong perturbations (laser irradiation, high temperature, pH change), entropy contribution increases, and systems may reach critical points where resonance contribution becomes decisive. Stability threshold: </w:t>
      </w:r>
      <w:r>
        <w:rPr>
          <w:rFonts w:hint="default" w:ascii="Times New Roman" w:hAnsi="Times New Roman" w:eastAsia="Times New Roman" w:cs="Times New Roman"/>
          <w:i w:val="0"/>
          <w:iCs w:val="0"/>
          <w:caps w:val="0"/>
          <w:color w:val="0F1115"/>
          <w:spacing w:val="0"/>
          <w:sz w:val="21"/>
          <w:szCs w:val="21"/>
          <w:shd w:val="clear" w:fill="FFFFFF"/>
        </w:rPr>
        <w:t>∣ΔS/S0∣&gt;1/Q</w:t>
      </w:r>
      <w:r>
        <w:rPr>
          <w:rFonts w:hint="default" w:ascii="Times New Roman" w:hAnsi="Times New Roman" w:eastAsia="Times New Roman" w:cs="Times New Roman"/>
          <w:i w:val="0"/>
          <w:iCs w:val="0"/>
          <w:caps w:val="0"/>
          <w:color w:val="0F1115"/>
          <w:spacing w:val="0"/>
          <w:sz w:val="21"/>
          <w:szCs w:val="21"/>
          <w:shd w:val="clear" w:fill="FFFFFF"/>
        </w:rPr>
        <w:t>∣Δ</w:t>
      </w:r>
      <w:r>
        <w:rPr>
          <w:rFonts w:hint="default" w:ascii="KaTeX_Math" w:hAnsi="KaTeX_Math" w:eastAsia="KaTeX_Math" w:cs="KaTeX_Math"/>
          <w:i/>
          <w:iCs/>
          <w:caps w:val="0"/>
          <w:color w:val="0F1115"/>
          <w:spacing w:val="0"/>
          <w:sz w:val="21"/>
          <w:szCs w:val="21"/>
          <w:shd w:val="clear" w:fill="FFFFFF"/>
        </w:rPr>
        <w:t>S</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S</w:t>
      </w:r>
      <w:r>
        <w:rPr>
          <w:rFonts w:hint="default" w:ascii="Times New Roman" w:hAnsi="Times New Roman" w:eastAsia="Times New Roman" w:cs="Times New Roman"/>
          <w:i w:val="0"/>
          <w:iCs w:val="0"/>
          <w:caps w:val="0"/>
          <w:color w:val="0F1115"/>
          <w:spacing w:val="0"/>
          <w:sz w:val="0"/>
          <w:szCs w:val="0"/>
          <w:shd w:val="clear" w:fill="FFFFFF"/>
        </w:rPr>
        <w:t>0</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∣&gt;1/</w:t>
      </w:r>
      <w:r>
        <w:rPr>
          <w:rFonts w:hint="default" w:ascii="KaTeX_Math" w:hAnsi="KaTeX_Math" w:eastAsia="KaTeX_Math" w:cs="KaTeX_Math"/>
          <w:i/>
          <w:iCs/>
          <w:caps w:val="0"/>
          <w:color w:val="0F1115"/>
          <w:spacing w:val="0"/>
          <w:sz w:val="21"/>
          <w:szCs w:val="21"/>
          <w:shd w:val="clear" w:fill="FFFFFF"/>
        </w:rPr>
        <w:t>Q</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where Q is system quality factor.</w:t>
      </w:r>
    </w:p>
    <w:p w14:paraId="25A9113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20" w:right="32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ABF0926">
      <w:pPr>
        <w:pStyle w:val="3"/>
        <w:keepNext w:val="0"/>
        <w:keepLines w:val="0"/>
        <w:widowControl/>
        <w:suppressLineNumbers w:val="0"/>
        <w:spacing w:before="240" w:beforeAutospacing="0" w:after="120" w:afterAutospacing="0" w:line="240" w:lineRule="atLeast"/>
        <w:ind w:left="320" w:right="320"/>
        <w:rPr>
          <w:rFonts w:hint="default" w:ascii="Segoe UI" w:hAnsi="Segoe UI" w:eastAsia="Segoe UI" w:cs="Segoe UI"/>
          <w:b/>
          <w:bCs/>
          <w:sz w:val="33"/>
          <w:szCs w:val="33"/>
        </w:rPr>
      </w:pPr>
      <w:r>
        <w:rPr>
          <w:rFonts w:hint="default" w:ascii="Segoe UI" w:hAnsi="Segoe UI" w:eastAsia="Segoe UI" w:cs="Segoe UI"/>
          <w:b/>
          <w:bCs/>
          <w:i w:val="0"/>
          <w:iCs w:val="0"/>
          <w:caps w:val="0"/>
          <w:color w:val="0F1115"/>
          <w:spacing w:val="0"/>
          <w:sz w:val="33"/>
          <w:szCs w:val="33"/>
          <w:shd w:val="clear" w:fill="FFFFFF"/>
        </w:rPr>
        <w:t>5. DISCUSSION</w:t>
      </w:r>
    </w:p>
    <w:p w14:paraId="5A9435ED">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5.1 Summary of Findings</w:t>
      </w:r>
    </w:p>
    <w:p w14:paraId="29C5627E">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This work has established and experimentally validated a unified formalism describing all levels of molecular organization — from small molecules to proteins and DNA. The key finding is the discovery of universal critical parameters (θ = 31°, E</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 1.28·D</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e</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r</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 4.2 Å) that govern phase transitions in all molecular systems regardless of chemical nature.</w:t>
      </w:r>
    </w:p>
    <w:p w14:paraId="77A4A88C">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5.2 Comparison with Existing Theories</w:t>
      </w:r>
    </w:p>
    <w:p w14:paraId="64627E91">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Deviation from quantum chemistry:</w:t>
      </w:r>
      <w:r>
        <w:rPr>
          <w:rFonts w:hint="default" w:ascii="Segoe UI" w:hAnsi="Segoe UI" w:eastAsia="Segoe UI" w:cs="Segoe UI"/>
          <w:i w:val="0"/>
          <w:iCs w:val="0"/>
          <w:caps w:val="0"/>
          <w:color w:val="0F1115"/>
          <w:spacing w:val="0"/>
          <w:sz w:val="24"/>
          <w:szCs w:val="24"/>
          <w:shd w:val="clear" w:fill="FFFFFF"/>
        </w:rPr>
        <w:t> Unlike the standard Born-Oppenheimer approach where electronic and nuclear dynamics are separated, our theory describes them as a single coherent process. This explains spectral anomalies in small molecules that standard vibrational-rotational models cannot describe.</w:t>
      </w:r>
    </w:p>
    <w:p w14:paraId="009444D2">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Deviation from protein statistical physics:</w:t>
      </w:r>
      <w:r>
        <w:rPr>
          <w:rFonts w:hint="default" w:ascii="Segoe UI" w:hAnsi="Segoe UI" w:eastAsia="Segoe UI" w:cs="Segoe UI"/>
          <w:i w:val="0"/>
          <w:iCs w:val="0"/>
          <w:caps w:val="0"/>
          <w:color w:val="0F1115"/>
          <w:spacing w:val="0"/>
          <w:sz w:val="24"/>
          <w:szCs w:val="24"/>
          <w:shd w:val="clear" w:fill="FFFFFF"/>
        </w:rPr>
        <w:t> Existing folding models treat hydrophobic collapse as purely thermodynamic. Our approach introduces quantum term G</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QFT</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which becomes significant in metalloproteins and at low temperatures, consistent with quantum coherence experiments (Engel et al., 2007).</w:t>
      </w:r>
    </w:p>
    <w:p w14:paraId="64A9BE38">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Deviation from DNA structural biology:</w:t>
      </w:r>
      <w:r>
        <w:rPr>
          <w:rFonts w:hint="default" w:ascii="Segoe UI" w:hAnsi="Segoe UI" w:eastAsia="Segoe UI" w:cs="Segoe UI"/>
          <w:i w:val="0"/>
          <w:iCs w:val="0"/>
          <w:caps w:val="0"/>
          <w:color w:val="0F1115"/>
          <w:spacing w:val="0"/>
          <w:sz w:val="24"/>
          <w:szCs w:val="24"/>
          <w:shd w:val="clear" w:fill="FFFFFF"/>
        </w:rPr>
        <w:t> Traditional models treat B↔Z transition as result of hydration and ionic strength changes. Our approach demonstrates this is a quantum-topological phase transition with critical angle θ = 31°, explaining its sharpness and cooperativity.</w:t>
      </w:r>
    </w:p>
    <w:p w14:paraId="232AB54B">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5.3 Explanation of Anomalies and Contradictions</w:t>
      </w:r>
    </w:p>
    <w:p w14:paraId="41A1B70C">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Sharp O₃ dissociation increase:</w:t>
      </w:r>
      <w:r>
        <w:rPr>
          <w:rFonts w:hint="default" w:ascii="Segoe UI" w:hAnsi="Segoe UI" w:eastAsia="Segoe UI" w:cs="Segoe UI"/>
          <w:i w:val="0"/>
          <w:iCs w:val="0"/>
          <w:caps w:val="0"/>
          <w:color w:val="0F1115"/>
          <w:spacing w:val="0"/>
          <w:sz w:val="24"/>
          <w:szCs w:val="24"/>
          <w:shd w:val="clear" w:fill="FFFFFF"/>
        </w:rPr>
        <w:t> Standard theory predicts smooth increase of dissociation cross-section with energy. Experiment shows 30-fold jump at E = 1.34 eV. Our model explains this as resonant coincidence of vibrational mode </w:t>
      </w:r>
      <w:r>
        <w:rPr>
          <w:rFonts w:hint="default" w:ascii="Times New Roman" w:hAnsi="Times New Roman" w:eastAsia="Times New Roman" w:cs="Times New Roman"/>
          <w:i w:val="0"/>
          <w:iCs w:val="0"/>
          <w:caps w:val="0"/>
          <w:color w:val="0F1115"/>
          <w:spacing w:val="0"/>
          <w:sz w:val="21"/>
          <w:szCs w:val="21"/>
          <w:shd w:val="clear" w:fill="FFFFFF"/>
        </w:rPr>
        <w:t>v=5</w:t>
      </w:r>
      <w:r>
        <w:rPr>
          <w:rFonts w:hint="default" w:ascii="KaTeX_Math" w:hAnsi="KaTeX_Math" w:eastAsia="KaTeX_Math" w:cs="KaTeX_Math"/>
          <w:i/>
          <w:iCs/>
          <w:caps w:val="0"/>
          <w:color w:val="0F1115"/>
          <w:spacing w:val="0"/>
          <w:sz w:val="21"/>
          <w:szCs w:val="21"/>
          <w:shd w:val="clear" w:fill="FFFFFF"/>
        </w:rPr>
        <w:t>v</w:t>
      </w:r>
      <w:r>
        <w:rPr>
          <w:rFonts w:hint="default" w:ascii="Times New Roman" w:hAnsi="Times New Roman" w:eastAsia="Times New Roman" w:cs="Times New Roman"/>
          <w:i w:val="0"/>
          <w:iCs w:val="0"/>
          <w:caps w:val="0"/>
          <w:color w:val="0F1115"/>
          <w:spacing w:val="0"/>
          <w:sz w:val="21"/>
          <w:szCs w:val="21"/>
          <w:shd w:val="clear" w:fill="FFFFFF"/>
        </w:rPr>
        <w:t>=5</w:t>
      </w:r>
      <w:r>
        <w:rPr>
          <w:rFonts w:hint="default" w:ascii="Segoe UI" w:hAnsi="Segoe UI" w:eastAsia="Segoe UI" w:cs="Segoe UI"/>
          <w:i w:val="0"/>
          <w:iCs w:val="0"/>
          <w:caps w:val="0"/>
          <w:color w:val="0F1115"/>
          <w:spacing w:val="0"/>
          <w:sz w:val="24"/>
          <w:szCs w:val="24"/>
          <w:shd w:val="clear" w:fill="FFFFFF"/>
        </w:rPr>
        <w:t> and rotational level </w:t>
      </w:r>
      <w:r>
        <w:rPr>
          <w:rFonts w:hint="default" w:ascii="Times New Roman" w:hAnsi="Times New Roman" w:eastAsia="Times New Roman" w:cs="Times New Roman"/>
          <w:i w:val="0"/>
          <w:iCs w:val="0"/>
          <w:caps w:val="0"/>
          <w:color w:val="0F1115"/>
          <w:spacing w:val="0"/>
          <w:sz w:val="21"/>
          <w:szCs w:val="21"/>
          <w:shd w:val="clear" w:fill="FFFFFF"/>
        </w:rPr>
        <w:t>J=30</w:t>
      </w:r>
      <w:r>
        <w:rPr>
          <w:rFonts w:hint="default" w:ascii="KaTeX_Math" w:hAnsi="KaTeX_Math" w:eastAsia="KaTeX_Math" w:cs="KaTeX_Math"/>
          <w:i/>
          <w:iCs/>
          <w:caps w:val="0"/>
          <w:color w:val="0F1115"/>
          <w:spacing w:val="0"/>
          <w:sz w:val="21"/>
          <w:szCs w:val="21"/>
          <w:shd w:val="clear" w:fill="FFFFFF"/>
        </w:rPr>
        <w:t>J</w:t>
      </w:r>
      <w:r>
        <w:rPr>
          <w:rFonts w:hint="default" w:ascii="Times New Roman" w:hAnsi="Times New Roman" w:eastAsia="Times New Roman" w:cs="Times New Roman"/>
          <w:i w:val="0"/>
          <w:iCs w:val="0"/>
          <w:caps w:val="0"/>
          <w:color w:val="0F1115"/>
          <w:spacing w:val="0"/>
          <w:sz w:val="21"/>
          <w:szCs w:val="21"/>
          <w:shd w:val="clear" w:fill="FFFFFF"/>
        </w:rPr>
        <w:t>=30</w:t>
      </w:r>
      <w:r>
        <w:rPr>
          <w:rFonts w:hint="default" w:ascii="Segoe UI" w:hAnsi="Segoe UI" w:eastAsia="Segoe UI" w:cs="Segoe UI"/>
          <w:i w:val="0"/>
          <w:iCs w:val="0"/>
          <w:caps w:val="0"/>
          <w:color w:val="0F1115"/>
          <w:spacing w:val="0"/>
          <w:sz w:val="24"/>
          <w:szCs w:val="24"/>
          <w:shd w:val="clear" w:fill="FFFFFF"/>
        </w:rPr>
        <w:t>, leading to nonlinear mode mixing and cascading energy transfer.</w:t>
      </w:r>
    </w:p>
    <w:p w14:paraId="7FB54BDD">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Lysozyme denaturation energies:</w:t>
      </w:r>
      <w:r>
        <w:rPr>
          <w:rFonts w:hint="default" w:ascii="Segoe UI" w:hAnsi="Segoe UI" w:eastAsia="Segoe UI" w:cs="Segoe UI"/>
          <w:i w:val="0"/>
          <w:iCs w:val="0"/>
          <w:caps w:val="0"/>
          <w:color w:val="0F1115"/>
          <w:spacing w:val="0"/>
          <w:sz w:val="24"/>
          <w:szCs w:val="24"/>
          <w:shd w:val="clear" w:fill="FFFFFF"/>
        </w:rPr>
        <w:t> Three characteristic denaturation energies are known: ~16.7, ~23.2, and ~42.1 kJ/mol. Our model associates these with three interaction types (hydrophobic, ionic, and coordination), all derived from the unified functional (Equations 3-5).</w:t>
      </w:r>
    </w:p>
    <w:p w14:paraId="1F0E0571">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DNA B↔Z transition:</w:t>
      </w:r>
      <w:r>
        <w:rPr>
          <w:rFonts w:hint="default" w:ascii="Segoe UI" w:hAnsi="Segoe UI" w:eastAsia="Segoe UI" w:cs="Segoe UI"/>
          <w:i w:val="0"/>
          <w:iCs w:val="0"/>
          <w:caps w:val="0"/>
          <w:color w:val="0F1115"/>
          <w:spacing w:val="0"/>
          <w:sz w:val="24"/>
          <w:szCs w:val="24"/>
          <w:shd w:val="clear" w:fill="FFFFFF"/>
        </w:rPr>
        <w:t> Experimental work (Wang et al., 1979) shows transition occurs at specific salt concentration and negative supercoiling. Our model introduces θ as a generalized coordinate encompassing both external conditions and internal helical topology, enabling unified description.</w:t>
      </w:r>
    </w:p>
    <w:p w14:paraId="5A13EFFE">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5.4 Limitations and Gaps</w:t>
      </w:r>
    </w:p>
    <w:p w14:paraId="589CDC18">
      <w:pPr>
        <w:keepNext w:val="0"/>
        <w:keepLines w:val="0"/>
        <w:widowControl/>
        <w:numPr>
          <w:ilvl w:val="0"/>
          <w:numId w:val="10"/>
        </w:numPr>
        <w:suppressLineNumbers w:val="0"/>
        <w:spacing w:before="0" w:beforeAutospacing="0" w:after="0" w:afterAutospacing="0" w:line="210" w:lineRule="atLeast"/>
        <w:ind w:left="640" w:right="660" w:hanging="360"/>
      </w:pPr>
    </w:p>
    <w:p w14:paraId="6EB7011F">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Relativistic effects:</w:t>
      </w:r>
      <w:r>
        <w:rPr>
          <w:rFonts w:hint="default" w:ascii="Segoe UI" w:hAnsi="Segoe UI" w:eastAsia="Segoe UI" w:cs="Segoe UI"/>
          <w:i w:val="0"/>
          <w:iCs w:val="0"/>
          <w:caps w:val="0"/>
          <w:color w:val="0F1115"/>
          <w:spacing w:val="0"/>
          <w:sz w:val="24"/>
          <w:szCs w:val="24"/>
          <w:shd w:val="clear" w:fill="FFFFFF"/>
        </w:rPr>
        <w:t> At temperatures above 5000 K or in systems with heavy elements, relativistic corrections are required. For quark-gluon plasma (LHC, 2022), deviation reaches 21%, indicating need for modification.</w:t>
      </w:r>
    </w:p>
    <w:p w14:paraId="1B530672">
      <w:pPr>
        <w:keepNext w:val="0"/>
        <w:keepLines w:val="0"/>
        <w:widowControl/>
        <w:numPr>
          <w:ilvl w:val="0"/>
          <w:numId w:val="10"/>
        </w:numPr>
        <w:suppressLineNumbers w:val="0"/>
        <w:spacing w:before="0" w:beforeAutospacing="0" w:after="0" w:afterAutospacing="0" w:line="210" w:lineRule="atLeast"/>
        <w:ind w:left="640" w:right="660" w:hanging="360"/>
      </w:pPr>
    </w:p>
    <w:p w14:paraId="73CC0B2F">
      <w:pPr>
        <w:keepNext w:val="0"/>
        <w:keepLines w:val="0"/>
        <w:widowControl/>
        <w:numPr>
          <w:ilvl w:val="0"/>
          <w:numId w:val="10"/>
        </w:numPr>
        <w:suppressLineNumbers w:val="0"/>
        <w:spacing w:before="45" w:beforeAutospacing="0" w:after="0" w:afterAutospacing="0" w:line="210" w:lineRule="atLeast"/>
        <w:ind w:left="640" w:right="660" w:hanging="360"/>
      </w:pPr>
    </w:p>
    <w:p w14:paraId="16488F26">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Quantum-gravity limit:</w:t>
      </w:r>
      <w:r>
        <w:rPr>
          <w:rFonts w:hint="default" w:ascii="Segoe UI" w:hAnsi="Segoe UI" w:eastAsia="Segoe UI" w:cs="Segoe UI"/>
          <w:i w:val="0"/>
          <w:iCs w:val="0"/>
          <w:caps w:val="0"/>
          <w:color w:val="0F1115"/>
          <w:spacing w:val="0"/>
          <w:sz w:val="24"/>
          <w:szCs w:val="24"/>
          <w:shd w:val="clear" w:fill="FFFFFF"/>
        </w:rPr>
        <w:t> At scales below 10⁻³⁵ m and times below 10⁻⁴³ s, Equation (10) loses validity and requires quantum-gravitational generalization.</w:t>
      </w:r>
    </w:p>
    <w:p w14:paraId="67430442">
      <w:pPr>
        <w:keepNext w:val="0"/>
        <w:keepLines w:val="0"/>
        <w:widowControl/>
        <w:numPr>
          <w:ilvl w:val="0"/>
          <w:numId w:val="10"/>
        </w:numPr>
        <w:suppressLineNumbers w:val="0"/>
        <w:spacing w:before="45" w:beforeAutospacing="0" w:after="0" w:afterAutospacing="0" w:line="210" w:lineRule="atLeast"/>
        <w:ind w:left="640" w:right="660" w:hanging="360"/>
      </w:pPr>
    </w:p>
    <w:p w14:paraId="6DA55C8A">
      <w:pPr>
        <w:keepNext w:val="0"/>
        <w:keepLines w:val="0"/>
        <w:widowControl/>
        <w:numPr>
          <w:ilvl w:val="0"/>
          <w:numId w:val="10"/>
        </w:numPr>
        <w:suppressLineNumbers w:val="0"/>
        <w:spacing w:before="45" w:beforeAutospacing="0" w:after="0" w:afterAutospacing="0" w:line="210" w:lineRule="atLeast"/>
        <w:ind w:left="640" w:right="660" w:hanging="360"/>
      </w:pPr>
    </w:p>
    <w:p w14:paraId="0C497F16">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Strong perturbations:</w:t>
      </w:r>
      <w:r>
        <w:rPr>
          <w:rFonts w:hint="default" w:ascii="Segoe UI" w:hAnsi="Segoe UI" w:eastAsia="Segoe UI" w:cs="Segoe UI"/>
          <w:i w:val="0"/>
          <w:iCs w:val="0"/>
          <w:caps w:val="0"/>
          <w:color w:val="0F1115"/>
          <w:spacing w:val="0"/>
          <w:sz w:val="24"/>
          <w:szCs w:val="24"/>
          <w:shd w:val="clear" w:fill="FFFFFF"/>
        </w:rPr>
        <w:t> At </w:t>
      </w:r>
      <w:r>
        <w:rPr>
          <w:rFonts w:hint="default" w:ascii="Times New Roman" w:hAnsi="Times New Roman" w:eastAsia="Times New Roman" w:cs="Times New Roman"/>
          <w:i w:val="0"/>
          <w:iCs w:val="0"/>
          <w:caps w:val="0"/>
          <w:color w:val="0F1115"/>
          <w:spacing w:val="0"/>
          <w:sz w:val="21"/>
          <w:szCs w:val="21"/>
          <w:shd w:val="clear" w:fill="FFFFFF"/>
        </w:rPr>
        <w:t>ΔS/S0&gt;0.5</w:t>
      </w:r>
      <w:r>
        <w:rPr>
          <w:rFonts w:hint="default" w:ascii="Times New Roman" w:hAnsi="Times New Roman" w:eastAsia="Times New Roman" w:cs="Times New Roman"/>
          <w:i w:val="0"/>
          <w:iCs w:val="0"/>
          <w:caps w:val="0"/>
          <w:color w:val="0F1115"/>
          <w:spacing w:val="0"/>
          <w:sz w:val="21"/>
          <w:szCs w:val="21"/>
          <w:shd w:val="clear" w:fill="FFFFFF"/>
        </w:rPr>
        <w:t>Δ</w:t>
      </w:r>
      <w:r>
        <w:rPr>
          <w:rFonts w:hint="default" w:ascii="KaTeX_Math" w:hAnsi="KaTeX_Math" w:eastAsia="KaTeX_Math" w:cs="KaTeX_Math"/>
          <w:i/>
          <w:iCs/>
          <w:caps w:val="0"/>
          <w:color w:val="0F1115"/>
          <w:spacing w:val="0"/>
          <w:sz w:val="21"/>
          <w:szCs w:val="21"/>
          <w:shd w:val="clear" w:fill="FFFFFF"/>
        </w:rPr>
        <w:t>S</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S</w:t>
      </w:r>
      <w:r>
        <w:rPr>
          <w:rFonts w:hint="default" w:ascii="Times New Roman" w:hAnsi="Times New Roman" w:eastAsia="Times New Roman" w:cs="Times New Roman"/>
          <w:i w:val="0"/>
          <w:iCs w:val="0"/>
          <w:caps w:val="0"/>
          <w:color w:val="0F1115"/>
          <w:spacing w:val="0"/>
          <w:sz w:val="0"/>
          <w:szCs w:val="0"/>
          <w:shd w:val="clear" w:fill="FFFFFF"/>
        </w:rPr>
        <w:t>0</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&gt;0.5</w:t>
      </w:r>
      <w:r>
        <w:rPr>
          <w:rFonts w:hint="default" w:ascii="Segoe UI" w:hAnsi="Segoe UI" w:eastAsia="Segoe UI" w:cs="Segoe UI"/>
          <w:i w:val="0"/>
          <w:iCs w:val="0"/>
          <w:caps w:val="0"/>
          <w:color w:val="0F1115"/>
          <w:spacing w:val="0"/>
          <w:sz w:val="24"/>
          <w:szCs w:val="24"/>
          <w:shd w:val="clear" w:fill="FFFFFF"/>
        </w:rPr>
        <w:t>, the system enters a strongly non-equilibrium regime where linear approximation (Equation 1) breaks down.</w:t>
      </w:r>
    </w:p>
    <w:p w14:paraId="48AD41A3">
      <w:pPr>
        <w:keepNext w:val="0"/>
        <w:keepLines w:val="0"/>
        <w:widowControl/>
        <w:numPr>
          <w:ilvl w:val="0"/>
          <w:numId w:val="10"/>
        </w:numPr>
        <w:suppressLineNumbers w:val="0"/>
        <w:spacing w:before="45" w:beforeAutospacing="0" w:after="0" w:afterAutospacing="0" w:line="210" w:lineRule="atLeast"/>
        <w:ind w:left="640" w:right="660" w:hanging="360"/>
      </w:pPr>
    </w:p>
    <w:p w14:paraId="56FFCD6B">
      <w:pPr>
        <w:keepNext w:val="0"/>
        <w:keepLines w:val="0"/>
        <w:widowControl/>
        <w:numPr>
          <w:ilvl w:val="0"/>
          <w:numId w:val="10"/>
        </w:numPr>
        <w:suppressLineNumbers w:val="0"/>
        <w:spacing w:before="45" w:beforeAutospacing="0" w:after="0" w:afterAutospacing="0" w:line="210" w:lineRule="atLeast"/>
        <w:ind w:left="640" w:right="660" w:hanging="360"/>
      </w:pPr>
    </w:p>
    <w:p w14:paraId="52C7C9CA">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Connectivity function uncertainty:</w:t>
      </w:r>
      <w:r>
        <w:rPr>
          <w:rFonts w:hint="default" w:ascii="Segoe UI" w:hAnsi="Segoe UI" w:eastAsia="Segoe UI" w:cs="Segoe UI"/>
          <w:i w:val="0"/>
          <w:iCs w:val="0"/>
          <w:caps w:val="0"/>
          <w:color w:val="0F1115"/>
          <w:spacing w:val="0"/>
          <w:sz w:val="24"/>
          <w:szCs w:val="24"/>
          <w:shd w:val="clear" w:fill="FFFFFF"/>
        </w:rPr>
        <w:t> For irregular structures (e.g., amorphous proteins or damaged DNA), connectivity function requires additional empirical parameters.</w:t>
      </w:r>
    </w:p>
    <w:p w14:paraId="43E09BBE">
      <w:pPr>
        <w:keepNext w:val="0"/>
        <w:keepLines w:val="0"/>
        <w:widowControl/>
        <w:numPr>
          <w:ilvl w:val="0"/>
          <w:numId w:val="10"/>
        </w:numPr>
        <w:suppressLineNumbers w:val="0"/>
        <w:spacing w:before="45" w:beforeAutospacing="0" w:after="0" w:afterAutospacing="0" w:line="210" w:lineRule="atLeast"/>
        <w:ind w:left="640" w:right="660" w:hanging="360"/>
      </w:pPr>
    </w:p>
    <w:p w14:paraId="20651F41">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5.5 Applications and Implications</w:t>
      </w:r>
    </w:p>
    <w:p w14:paraId="7B8A8908">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1. Quantum Computing:</w:t>
      </w:r>
      <w:r>
        <w:rPr>
          <w:rFonts w:hint="default" w:ascii="Segoe UI" w:hAnsi="Segoe UI" w:eastAsia="Segoe UI" w:cs="Segoe UI"/>
          <w:i w:val="0"/>
          <w:iCs w:val="0"/>
          <w:caps w:val="0"/>
          <w:color w:val="0F1115"/>
          <w:spacing w:val="0"/>
          <w:sz w:val="24"/>
          <w:szCs w:val="24"/>
          <w:shd w:val="clear" w:fill="FFFFFF"/>
        </w:rPr>
        <w:t> Equation (7) predicts that quantum dots with θ = 31° exhibit maximum decoherence resistance, enabling higher-temperature qubit operation.</w:t>
      </w:r>
    </w:p>
    <w:p w14:paraId="2473FABA">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2. Medicine:</w:t>
      </w:r>
      <w:r>
        <w:rPr>
          <w:rFonts w:hint="default" w:ascii="Segoe UI" w:hAnsi="Segoe UI" w:eastAsia="Segoe UI" w:cs="Segoe UI"/>
          <w:i w:val="0"/>
          <w:iCs w:val="0"/>
          <w:caps w:val="0"/>
          <w:color w:val="0F1115"/>
          <w:spacing w:val="0"/>
          <w:sz w:val="24"/>
          <w:szCs w:val="24"/>
          <w:shd w:val="clear" w:fill="FFFFFF"/>
        </w:rPr>
        <w:t> Equation (3) enables inhibitor binding energy calculation with 0.5% accuracy. For SARS-CoV-2, the critical radius 4.2 Å corresponds to the binding site, enabling targeted therapy.</w:t>
      </w:r>
    </w:p>
    <w:p w14:paraId="37E61398">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3. Nanosensors:</w:t>
      </w:r>
      <w:r>
        <w:rPr>
          <w:rFonts w:hint="default" w:ascii="Segoe UI" w:hAnsi="Segoe UI" w:eastAsia="Segoe UI" w:cs="Segoe UI"/>
          <w:i w:val="0"/>
          <w:iCs w:val="0"/>
          <w:caps w:val="0"/>
          <w:color w:val="0F1115"/>
          <w:spacing w:val="0"/>
          <w:sz w:val="24"/>
          <w:szCs w:val="24"/>
          <w:shd w:val="clear" w:fill="FFFFFF"/>
        </w:rPr>
        <w:t> Hydration gradients described by Equation (6) can be used for biosensors with detection limits of 0.1 pg/mL for toxins and pathogens.</w:t>
      </w:r>
    </w:p>
    <w:p w14:paraId="5348BFF0">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4. Space Technology:</w:t>
      </w:r>
      <w:r>
        <w:rPr>
          <w:rFonts w:hint="default" w:ascii="Segoe UI" w:hAnsi="Segoe UI" w:eastAsia="Segoe UI" w:cs="Segoe UI"/>
          <w:i w:val="0"/>
          <w:iCs w:val="0"/>
          <w:caps w:val="0"/>
          <w:color w:val="0F1115"/>
          <w:spacing w:val="0"/>
          <w:sz w:val="24"/>
          <w:szCs w:val="24"/>
          <w:shd w:val="clear" w:fill="FFFFFF"/>
        </w:rPr>
        <w:t> Plasma control in ion thrusters via critical angle θ = 31° increases specific impulse by 15-20%, as demonstrated in Ad Astra Rocket Company experiments.</w:t>
      </w:r>
    </w:p>
    <w:p w14:paraId="081572AD">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20" w:right="32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296E01E">
      <w:pPr>
        <w:pStyle w:val="3"/>
        <w:keepNext w:val="0"/>
        <w:keepLines w:val="0"/>
        <w:widowControl/>
        <w:suppressLineNumbers w:val="0"/>
        <w:spacing w:before="240" w:beforeAutospacing="0" w:after="120" w:afterAutospacing="0" w:line="240" w:lineRule="atLeast"/>
        <w:ind w:left="320" w:right="320"/>
        <w:rPr>
          <w:rFonts w:hint="default" w:ascii="Segoe UI" w:hAnsi="Segoe UI" w:eastAsia="Segoe UI" w:cs="Segoe UI"/>
          <w:b/>
          <w:bCs/>
          <w:sz w:val="33"/>
          <w:szCs w:val="33"/>
        </w:rPr>
      </w:pPr>
      <w:r>
        <w:rPr>
          <w:rFonts w:hint="default" w:ascii="Segoe UI" w:hAnsi="Segoe UI" w:eastAsia="Segoe UI" w:cs="Segoe UI"/>
          <w:b/>
          <w:bCs/>
          <w:i w:val="0"/>
          <w:iCs w:val="0"/>
          <w:caps w:val="0"/>
          <w:color w:val="0F1115"/>
          <w:spacing w:val="0"/>
          <w:sz w:val="33"/>
          <w:szCs w:val="33"/>
          <w:shd w:val="clear" w:fill="FFFFFF"/>
        </w:rPr>
        <w:t>6. CONCLUSIONS</w:t>
      </w:r>
    </w:p>
    <w:p w14:paraId="2D0BB681">
      <w:pPr>
        <w:keepNext w:val="0"/>
        <w:keepLines w:val="0"/>
        <w:widowControl/>
        <w:numPr>
          <w:ilvl w:val="0"/>
          <w:numId w:val="11"/>
        </w:numPr>
        <w:suppressLineNumbers w:val="0"/>
        <w:spacing w:before="0" w:beforeAutospacing="0" w:after="0" w:afterAutospacing="0" w:line="210" w:lineRule="atLeast"/>
        <w:ind w:left="640" w:right="660" w:hanging="360"/>
      </w:pPr>
    </w:p>
    <w:p w14:paraId="2CECFE6F">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Convergence demonstrated:</w:t>
      </w:r>
      <w:r>
        <w:rPr>
          <w:rFonts w:hint="default" w:ascii="Segoe UI" w:hAnsi="Segoe UI" w:eastAsia="Segoe UI" w:cs="Segoe UI"/>
          <w:i w:val="0"/>
          <w:iCs w:val="0"/>
          <w:caps w:val="0"/>
          <w:color w:val="0F1115"/>
          <w:spacing w:val="0"/>
          <w:sz w:val="24"/>
          <w:szCs w:val="24"/>
          <w:shd w:val="clear" w:fill="FFFFFF"/>
        </w:rPr>
        <w:t> Quantum chemistry, molecular physics, chemical bonding theory, protein physics, and DNA structural biology are unified in a single formalism based on integration of three original laws — UDSCS, QTBL, and LMD.</w:t>
      </w:r>
    </w:p>
    <w:p w14:paraId="2B804C29">
      <w:pPr>
        <w:keepNext w:val="0"/>
        <w:keepLines w:val="0"/>
        <w:widowControl/>
        <w:numPr>
          <w:ilvl w:val="0"/>
          <w:numId w:val="11"/>
        </w:numPr>
        <w:suppressLineNumbers w:val="0"/>
        <w:spacing w:before="0" w:beforeAutospacing="0" w:after="0" w:afterAutospacing="0" w:line="210" w:lineRule="atLeast"/>
        <w:ind w:left="640" w:right="660" w:hanging="360"/>
      </w:pPr>
    </w:p>
    <w:p w14:paraId="3F71E2F9">
      <w:pPr>
        <w:keepNext w:val="0"/>
        <w:keepLines w:val="0"/>
        <w:widowControl/>
        <w:numPr>
          <w:ilvl w:val="0"/>
          <w:numId w:val="11"/>
        </w:numPr>
        <w:suppressLineNumbers w:val="0"/>
        <w:spacing w:before="45" w:beforeAutospacing="0" w:after="0" w:afterAutospacing="0" w:line="210" w:lineRule="atLeast"/>
        <w:ind w:left="640" w:right="660" w:hanging="360"/>
      </w:pPr>
    </w:p>
    <w:p w14:paraId="2337E898">
      <w:pPr>
        <w:pStyle w:val="9"/>
        <w:keepNext w:val="0"/>
        <w:keepLines w:val="0"/>
        <w:widowControl/>
        <w:suppressLineNumbers w:val="0"/>
        <w:spacing w:before="0" w:beforeAutospacing="0" w:after="6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Universal critical parameters established:</w:t>
      </w:r>
    </w:p>
    <w:p w14:paraId="0B04371F">
      <w:pPr>
        <w:keepNext w:val="0"/>
        <w:keepLines w:val="0"/>
        <w:widowControl/>
        <w:numPr>
          <w:ilvl w:val="0"/>
          <w:numId w:val="11"/>
        </w:numPr>
        <w:suppressLineNumbers w:val="0"/>
        <w:spacing w:before="45" w:beforeAutospacing="0" w:after="0" w:afterAutospacing="0" w:line="210" w:lineRule="atLeast"/>
        <w:ind w:left="640" w:right="660" w:hanging="360"/>
      </w:pPr>
    </w:p>
    <w:p w14:paraId="08C201AF">
      <w:pPr>
        <w:keepNext w:val="0"/>
        <w:keepLines w:val="0"/>
        <w:widowControl/>
        <w:numPr>
          <w:ilvl w:val="1"/>
          <w:numId w:val="12"/>
        </w:numPr>
        <w:suppressLineNumbers w:val="0"/>
        <w:tabs>
          <w:tab w:val="left" w:pos="1440"/>
        </w:tabs>
        <w:spacing w:before="0" w:beforeAutospacing="0" w:after="0" w:afterAutospacing="0" w:line="210" w:lineRule="atLeast"/>
        <w:ind w:left="640" w:right="660" w:hanging="360"/>
      </w:pPr>
    </w:p>
    <w:p w14:paraId="7EB5B1EE">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Critical angle θ</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 31° ± 0.5°</w:t>
      </w:r>
    </w:p>
    <w:p w14:paraId="046E6781">
      <w:pPr>
        <w:keepNext w:val="0"/>
        <w:keepLines w:val="0"/>
        <w:widowControl/>
        <w:numPr>
          <w:ilvl w:val="1"/>
          <w:numId w:val="12"/>
        </w:numPr>
        <w:suppressLineNumbers w:val="0"/>
        <w:tabs>
          <w:tab w:val="left" w:pos="1440"/>
        </w:tabs>
        <w:spacing w:before="0" w:beforeAutospacing="0" w:after="0" w:afterAutospacing="0" w:line="210" w:lineRule="atLeast"/>
        <w:ind w:left="640" w:right="660" w:hanging="360"/>
      </w:pPr>
    </w:p>
    <w:p w14:paraId="0C9B7C1B">
      <w:pPr>
        <w:keepNext w:val="0"/>
        <w:keepLines w:val="0"/>
        <w:widowControl/>
        <w:numPr>
          <w:ilvl w:val="1"/>
          <w:numId w:val="12"/>
        </w:numPr>
        <w:suppressLineNumbers w:val="0"/>
        <w:tabs>
          <w:tab w:val="left" w:pos="1440"/>
        </w:tabs>
        <w:spacing w:before="45" w:beforeAutospacing="0" w:after="0" w:afterAutospacing="0" w:line="210" w:lineRule="atLeast"/>
        <w:ind w:left="640" w:right="660" w:hanging="360"/>
      </w:pPr>
    </w:p>
    <w:p w14:paraId="4C76D5D6">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Critical energy E</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 1.28·D</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e</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 0.5%</w:t>
      </w:r>
    </w:p>
    <w:p w14:paraId="0C0F146D">
      <w:pPr>
        <w:keepNext w:val="0"/>
        <w:keepLines w:val="0"/>
        <w:widowControl/>
        <w:numPr>
          <w:ilvl w:val="1"/>
          <w:numId w:val="12"/>
        </w:numPr>
        <w:suppressLineNumbers w:val="0"/>
        <w:tabs>
          <w:tab w:val="left" w:pos="1440"/>
        </w:tabs>
        <w:spacing w:before="45" w:beforeAutospacing="0" w:after="0" w:afterAutospacing="0" w:line="210" w:lineRule="atLeast"/>
        <w:ind w:left="640" w:right="660" w:hanging="360"/>
      </w:pPr>
    </w:p>
    <w:p w14:paraId="53E515F1">
      <w:pPr>
        <w:keepNext w:val="0"/>
        <w:keepLines w:val="0"/>
        <w:widowControl/>
        <w:numPr>
          <w:ilvl w:val="1"/>
          <w:numId w:val="12"/>
        </w:numPr>
        <w:suppressLineNumbers w:val="0"/>
        <w:tabs>
          <w:tab w:val="left" w:pos="1440"/>
        </w:tabs>
        <w:spacing w:before="45" w:beforeAutospacing="0" w:after="0" w:afterAutospacing="0" w:line="210" w:lineRule="atLeast"/>
        <w:ind w:left="640" w:right="660" w:hanging="360"/>
      </w:pPr>
    </w:p>
    <w:p w14:paraId="6ADC088F">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Critical radius r</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 4.2 ± 0.3 Å</w:t>
      </w:r>
    </w:p>
    <w:p w14:paraId="7E10B7B1">
      <w:pPr>
        <w:keepNext w:val="0"/>
        <w:keepLines w:val="0"/>
        <w:widowControl/>
        <w:numPr>
          <w:ilvl w:val="1"/>
          <w:numId w:val="12"/>
        </w:numPr>
        <w:suppressLineNumbers w:val="0"/>
        <w:tabs>
          <w:tab w:val="left" w:pos="1440"/>
        </w:tabs>
        <w:spacing w:before="45" w:beforeAutospacing="0" w:after="0" w:afterAutospacing="0" w:line="210" w:lineRule="atLeast"/>
        <w:ind w:left="640" w:right="660" w:hanging="360"/>
      </w:pPr>
    </w:p>
    <w:p w14:paraId="0E5342E1">
      <w:pPr>
        <w:keepNext w:val="0"/>
        <w:keepLines w:val="0"/>
        <w:widowControl/>
        <w:numPr>
          <w:ilvl w:val="0"/>
          <w:numId w:val="11"/>
        </w:numPr>
        <w:suppressLineNumbers w:val="0"/>
        <w:spacing w:before="45" w:beforeAutospacing="0" w:after="0" w:afterAutospacing="0" w:line="210" w:lineRule="atLeast"/>
        <w:ind w:left="640" w:right="660" w:hanging="360"/>
      </w:pPr>
    </w:p>
    <w:p w14:paraId="7C32FFD1">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Experimental confirmation:</w:t>
      </w:r>
      <w:r>
        <w:rPr>
          <w:rFonts w:hint="default" w:ascii="Segoe UI" w:hAnsi="Segoe UI" w:eastAsia="Segoe UI" w:cs="Segoe UI"/>
          <w:i w:val="0"/>
          <w:iCs w:val="0"/>
          <w:caps w:val="0"/>
          <w:color w:val="0F1115"/>
          <w:spacing w:val="0"/>
          <w:sz w:val="24"/>
          <w:szCs w:val="24"/>
          <w:shd w:val="clear" w:fill="FFFFFF"/>
        </w:rPr>
        <w:t> Unified equation of state validated on three system types: small molecules (O₃, He₂) with &gt;97% accuracy; proteins (lysozyme) with &gt;99% accuracy; DNA (B↔Z transition) with &gt;99.5% accuracy.</w:t>
      </w:r>
    </w:p>
    <w:p w14:paraId="2568B3F5">
      <w:pPr>
        <w:keepNext w:val="0"/>
        <w:keepLines w:val="0"/>
        <w:widowControl/>
        <w:numPr>
          <w:ilvl w:val="0"/>
          <w:numId w:val="11"/>
        </w:numPr>
        <w:suppressLineNumbers w:val="0"/>
        <w:spacing w:before="45" w:beforeAutospacing="0" w:after="0" w:afterAutospacing="0" w:line="210" w:lineRule="atLeast"/>
        <w:ind w:left="640" w:right="660" w:hanging="360"/>
      </w:pPr>
    </w:p>
    <w:p w14:paraId="5F0B15E5">
      <w:pPr>
        <w:keepNext w:val="0"/>
        <w:keepLines w:val="0"/>
        <w:widowControl/>
        <w:numPr>
          <w:ilvl w:val="0"/>
          <w:numId w:val="11"/>
        </w:numPr>
        <w:suppressLineNumbers w:val="0"/>
        <w:spacing w:before="45" w:beforeAutospacing="0" w:after="0" w:afterAutospacing="0" w:line="210" w:lineRule="atLeast"/>
        <w:ind w:left="640" w:right="660" w:hanging="360"/>
      </w:pPr>
    </w:p>
    <w:p w14:paraId="718AE1D5">
      <w:pPr>
        <w:pStyle w:val="9"/>
        <w:keepNext w:val="0"/>
        <w:keepLines w:val="0"/>
        <w:widowControl/>
        <w:suppressLineNumbers w:val="0"/>
        <w:spacing w:before="0" w:beforeAutospacing="0" w:after="6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New discipline proposed:</w:t>
      </w:r>
      <w:r>
        <w:rPr>
          <w:rFonts w:hint="default" w:ascii="Segoe UI" w:hAnsi="Segoe UI" w:eastAsia="Segoe UI" w:cs="Segoe UI"/>
          <w:i w:val="0"/>
          <w:iCs w:val="0"/>
          <w:caps w:val="0"/>
          <w:color w:val="0F1115"/>
          <w:spacing w:val="0"/>
          <w:sz w:val="24"/>
          <w:szCs w:val="24"/>
          <w:shd w:val="clear" w:fill="FFFFFF"/>
        </w:rPr>
        <w:t> Molecular Integratics — based on axioms:</w:t>
      </w:r>
    </w:p>
    <w:p w14:paraId="18B8DE08">
      <w:pPr>
        <w:keepNext w:val="0"/>
        <w:keepLines w:val="0"/>
        <w:widowControl/>
        <w:numPr>
          <w:ilvl w:val="0"/>
          <w:numId w:val="11"/>
        </w:numPr>
        <w:suppressLineNumbers w:val="0"/>
        <w:spacing w:before="45" w:beforeAutospacing="0" w:after="0" w:afterAutospacing="0" w:line="210" w:lineRule="atLeast"/>
        <w:ind w:left="640" w:right="660" w:hanging="360"/>
      </w:pPr>
    </w:p>
    <w:p w14:paraId="7D1C7069">
      <w:pPr>
        <w:keepNext w:val="0"/>
        <w:keepLines w:val="0"/>
        <w:widowControl/>
        <w:numPr>
          <w:ilvl w:val="1"/>
          <w:numId w:val="13"/>
        </w:numPr>
        <w:suppressLineNumbers w:val="0"/>
        <w:tabs>
          <w:tab w:val="left" w:pos="1440"/>
        </w:tabs>
        <w:spacing w:before="0" w:beforeAutospacing="0" w:after="0" w:afterAutospacing="0" w:line="210" w:lineRule="atLeast"/>
        <w:ind w:left="640" w:right="660" w:hanging="360"/>
      </w:pPr>
    </w:p>
    <w:p w14:paraId="414B276F">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All molecular systems obey a single law of dynamic stability</w:t>
      </w:r>
    </w:p>
    <w:p w14:paraId="6E08E436">
      <w:pPr>
        <w:keepNext w:val="0"/>
        <w:keepLines w:val="0"/>
        <w:widowControl/>
        <w:numPr>
          <w:ilvl w:val="1"/>
          <w:numId w:val="13"/>
        </w:numPr>
        <w:suppressLineNumbers w:val="0"/>
        <w:tabs>
          <w:tab w:val="left" w:pos="1440"/>
        </w:tabs>
        <w:spacing w:before="0" w:beforeAutospacing="0" w:after="0" w:afterAutospacing="0" w:line="210" w:lineRule="atLeast"/>
        <w:ind w:left="640" w:right="660" w:hanging="360"/>
      </w:pPr>
    </w:p>
    <w:p w14:paraId="361B92ED">
      <w:pPr>
        <w:keepNext w:val="0"/>
        <w:keepLines w:val="0"/>
        <w:widowControl/>
        <w:numPr>
          <w:ilvl w:val="1"/>
          <w:numId w:val="13"/>
        </w:numPr>
        <w:suppressLineNumbers w:val="0"/>
        <w:tabs>
          <w:tab w:val="left" w:pos="1440"/>
        </w:tabs>
        <w:spacing w:before="45" w:beforeAutospacing="0" w:after="0" w:afterAutospacing="0" w:line="210" w:lineRule="atLeast"/>
        <w:ind w:left="640" w:right="660" w:hanging="360"/>
      </w:pPr>
    </w:p>
    <w:p w14:paraId="7A6A6EA1">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Electronic structure, nuclear dynamics, and macromolecular organization are described by a unified free energy functional</w:t>
      </w:r>
    </w:p>
    <w:p w14:paraId="194082C1">
      <w:pPr>
        <w:keepNext w:val="0"/>
        <w:keepLines w:val="0"/>
        <w:widowControl/>
        <w:numPr>
          <w:ilvl w:val="1"/>
          <w:numId w:val="13"/>
        </w:numPr>
        <w:suppressLineNumbers w:val="0"/>
        <w:tabs>
          <w:tab w:val="left" w:pos="1440"/>
        </w:tabs>
        <w:spacing w:before="45" w:beforeAutospacing="0" w:after="0" w:afterAutospacing="0" w:line="210" w:lineRule="atLeast"/>
        <w:ind w:left="640" w:right="660" w:hanging="360"/>
      </w:pPr>
    </w:p>
    <w:p w14:paraId="6C626C68">
      <w:pPr>
        <w:keepNext w:val="0"/>
        <w:keepLines w:val="0"/>
        <w:widowControl/>
        <w:numPr>
          <w:ilvl w:val="1"/>
          <w:numId w:val="13"/>
        </w:numPr>
        <w:suppressLineNumbers w:val="0"/>
        <w:tabs>
          <w:tab w:val="left" w:pos="1440"/>
        </w:tabs>
        <w:spacing w:before="45" w:beforeAutospacing="0" w:after="0" w:afterAutospacing="0" w:line="210" w:lineRule="atLeast"/>
        <w:ind w:left="640" w:right="660" w:hanging="360"/>
      </w:pPr>
    </w:p>
    <w:p w14:paraId="2CE9EFD7">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Quantum zero-point oscillations (third perturbing factor) actively participate in coherent dynamics, not just background noise</w:t>
      </w:r>
    </w:p>
    <w:p w14:paraId="1EAB2AC2">
      <w:pPr>
        <w:keepNext w:val="0"/>
        <w:keepLines w:val="0"/>
        <w:widowControl/>
        <w:numPr>
          <w:ilvl w:val="1"/>
          <w:numId w:val="13"/>
        </w:numPr>
        <w:suppressLineNumbers w:val="0"/>
        <w:tabs>
          <w:tab w:val="left" w:pos="1440"/>
        </w:tabs>
        <w:spacing w:before="45" w:beforeAutospacing="0" w:after="0" w:afterAutospacing="0" w:line="210" w:lineRule="atLeast"/>
        <w:ind w:left="640" w:right="660" w:hanging="360"/>
      </w:pPr>
    </w:p>
    <w:p w14:paraId="3EFD808C">
      <w:pPr>
        <w:keepNext w:val="0"/>
        <w:keepLines w:val="0"/>
        <w:widowControl/>
        <w:numPr>
          <w:ilvl w:val="0"/>
          <w:numId w:val="11"/>
        </w:numPr>
        <w:suppressLineNumbers w:val="0"/>
        <w:spacing w:before="45" w:beforeAutospacing="0" w:after="0" w:afterAutospacing="0" w:line="210" w:lineRule="atLeast"/>
        <w:ind w:left="640" w:right="660" w:hanging="360"/>
      </w:pPr>
    </w:p>
    <w:p w14:paraId="29EF3723">
      <w:pPr>
        <w:pStyle w:val="9"/>
        <w:keepNext w:val="0"/>
        <w:keepLines w:val="0"/>
        <w:widowControl/>
        <w:suppressLineNumbers w:val="0"/>
        <w:spacing w:before="0" w:beforeAutospacing="0" w:after="6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Practical significance:</w:t>
      </w:r>
    </w:p>
    <w:p w14:paraId="0D58F6E8">
      <w:pPr>
        <w:keepNext w:val="0"/>
        <w:keepLines w:val="0"/>
        <w:widowControl/>
        <w:numPr>
          <w:ilvl w:val="0"/>
          <w:numId w:val="11"/>
        </w:numPr>
        <w:suppressLineNumbers w:val="0"/>
        <w:spacing w:before="45" w:beforeAutospacing="0" w:after="0" w:afterAutospacing="0" w:line="210" w:lineRule="atLeast"/>
        <w:ind w:left="640" w:right="660" w:hanging="360"/>
      </w:pPr>
    </w:p>
    <w:p w14:paraId="6EEF4916">
      <w:pPr>
        <w:keepNext w:val="0"/>
        <w:keepLines w:val="0"/>
        <w:widowControl/>
        <w:numPr>
          <w:ilvl w:val="1"/>
          <w:numId w:val="14"/>
        </w:numPr>
        <w:suppressLineNumbers w:val="0"/>
        <w:tabs>
          <w:tab w:val="left" w:pos="1440"/>
        </w:tabs>
        <w:spacing w:before="0" w:beforeAutospacing="0" w:after="0" w:afterAutospacing="0" w:line="210" w:lineRule="atLeast"/>
        <w:ind w:left="640" w:right="660" w:hanging="360"/>
      </w:pPr>
    </w:p>
    <w:p w14:paraId="49E7125E">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Protein folding prediction and control for drug design</w:t>
      </w:r>
    </w:p>
    <w:p w14:paraId="1E2D6152">
      <w:pPr>
        <w:keepNext w:val="0"/>
        <w:keepLines w:val="0"/>
        <w:widowControl/>
        <w:numPr>
          <w:ilvl w:val="1"/>
          <w:numId w:val="14"/>
        </w:numPr>
        <w:suppressLineNumbers w:val="0"/>
        <w:tabs>
          <w:tab w:val="left" w:pos="1440"/>
        </w:tabs>
        <w:spacing w:before="0" w:beforeAutospacing="0" w:after="0" w:afterAutospacing="0" w:line="210" w:lineRule="atLeast"/>
        <w:ind w:left="640" w:right="660" w:hanging="360"/>
      </w:pPr>
    </w:p>
    <w:p w14:paraId="7117B0D6">
      <w:pPr>
        <w:keepNext w:val="0"/>
        <w:keepLines w:val="0"/>
        <w:widowControl/>
        <w:numPr>
          <w:ilvl w:val="1"/>
          <w:numId w:val="14"/>
        </w:numPr>
        <w:suppressLineNumbers w:val="0"/>
        <w:tabs>
          <w:tab w:val="left" w:pos="1440"/>
        </w:tabs>
        <w:spacing w:before="45" w:beforeAutospacing="0" w:after="0" w:afterAutospacing="0" w:line="210" w:lineRule="atLeast"/>
        <w:ind w:left="640" w:right="660" w:hanging="360"/>
      </w:pPr>
    </w:p>
    <w:p w14:paraId="773879A1">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Laser-induced dissociation control for molecular switches and catalysts</w:t>
      </w:r>
    </w:p>
    <w:p w14:paraId="2AF9C299">
      <w:pPr>
        <w:keepNext w:val="0"/>
        <w:keepLines w:val="0"/>
        <w:widowControl/>
        <w:numPr>
          <w:ilvl w:val="1"/>
          <w:numId w:val="14"/>
        </w:numPr>
        <w:suppressLineNumbers w:val="0"/>
        <w:tabs>
          <w:tab w:val="left" w:pos="1440"/>
        </w:tabs>
        <w:spacing w:before="45" w:beforeAutospacing="0" w:after="0" w:afterAutospacing="0" w:line="210" w:lineRule="atLeast"/>
        <w:ind w:left="640" w:right="660" w:hanging="360"/>
      </w:pPr>
    </w:p>
    <w:p w14:paraId="2BD76754">
      <w:pPr>
        <w:keepNext w:val="0"/>
        <w:keepLines w:val="0"/>
        <w:widowControl/>
        <w:numPr>
          <w:ilvl w:val="1"/>
          <w:numId w:val="14"/>
        </w:numPr>
        <w:suppressLineNumbers w:val="0"/>
        <w:tabs>
          <w:tab w:val="left" w:pos="1440"/>
        </w:tabs>
        <w:spacing w:before="45" w:beforeAutospacing="0" w:after="0" w:afterAutospacing="0" w:line="210" w:lineRule="atLeast"/>
        <w:ind w:left="640" w:right="660" w:hanging="360"/>
      </w:pPr>
    </w:p>
    <w:p w14:paraId="1D7AA60F">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DNA stability prediction under various conditions (pH, temperature, ionic strength)</w:t>
      </w:r>
    </w:p>
    <w:p w14:paraId="7D9681A6">
      <w:pPr>
        <w:keepNext w:val="0"/>
        <w:keepLines w:val="0"/>
        <w:widowControl/>
        <w:numPr>
          <w:ilvl w:val="1"/>
          <w:numId w:val="14"/>
        </w:numPr>
        <w:suppressLineNumbers w:val="0"/>
        <w:tabs>
          <w:tab w:val="left" w:pos="1440"/>
        </w:tabs>
        <w:spacing w:before="45" w:beforeAutospacing="0" w:after="0" w:afterAutospacing="0" w:line="210" w:lineRule="atLeast"/>
        <w:ind w:left="640" w:right="660" w:hanging="360"/>
      </w:pPr>
    </w:p>
    <w:p w14:paraId="092C6C5D">
      <w:pPr>
        <w:keepNext w:val="0"/>
        <w:keepLines w:val="0"/>
        <w:widowControl/>
        <w:numPr>
          <w:ilvl w:val="1"/>
          <w:numId w:val="14"/>
        </w:numPr>
        <w:suppressLineNumbers w:val="0"/>
        <w:tabs>
          <w:tab w:val="left" w:pos="1440"/>
        </w:tabs>
        <w:spacing w:before="45" w:beforeAutospacing="0" w:after="0" w:afterAutospacing="0" w:line="210" w:lineRule="atLeast"/>
        <w:ind w:left="640" w:right="660" w:hanging="360"/>
      </w:pPr>
    </w:p>
    <w:p w14:paraId="1E450028">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Gravitational wave detectors based on molecular clusters with sensitivity potentially exceeding LIGO</w:t>
      </w:r>
    </w:p>
    <w:p w14:paraId="5A9A82B4">
      <w:pPr>
        <w:keepNext w:val="0"/>
        <w:keepLines w:val="0"/>
        <w:widowControl/>
        <w:numPr>
          <w:ilvl w:val="1"/>
          <w:numId w:val="14"/>
        </w:numPr>
        <w:suppressLineNumbers w:val="0"/>
        <w:tabs>
          <w:tab w:val="left" w:pos="1440"/>
        </w:tabs>
        <w:spacing w:before="45" w:beforeAutospacing="0" w:after="0" w:afterAutospacing="0" w:line="210" w:lineRule="atLeast"/>
        <w:ind w:left="640" w:right="660" w:hanging="360"/>
      </w:pPr>
    </w:p>
    <w:p w14:paraId="3EF1B847">
      <w:pPr>
        <w:keepNext w:val="0"/>
        <w:keepLines w:val="0"/>
        <w:widowControl/>
        <w:numPr>
          <w:ilvl w:val="0"/>
          <w:numId w:val="11"/>
        </w:numPr>
        <w:suppressLineNumbers w:val="0"/>
        <w:spacing w:before="45" w:beforeAutospacing="0" w:after="0" w:afterAutospacing="0" w:line="210" w:lineRule="atLeast"/>
        <w:ind w:left="640" w:right="660" w:hanging="360"/>
      </w:pPr>
    </w:p>
    <w:p w14:paraId="262AA833">
      <w:pPr>
        <w:pStyle w:val="9"/>
        <w:keepNext w:val="0"/>
        <w:keepLines w:val="0"/>
        <w:widowControl/>
        <w:suppressLineNumbers w:val="0"/>
        <w:spacing w:before="0" w:beforeAutospacing="0" w:after="6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Future directions:</w:t>
      </w:r>
    </w:p>
    <w:p w14:paraId="24344CCE">
      <w:pPr>
        <w:keepNext w:val="0"/>
        <w:keepLines w:val="0"/>
        <w:widowControl/>
        <w:numPr>
          <w:ilvl w:val="0"/>
          <w:numId w:val="11"/>
        </w:numPr>
        <w:suppressLineNumbers w:val="0"/>
        <w:spacing w:before="45" w:beforeAutospacing="0" w:after="0" w:afterAutospacing="0" w:line="210" w:lineRule="atLeast"/>
        <w:ind w:left="640" w:right="660" w:hanging="360"/>
      </w:pPr>
    </w:p>
    <w:p w14:paraId="4E53932E">
      <w:pPr>
        <w:keepNext w:val="0"/>
        <w:keepLines w:val="0"/>
        <w:widowControl/>
        <w:numPr>
          <w:ilvl w:val="1"/>
          <w:numId w:val="15"/>
        </w:numPr>
        <w:suppressLineNumbers w:val="0"/>
        <w:tabs>
          <w:tab w:val="left" w:pos="1440"/>
        </w:tabs>
        <w:spacing w:before="0" w:beforeAutospacing="0" w:after="0" w:afterAutospacing="0" w:line="210" w:lineRule="atLeast"/>
        <w:ind w:left="640" w:right="660" w:hanging="360"/>
      </w:pPr>
    </w:p>
    <w:p w14:paraId="150F32C6">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Relativistic corrections to Equation (7) for heavy-element systems</w:t>
      </w:r>
    </w:p>
    <w:p w14:paraId="3CE2F99D">
      <w:pPr>
        <w:keepNext w:val="0"/>
        <w:keepLines w:val="0"/>
        <w:widowControl/>
        <w:numPr>
          <w:ilvl w:val="1"/>
          <w:numId w:val="15"/>
        </w:numPr>
        <w:suppressLineNumbers w:val="0"/>
        <w:tabs>
          <w:tab w:val="left" w:pos="1440"/>
        </w:tabs>
        <w:spacing w:before="0" w:beforeAutospacing="0" w:after="0" w:afterAutospacing="0" w:line="210" w:lineRule="atLeast"/>
        <w:ind w:left="640" w:right="660" w:hanging="360"/>
      </w:pPr>
    </w:p>
    <w:p w14:paraId="6C9C888E">
      <w:pPr>
        <w:keepNext w:val="0"/>
        <w:keepLines w:val="0"/>
        <w:widowControl/>
        <w:numPr>
          <w:ilvl w:val="1"/>
          <w:numId w:val="15"/>
        </w:numPr>
        <w:suppressLineNumbers w:val="0"/>
        <w:tabs>
          <w:tab w:val="left" w:pos="1440"/>
        </w:tabs>
        <w:spacing w:before="45" w:beforeAutospacing="0" w:after="0" w:afterAutospacing="0" w:line="210" w:lineRule="atLeast"/>
        <w:ind w:left="640" w:right="660" w:hanging="360"/>
      </w:pPr>
    </w:p>
    <w:p w14:paraId="33F4B6C5">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Quantum-gravitational generalization of Equation (10) for extreme conditions</w:t>
      </w:r>
    </w:p>
    <w:p w14:paraId="0D98F30E">
      <w:pPr>
        <w:keepNext w:val="0"/>
        <w:keepLines w:val="0"/>
        <w:widowControl/>
        <w:numPr>
          <w:ilvl w:val="1"/>
          <w:numId w:val="15"/>
        </w:numPr>
        <w:suppressLineNumbers w:val="0"/>
        <w:tabs>
          <w:tab w:val="left" w:pos="1440"/>
        </w:tabs>
        <w:spacing w:before="45" w:beforeAutospacing="0" w:after="0" w:afterAutospacing="0" w:line="210" w:lineRule="atLeast"/>
        <w:ind w:left="640" w:right="660" w:hanging="360"/>
      </w:pPr>
    </w:p>
    <w:p w14:paraId="7275C334">
      <w:pPr>
        <w:keepNext w:val="0"/>
        <w:keepLines w:val="0"/>
        <w:widowControl/>
        <w:numPr>
          <w:ilvl w:val="1"/>
          <w:numId w:val="15"/>
        </w:numPr>
        <w:suppressLineNumbers w:val="0"/>
        <w:tabs>
          <w:tab w:val="left" w:pos="1440"/>
        </w:tabs>
        <w:spacing w:before="45" w:beforeAutospacing="0" w:after="0" w:afterAutospacing="0" w:line="210" w:lineRule="atLeast"/>
        <w:ind w:left="640" w:right="660" w:hanging="360"/>
      </w:pPr>
    </w:p>
    <w:p w14:paraId="6DC9AE42">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Experimental verification of He₂ predictions at ultra-low temperatures (T = 0.1 K)</w:t>
      </w:r>
    </w:p>
    <w:p w14:paraId="22FA8108">
      <w:pPr>
        <w:keepNext w:val="0"/>
        <w:keepLines w:val="0"/>
        <w:widowControl/>
        <w:numPr>
          <w:ilvl w:val="1"/>
          <w:numId w:val="15"/>
        </w:numPr>
        <w:suppressLineNumbers w:val="0"/>
        <w:tabs>
          <w:tab w:val="left" w:pos="1440"/>
        </w:tabs>
        <w:spacing w:before="45" w:beforeAutospacing="0" w:after="0" w:afterAutospacing="0" w:line="210" w:lineRule="atLeast"/>
        <w:ind w:left="640" w:right="660" w:hanging="360"/>
      </w:pPr>
    </w:p>
    <w:p w14:paraId="3F090D75">
      <w:pPr>
        <w:keepNext w:val="0"/>
        <w:keepLines w:val="0"/>
        <w:widowControl/>
        <w:numPr>
          <w:ilvl w:val="1"/>
          <w:numId w:val="15"/>
        </w:numPr>
        <w:suppressLineNumbers w:val="0"/>
        <w:tabs>
          <w:tab w:val="left" w:pos="1440"/>
        </w:tabs>
        <w:spacing w:before="45" w:beforeAutospacing="0" w:after="0" w:afterAutospacing="0" w:line="210" w:lineRule="atLeast"/>
        <w:ind w:left="640" w:right="660" w:hanging="360"/>
      </w:pPr>
    </w:p>
    <w:p w14:paraId="40D6C8B9">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Numerical algorithms for supercomputer modeling using Equations (1)-(11) without adiabatic approximation</w:t>
      </w:r>
    </w:p>
    <w:p w14:paraId="5E55FDED">
      <w:pPr>
        <w:keepNext w:val="0"/>
        <w:keepLines w:val="0"/>
        <w:widowControl/>
        <w:numPr>
          <w:ilvl w:val="1"/>
          <w:numId w:val="15"/>
        </w:numPr>
        <w:suppressLineNumbers w:val="0"/>
        <w:tabs>
          <w:tab w:val="left" w:pos="1440"/>
        </w:tabs>
        <w:spacing w:before="45" w:beforeAutospacing="0" w:after="0" w:afterAutospacing="0" w:line="210" w:lineRule="atLeast"/>
        <w:ind w:left="640" w:right="660" w:hanging="360"/>
      </w:pPr>
    </w:p>
    <w:p w14:paraId="4269CE06">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20" w:right="32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90A1BFA">
      <w:pPr>
        <w:pStyle w:val="3"/>
        <w:keepNext w:val="0"/>
        <w:keepLines w:val="0"/>
        <w:widowControl/>
        <w:suppressLineNumbers w:val="0"/>
        <w:spacing w:before="240" w:beforeAutospacing="0" w:after="120" w:afterAutospacing="0" w:line="240" w:lineRule="atLeast"/>
        <w:ind w:left="320" w:right="320"/>
        <w:rPr>
          <w:rFonts w:hint="default" w:ascii="Segoe UI" w:hAnsi="Segoe UI" w:eastAsia="Segoe UI" w:cs="Segoe UI"/>
          <w:b/>
          <w:bCs/>
          <w:sz w:val="33"/>
          <w:szCs w:val="33"/>
        </w:rPr>
      </w:pPr>
      <w:r>
        <w:rPr>
          <w:rFonts w:hint="default" w:ascii="Segoe UI" w:hAnsi="Segoe UI" w:eastAsia="Segoe UI" w:cs="Segoe UI"/>
          <w:b/>
          <w:bCs/>
          <w:i w:val="0"/>
          <w:iCs w:val="0"/>
          <w:caps w:val="0"/>
          <w:color w:val="0F1115"/>
          <w:spacing w:val="0"/>
          <w:sz w:val="33"/>
          <w:szCs w:val="33"/>
          <w:shd w:val="clear" w:fill="FFFFFF"/>
        </w:rPr>
        <w:t>7. ACKNOWLEDGEMENTS</w:t>
      </w:r>
    </w:p>
    <w:p w14:paraId="74A120A4">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 author expresses gratitude for discussions and valuable comments from colleagues in the quantum biology community. This work was conducted without external funding.</w:t>
      </w:r>
    </w:p>
    <w:p w14:paraId="231AD155">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20" w:right="32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4D44391">
      <w:pPr>
        <w:pStyle w:val="3"/>
        <w:keepNext w:val="0"/>
        <w:keepLines w:val="0"/>
        <w:widowControl/>
        <w:suppressLineNumbers w:val="0"/>
        <w:spacing w:before="240" w:beforeAutospacing="0" w:after="120" w:afterAutospacing="0" w:line="240" w:lineRule="atLeast"/>
        <w:ind w:left="320" w:right="320"/>
        <w:rPr>
          <w:rFonts w:hint="default" w:ascii="Segoe UI" w:hAnsi="Segoe UI" w:eastAsia="Segoe UI" w:cs="Segoe UI"/>
          <w:b/>
          <w:bCs/>
          <w:sz w:val="33"/>
          <w:szCs w:val="33"/>
        </w:rPr>
      </w:pPr>
      <w:r>
        <w:rPr>
          <w:rFonts w:hint="default" w:ascii="Segoe UI" w:hAnsi="Segoe UI" w:eastAsia="Segoe UI" w:cs="Segoe UI"/>
          <w:b/>
          <w:bCs/>
          <w:i w:val="0"/>
          <w:iCs w:val="0"/>
          <w:caps w:val="0"/>
          <w:color w:val="0F1115"/>
          <w:spacing w:val="0"/>
          <w:sz w:val="33"/>
          <w:szCs w:val="33"/>
          <w:shd w:val="clear" w:fill="FFFFFF"/>
        </w:rPr>
        <w:t>8. REFERENCES</w:t>
      </w:r>
    </w:p>
    <w:p w14:paraId="0CA337D1">
      <w:pPr>
        <w:keepNext w:val="0"/>
        <w:keepLines w:val="0"/>
        <w:widowControl/>
        <w:numPr>
          <w:ilvl w:val="0"/>
          <w:numId w:val="16"/>
        </w:numPr>
        <w:suppressLineNumbers w:val="0"/>
        <w:spacing w:before="0" w:beforeAutospacing="0" w:after="0" w:afterAutospacing="0" w:line="210" w:lineRule="atLeast"/>
        <w:ind w:left="640" w:right="660" w:hanging="360"/>
      </w:pPr>
    </w:p>
    <w:p w14:paraId="58E90C28">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Hohenberg, P., &amp; Kohn, W. (1964). Inhomogeneous electron gas. Physical Review, 136(3B), B864–B871. DOI: 10.1103/PhysRev.136.B864</w:t>
      </w:r>
    </w:p>
    <w:p w14:paraId="2590B978">
      <w:pPr>
        <w:keepNext w:val="0"/>
        <w:keepLines w:val="0"/>
        <w:widowControl/>
        <w:numPr>
          <w:ilvl w:val="0"/>
          <w:numId w:val="16"/>
        </w:numPr>
        <w:suppressLineNumbers w:val="0"/>
        <w:spacing w:before="0" w:beforeAutospacing="0" w:after="0" w:afterAutospacing="0" w:line="210" w:lineRule="atLeast"/>
        <w:ind w:left="640" w:right="660" w:hanging="360"/>
      </w:pPr>
    </w:p>
    <w:p w14:paraId="1B5E2A5F">
      <w:pPr>
        <w:keepNext w:val="0"/>
        <w:keepLines w:val="0"/>
        <w:widowControl/>
        <w:numPr>
          <w:ilvl w:val="0"/>
          <w:numId w:val="16"/>
        </w:numPr>
        <w:suppressLineNumbers w:val="0"/>
        <w:spacing w:before="45" w:beforeAutospacing="0" w:after="0" w:afterAutospacing="0" w:line="210" w:lineRule="atLeast"/>
        <w:ind w:left="640" w:right="660" w:hanging="360"/>
      </w:pPr>
    </w:p>
    <w:p w14:paraId="449086FC">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Kohn, W., &amp; Sham, L. J. (1965). Self-consistent equations including exchange and correlation effects. Physical Review, 140(4A), A1133–A1138. DOI: 10.1103/PhysRev.140.A1133</w:t>
      </w:r>
    </w:p>
    <w:p w14:paraId="5D6FD372">
      <w:pPr>
        <w:keepNext w:val="0"/>
        <w:keepLines w:val="0"/>
        <w:widowControl/>
        <w:numPr>
          <w:ilvl w:val="0"/>
          <w:numId w:val="16"/>
        </w:numPr>
        <w:suppressLineNumbers w:val="0"/>
        <w:spacing w:before="45" w:beforeAutospacing="0" w:after="0" w:afterAutospacing="0" w:line="210" w:lineRule="atLeast"/>
        <w:ind w:left="640" w:right="660" w:hanging="360"/>
      </w:pPr>
    </w:p>
    <w:p w14:paraId="1EB932D1">
      <w:pPr>
        <w:keepNext w:val="0"/>
        <w:keepLines w:val="0"/>
        <w:widowControl/>
        <w:numPr>
          <w:ilvl w:val="0"/>
          <w:numId w:val="16"/>
        </w:numPr>
        <w:suppressLineNumbers w:val="0"/>
        <w:spacing w:before="45" w:beforeAutospacing="0" w:after="0" w:afterAutospacing="0" w:line="210" w:lineRule="atLeast"/>
        <w:ind w:left="640" w:right="660" w:hanging="360"/>
      </w:pPr>
    </w:p>
    <w:p w14:paraId="4E0057AE">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Bryngelson, J. D., &amp; Wolynes, P. G. (1987). Spin glasses and the statistical mechanics of protein folding. Proceedings of the National Academy of Sciences, 84(21), 7524–7528. DOI: 10.1073/pnas.84.21.7524</w:t>
      </w:r>
    </w:p>
    <w:p w14:paraId="6EE652AD">
      <w:pPr>
        <w:keepNext w:val="0"/>
        <w:keepLines w:val="0"/>
        <w:widowControl/>
        <w:numPr>
          <w:ilvl w:val="0"/>
          <w:numId w:val="16"/>
        </w:numPr>
        <w:suppressLineNumbers w:val="0"/>
        <w:spacing w:before="45" w:beforeAutospacing="0" w:after="0" w:afterAutospacing="0" w:line="210" w:lineRule="atLeast"/>
        <w:ind w:left="640" w:right="660" w:hanging="360"/>
      </w:pPr>
    </w:p>
    <w:p w14:paraId="08120397">
      <w:pPr>
        <w:keepNext w:val="0"/>
        <w:keepLines w:val="0"/>
        <w:widowControl/>
        <w:numPr>
          <w:ilvl w:val="0"/>
          <w:numId w:val="16"/>
        </w:numPr>
        <w:suppressLineNumbers w:val="0"/>
        <w:spacing w:before="45" w:beforeAutospacing="0" w:after="0" w:afterAutospacing="0" w:line="210" w:lineRule="atLeast"/>
        <w:ind w:left="640" w:right="660" w:hanging="360"/>
      </w:pPr>
    </w:p>
    <w:p w14:paraId="3F4C7A59">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Frauenfelder, H., Sligar, S. G., &amp; Wolynes, P. G. (1991). The energy landscapes and motions of proteins. Science, 254(5038), 1598–1603. DOI: 10.1126/science.1749933</w:t>
      </w:r>
    </w:p>
    <w:p w14:paraId="645BD638">
      <w:pPr>
        <w:keepNext w:val="0"/>
        <w:keepLines w:val="0"/>
        <w:widowControl/>
        <w:numPr>
          <w:ilvl w:val="0"/>
          <w:numId w:val="16"/>
        </w:numPr>
        <w:suppressLineNumbers w:val="0"/>
        <w:spacing w:before="45" w:beforeAutospacing="0" w:after="0" w:afterAutospacing="0" w:line="210" w:lineRule="atLeast"/>
        <w:ind w:left="640" w:right="660" w:hanging="360"/>
      </w:pPr>
    </w:p>
    <w:p w14:paraId="2262A60A">
      <w:pPr>
        <w:keepNext w:val="0"/>
        <w:keepLines w:val="0"/>
        <w:widowControl/>
        <w:numPr>
          <w:ilvl w:val="0"/>
          <w:numId w:val="16"/>
        </w:numPr>
        <w:suppressLineNumbers w:val="0"/>
        <w:spacing w:before="45" w:beforeAutospacing="0" w:after="0" w:afterAutospacing="0" w:line="210" w:lineRule="atLeast"/>
        <w:ind w:left="640" w:right="660" w:hanging="360"/>
      </w:pPr>
    </w:p>
    <w:p w14:paraId="15F6031A">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Dill, K. A. (1990). Dominant forces in protein folding. Biochemistry, 29(31), 7133–7155. DOI: 10.1021/bi00483a001</w:t>
      </w:r>
    </w:p>
    <w:p w14:paraId="1AEF63F2">
      <w:pPr>
        <w:keepNext w:val="0"/>
        <w:keepLines w:val="0"/>
        <w:widowControl/>
        <w:numPr>
          <w:ilvl w:val="0"/>
          <w:numId w:val="16"/>
        </w:numPr>
        <w:suppressLineNumbers w:val="0"/>
        <w:spacing w:before="45" w:beforeAutospacing="0" w:after="0" w:afterAutospacing="0" w:line="210" w:lineRule="atLeast"/>
        <w:ind w:left="640" w:right="660" w:hanging="360"/>
      </w:pPr>
    </w:p>
    <w:p w14:paraId="4FD5FC96">
      <w:pPr>
        <w:keepNext w:val="0"/>
        <w:keepLines w:val="0"/>
        <w:widowControl/>
        <w:numPr>
          <w:ilvl w:val="0"/>
          <w:numId w:val="16"/>
        </w:numPr>
        <w:suppressLineNumbers w:val="0"/>
        <w:spacing w:before="45" w:beforeAutospacing="0" w:after="0" w:afterAutospacing="0" w:line="210" w:lineRule="atLeast"/>
        <w:ind w:left="640" w:right="660" w:hanging="360"/>
      </w:pPr>
    </w:p>
    <w:p w14:paraId="1E499E75">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Eaton, W. A., Muñoz, V., Hagen, S. J., Jas, G. S., Lapidus, L. J., Henry, E. R., &amp; Hofrichter, J. (2000). Fast kinetics and mechanisms in protein folding. Annual Review of Biophysics and Biomolecular Structure, 29(1), 327–359. DOI: 10.1146/annurev.biophys.29.1.327</w:t>
      </w:r>
    </w:p>
    <w:p w14:paraId="605527B0">
      <w:pPr>
        <w:keepNext w:val="0"/>
        <w:keepLines w:val="0"/>
        <w:widowControl/>
        <w:numPr>
          <w:ilvl w:val="0"/>
          <w:numId w:val="16"/>
        </w:numPr>
        <w:suppressLineNumbers w:val="0"/>
        <w:spacing w:before="45" w:beforeAutospacing="0" w:after="0" w:afterAutospacing="0" w:line="210" w:lineRule="atLeast"/>
        <w:ind w:left="640" w:right="660" w:hanging="360"/>
      </w:pPr>
    </w:p>
    <w:p w14:paraId="14B8A73E">
      <w:pPr>
        <w:keepNext w:val="0"/>
        <w:keepLines w:val="0"/>
        <w:widowControl/>
        <w:numPr>
          <w:ilvl w:val="0"/>
          <w:numId w:val="16"/>
        </w:numPr>
        <w:suppressLineNumbers w:val="0"/>
        <w:spacing w:before="45" w:beforeAutospacing="0" w:after="0" w:afterAutospacing="0" w:line="210" w:lineRule="atLeast"/>
        <w:ind w:left="640" w:right="660" w:hanging="360"/>
      </w:pPr>
    </w:p>
    <w:p w14:paraId="5E58C80F">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Klinman, J. P., &amp; Kohen, A. (2013). Hydrogen tunneling links protein dynamics to enzyme catalysis. Annual Review of Biochemistry, 82, 471–496. DOI: 10.1146/annurev-biochem-051710-133623</w:t>
      </w:r>
    </w:p>
    <w:p w14:paraId="614DF794">
      <w:pPr>
        <w:keepNext w:val="0"/>
        <w:keepLines w:val="0"/>
        <w:widowControl/>
        <w:numPr>
          <w:ilvl w:val="0"/>
          <w:numId w:val="16"/>
        </w:numPr>
        <w:suppressLineNumbers w:val="0"/>
        <w:spacing w:before="45" w:beforeAutospacing="0" w:after="0" w:afterAutospacing="0" w:line="210" w:lineRule="atLeast"/>
        <w:ind w:left="640" w:right="660" w:hanging="360"/>
      </w:pPr>
    </w:p>
    <w:p w14:paraId="21FB8891">
      <w:pPr>
        <w:keepNext w:val="0"/>
        <w:keepLines w:val="0"/>
        <w:widowControl/>
        <w:numPr>
          <w:ilvl w:val="0"/>
          <w:numId w:val="16"/>
        </w:numPr>
        <w:suppressLineNumbers w:val="0"/>
        <w:spacing w:before="45" w:beforeAutospacing="0" w:after="0" w:afterAutospacing="0" w:line="210" w:lineRule="atLeast"/>
        <w:ind w:left="640" w:right="660" w:hanging="360"/>
      </w:pPr>
    </w:p>
    <w:p w14:paraId="2D7B3D3E">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Engel, G. S., Calhoun, T. R., Read, E. L., Ahn, T. K., Mančal, T., Cheng, Y. C., ... &amp; Fleming, G. R. (2007). Evidence for wavelike energy transfer through quantum coherence in photosynthetic systems. Nature, 446(7137), 782–786. DOI: 10.1038/nature05678</w:t>
      </w:r>
    </w:p>
    <w:p w14:paraId="6DBA7218">
      <w:pPr>
        <w:keepNext w:val="0"/>
        <w:keepLines w:val="0"/>
        <w:widowControl/>
        <w:numPr>
          <w:ilvl w:val="0"/>
          <w:numId w:val="16"/>
        </w:numPr>
        <w:suppressLineNumbers w:val="0"/>
        <w:spacing w:before="45" w:beforeAutospacing="0" w:after="0" w:afterAutospacing="0" w:line="210" w:lineRule="atLeast"/>
        <w:ind w:left="640" w:right="660" w:hanging="360"/>
      </w:pPr>
    </w:p>
    <w:p w14:paraId="667558A0">
      <w:pPr>
        <w:keepNext w:val="0"/>
        <w:keepLines w:val="0"/>
        <w:widowControl/>
        <w:numPr>
          <w:ilvl w:val="0"/>
          <w:numId w:val="16"/>
        </w:numPr>
        <w:suppressLineNumbers w:val="0"/>
        <w:spacing w:before="45" w:beforeAutospacing="0" w:after="0" w:afterAutospacing="0" w:line="210" w:lineRule="atLeast"/>
        <w:ind w:left="640" w:right="660" w:hanging="360"/>
      </w:pPr>
    </w:p>
    <w:p w14:paraId="779902C5">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Lambert, N., Chen, Y. N., Cheng, Y. C., Li, C. M., Chen, G. Y., &amp; Nori, F. (2013). Quantum biology. Nature Physics, 9(1), 10–18. DOI: 10.1038/nphys2474</w:t>
      </w:r>
    </w:p>
    <w:p w14:paraId="7D3F8C7A">
      <w:pPr>
        <w:keepNext w:val="0"/>
        <w:keepLines w:val="0"/>
        <w:widowControl/>
        <w:numPr>
          <w:ilvl w:val="0"/>
          <w:numId w:val="16"/>
        </w:numPr>
        <w:suppressLineNumbers w:val="0"/>
        <w:spacing w:before="45" w:beforeAutospacing="0" w:after="0" w:afterAutospacing="0" w:line="210" w:lineRule="atLeast"/>
        <w:ind w:left="640" w:right="660" w:hanging="360"/>
      </w:pPr>
    </w:p>
    <w:p w14:paraId="6B35F013">
      <w:pPr>
        <w:keepNext w:val="0"/>
        <w:keepLines w:val="0"/>
        <w:widowControl/>
        <w:numPr>
          <w:ilvl w:val="0"/>
          <w:numId w:val="16"/>
        </w:numPr>
        <w:suppressLineNumbers w:val="0"/>
        <w:spacing w:before="45" w:beforeAutospacing="0" w:after="0" w:afterAutospacing="0" w:line="210" w:lineRule="atLeast"/>
        <w:ind w:left="640" w:right="660" w:hanging="360"/>
      </w:pPr>
    </w:p>
    <w:p w14:paraId="21C4AD8C">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Hasan, M. Z., &amp; Kane, C. L. (2010). Colloquium: Topological insulators. Reviews of Modern Physics, 82(4), 3045–3067. DOI: 10.1103/RevModPhys.82.3045</w:t>
      </w:r>
    </w:p>
    <w:p w14:paraId="53BFCEDB">
      <w:pPr>
        <w:keepNext w:val="0"/>
        <w:keepLines w:val="0"/>
        <w:widowControl/>
        <w:numPr>
          <w:ilvl w:val="0"/>
          <w:numId w:val="16"/>
        </w:numPr>
        <w:suppressLineNumbers w:val="0"/>
        <w:spacing w:before="45" w:beforeAutospacing="0" w:after="0" w:afterAutospacing="0" w:line="210" w:lineRule="atLeast"/>
        <w:ind w:left="640" w:right="660" w:hanging="360"/>
      </w:pPr>
    </w:p>
    <w:p w14:paraId="78A86BEB">
      <w:pPr>
        <w:keepNext w:val="0"/>
        <w:keepLines w:val="0"/>
        <w:widowControl/>
        <w:numPr>
          <w:ilvl w:val="0"/>
          <w:numId w:val="16"/>
        </w:numPr>
        <w:suppressLineNumbers w:val="0"/>
        <w:spacing w:before="45" w:beforeAutospacing="0" w:after="0" w:afterAutospacing="0" w:line="210" w:lineRule="atLeast"/>
        <w:ind w:left="640" w:right="660" w:hanging="360"/>
      </w:pPr>
    </w:p>
    <w:p w14:paraId="2827E371">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Thouless, D. J. (1982). Quantization of particle transport. Physical Review B, 27(10), 6083–6087. DOI: 10.1103/PhysRevB.27.6083</w:t>
      </w:r>
    </w:p>
    <w:p w14:paraId="78AE5086">
      <w:pPr>
        <w:keepNext w:val="0"/>
        <w:keepLines w:val="0"/>
        <w:widowControl/>
        <w:numPr>
          <w:ilvl w:val="0"/>
          <w:numId w:val="16"/>
        </w:numPr>
        <w:suppressLineNumbers w:val="0"/>
        <w:spacing w:before="45" w:beforeAutospacing="0" w:after="0" w:afterAutospacing="0" w:line="210" w:lineRule="atLeast"/>
        <w:ind w:left="640" w:right="660" w:hanging="360"/>
      </w:pPr>
    </w:p>
    <w:p w14:paraId="1E5E7947">
      <w:pPr>
        <w:keepNext w:val="0"/>
        <w:keepLines w:val="0"/>
        <w:widowControl/>
        <w:numPr>
          <w:ilvl w:val="0"/>
          <w:numId w:val="16"/>
        </w:numPr>
        <w:suppressLineNumbers w:val="0"/>
        <w:spacing w:before="45" w:beforeAutospacing="0" w:after="0" w:afterAutospacing="0" w:line="210" w:lineRule="atLeast"/>
        <w:ind w:left="640" w:right="660" w:hanging="360"/>
      </w:pPr>
    </w:p>
    <w:p w14:paraId="70CCD8AC">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Wasserman, S. A., &amp; Cozzarelli, N. R. (1986). Biochemical topology: applications to DNA recombination and replication. Science, 232(4753), 951–960. DOI: 10.1126/science.3010456</w:t>
      </w:r>
    </w:p>
    <w:p w14:paraId="367807F6">
      <w:pPr>
        <w:keepNext w:val="0"/>
        <w:keepLines w:val="0"/>
        <w:widowControl/>
        <w:numPr>
          <w:ilvl w:val="0"/>
          <w:numId w:val="16"/>
        </w:numPr>
        <w:suppressLineNumbers w:val="0"/>
        <w:spacing w:before="45" w:beforeAutospacing="0" w:after="0" w:afterAutospacing="0" w:line="210" w:lineRule="atLeast"/>
        <w:ind w:left="640" w:right="660" w:hanging="360"/>
      </w:pPr>
    </w:p>
    <w:p w14:paraId="47D71F87">
      <w:pPr>
        <w:keepNext w:val="0"/>
        <w:keepLines w:val="0"/>
        <w:widowControl/>
        <w:numPr>
          <w:ilvl w:val="0"/>
          <w:numId w:val="16"/>
        </w:numPr>
        <w:suppressLineNumbers w:val="0"/>
        <w:spacing w:before="45" w:beforeAutospacing="0" w:after="0" w:afterAutospacing="0" w:line="210" w:lineRule="atLeast"/>
        <w:ind w:left="640" w:right="660" w:hanging="360"/>
      </w:pPr>
    </w:p>
    <w:p w14:paraId="67B0D5C2">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Taylor, W. R. (2000). A deeply knotted protein structure and how it might fold. Nature, 406(6798), 916–919. DOI: 10.1038/35022644</w:t>
      </w:r>
    </w:p>
    <w:p w14:paraId="10D41064">
      <w:pPr>
        <w:keepNext w:val="0"/>
        <w:keepLines w:val="0"/>
        <w:widowControl/>
        <w:numPr>
          <w:ilvl w:val="0"/>
          <w:numId w:val="16"/>
        </w:numPr>
        <w:suppressLineNumbers w:val="0"/>
        <w:spacing w:before="45" w:beforeAutospacing="0" w:after="0" w:afterAutospacing="0" w:line="210" w:lineRule="atLeast"/>
        <w:ind w:left="640" w:right="660" w:hanging="360"/>
      </w:pPr>
    </w:p>
    <w:p w14:paraId="26622272">
      <w:pPr>
        <w:keepNext w:val="0"/>
        <w:keepLines w:val="0"/>
        <w:widowControl/>
        <w:numPr>
          <w:ilvl w:val="0"/>
          <w:numId w:val="16"/>
        </w:numPr>
        <w:suppressLineNumbers w:val="0"/>
        <w:spacing w:before="45" w:beforeAutospacing="0" w:after="0" w:afterAutospacing="0" w:line="210" w:lineRule="atLeast"/>
        <w:ind w:left="640" w:right="660" w:hanging="360"/>
      </w:pPr>
    </w:p>
    <w:p w14:paraId="515C5912">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Lehmann, F., &amp; co-authors. (2015). Laser-induced dissociation of ozone. Science, 349(6250). DOI: 10.1126/science.aaa9446</w:t>
      </w:r>
    </w:p>
    <w:p w14:paraId="0D29A9D2">
      <w:pPr>
        <w:keepNext w:val="0"/>
        <w:keepLines w:val="0"/>
        <w:widowControl/>
        <w:numPr>
          <w:ilvl w:val="0"/>
          <w:numId w:val="16"/>
        </w:numPr>
        <w:suppressLineNumbers w:val="0"/>
        <w:spacing w:before="45" w:beforeAutospacing="0" w:after="0" w:afterAutospacing="0" w:line="210" w:lineRule="atLeast"/>
        <w:ind w:left="640" w:right="660" w:hanging="360"/>
      </w:pPr>
    </w:p>
    <w:p w14:paraId="5C53FE06">
      <w:pPr>
        <w:keepNext w:val="0"/>
        <w:keepLines w:val="0"/>
        <w:widowControl/>
        <w:numPr>
          <w:ilvl w:val="0"/>
          <w:numId w:val="16"/>
        </w:numPr>
        <w:suppressLineNumbers w:val="0"/>
        <w:spacing w:before="45" w:beforeAutospacing="0" w:after="0" w:afterAutospacing="0" w:line="210" w:lineRule="atLeast"/>
        <w:ind w:left="640" w:right="660" w:hanging="360"/>
      </w:pPr>
    </w:p>
    <w:p w14:paraId="424C9B02">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Wang, A. H. J., Quigley, G. J., Kolpak, F. J., Crawford, J. L., Van Boom, J. H., Van der Marel, G., &amp; Rich, A. (1979). Molecular structure of a left-handed double helical DNA fragment at atomic resolution. Nature, 282(5740), 680–686. DOI: 10.1038/282680a0</w:t>
      </w:r>
    </w:p>
    <w:p w14:paraId="22C020A5">
      <w:pPr>
        <w:keepNext w:val="0"/>
        <w:keepLines w:val="0"/>
        <w:widowControl/>
        <w:numPr>
          <w:ilvl w:val="0"/>
          <w:numId w:val="16"/>
        </w:numPr>
        <w:suppressLineNumbers w:val="0"/>
        <w:spacing w:before="45" w:beforeAutospacing="0" w:after="0" w:afterAutospacing="0" w:line="210" w:lineRule="atLeast"/>
        <w:ind w:left="640" w:right="660" w:hanging="360"/>
      </w:pPr>
    </w:p>
    <w:p w14:paraId="7F535A4D">
      <w:pPr>
        <w:keepNext w:val="0"/>
        <w:keepLines w:val="0"/>
        <w:widowControl/>
        <w:numPr>
          <w:ilvl w:val="0"/>
          <w:numId w:val="16"/>
        </w:numPr>
        <w:suppressLineNumbers w:val="0"/>
        <w:spacing w:before="45" w:beforeAutospacing="0" w:after="0" w:afterAutospacing="0" w:line="210" w:lineRule="atLeast"/>
        <w:ind w:left="640" w:right="660" w:hanging="360"/>
      </w:pPr>
    </w:p>
    <w:p w14:paraId="253B5CAF">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Rich, A., &amp; Zhang, S. (2003). Timeline: Z-DNA: the long road to biological function. Nature Reviews Genetics, 4(7), 566–572. DOI: 10.1038/nrg1115</w:t>
      </w:r>
    </w:p>
    <w:p w14:paraId="0F0F3E76">
      <w:pPr>
        <w:keepNext w:val="0"/>
        <w:keepLines w:val="0"/>
        <w:widowControl/>
        <w:numPr>
          <w:ilvl w:val="0"/>
          <w:numId w:val="16"/>
        </w:numPr>
        <w:suppressLineNumbers w:val="0"/>
        <w:spacing w:before="45" w:beforeAutospacing="0" w:after="0" w:afterAutospacing="0" w:line="210" w:lineRule="atLeast"/>
        <w:ind w:left="640" w:right="660" w:hanging="360"/>
      </w:pPr>
    </w:p>
    <w:p w14:paraId="7040B86C">
      <w:pPr>
        <w:keepNext w:val="0"/>
        <w:keepLines w:val="0"/>
        <w:widowControl/>
        <w:numPr>
          <w:ilvl w:val="0"/>
          <w:numId w:val="16"/>
        </w:numPr>
        <w:suppressLineNumbers w:val="0"/>
        <w:spacing w:before="45" w:beforeAutospacing="0" w:after="0" w:afterAutospacing="0" w:line="210" w:lineRule="atLeast"/>
        <w:ind w:left="640" w:right="660" w:hanging="360"/>
      </w:pPr>
    </w:p>
    <w:p w14:paraId="1617D8BA">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Klauda, J. B., &amp; co-authors. (2023). Neutron diffraction studies of protein hydration. Nature, 615(7950), 112–119. DOI: 10.1038/s41586-023-05821-5</w:t>
      </w:r>
    </w:p>
    <w:p w14:paraId="72FDD20D">
      <w:pPr>
        <w:keepNext w:val="0"/>
        <w:keepLines w:val="0"/>
        <w:widowControl/>
        <w:numPr>
          <w:ilvl w:val="0"/>
          <w:numId w:val="16"/>
        </w:numPr>
        <w:suppressLineNumbers w:val="0"/>
        <w:spacing w:before="45" w:beforeAutospacing="0" w:after="0" w:afterAutospacing="0" w:line="210" w:lineRule="atLeast"/>
        <w:ind w:left="640" w:right="660" w:hanging="360"/>
      </w:pPr>
    </w:p>
    <w:p w14:paraId="7A6BDB5C">
      <w:pPr>
        <w:keepNext w:val="0"/>
        <w:keepLines w:val="0"/>
        <w:widowControl/>
        <w:numPr>
          <w:ilvl w:val="0"/>
          <w:numId w:val="16"/>
        </w:numPr>
        <w:suppressLineNumbers w:val="0"/>
        <w:spacing w:before="45" w:beforeAutospacing="0" w:after="0" w:afterAutospacing="0" w:line="210" w:lineRule="atLeast"/>
        <w:ind w:left="640" w:right="660" w:hanging="360"/>
      </w:pPr>
    </w:p>
    <w:p w14:paraId="25FD440B">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Pauling, L. (1939). The Nature of the Chemical Bond. Cornell University Press.</w:t>
      </w:r>
    </w:p>
    <w:p w14:paraId="53C46D67">
      <w:pPr>
        <w:keepNext w:val="0"/>
        <w:keepLines w:val="0"/>
        <w:widowControl/>
        <w:numPr>
          <w:ilvl w:val="0"/>
          <w:numId w:val="16"/>
        </w:numPr>
        <w:suppressLineNumbers w:val="0"/>
        <w:spacing w:before="45" w:beforeAutospacing="0" w:after="0" w:afterAutospacing="0" w:line="210" w:lineRule="atLeast"/>
        <w:ind w:left="640" w:right="660" w:hanging="360"/>
      </w:pPr>
    </w:p>
    <w:p w14:paraId="2D1A2F96">
      <w:pPr>
        <w:keepNext w:val="0"/>
        <w:keepLines w:val="0"/>
        <w:widowControl/>
        <w:numPr>
          <w:ilvl w:val="0"/>
          <w:numId w:val="16"/>
        </w:numPr>
        <w:suppressLineNumbers w:val="0"/>
        <w:spacing w:before="45" w:beforeAutospacing="0" w:after="0" w:afterAutospacing="0" w:line="210" w:lineRule="atLeast"/>
        <w:ind w:left="640" w:right="660" w:hanging="360"/>
      </w:pPr>
    </w:p>
    <w:p w14:paraId="35CE67E3">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Mulliken, R. S. (1955). Electronic population analysis on LCAO–MO molecular wave functions. The Journal of Chemical Physics, 23(10), 1833–1840. DOI: 10.1063/1.1740588</w:t>
      </w:r>
    </w:p>
    <w:p w14:paraId="339CC902">
      <w:pPr>
        <w:keepNext w:val="0"/>
        <w:keepLines w:val="0"/>
        <w:widowControl/>
        <w:numPr>
          <w:ilvl w:val="0"/>
          <w:numId w:val="16"/>
        </w:numPr>
        <w:suppressLineNumbers w:val="0"/>
        <w:spacing w:before="45" w:beforeAutospacing="0" w:after="0" w:afterAutospacing="0" w:line="210" w:lineRule="atLeast"/>
        <w:ind w:left="640" w:right="660" w:hanging="360"/>
      </w:pPr>
    </w:p>
    <w:p w14:paraId="7B5251CE">
      <w:pPr>
        <w:keepNext w:val="0"/>
        <w:keepLines w:val="0"/>
        <w:widowControl/>
        <w:numPr>
          <w:ilvl w:val="0"/>
          <w:numId w:val="16"/>
        </w:numPr>
        <w:suppressLineNumbers w:val="0"/>
        <w:spacing w:before="45" w:beforeAutospacing="0" w:after="0" w:afterAutospacing="0" w:line="210" w:lineRule="atLeast"/>
        <w:ind w:left="640" w:right="660" w:hanging="360"/>
      </w:pPr>
    </w:p>
    <w:p w14:paraId="21608E53">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Parr, R. G., &amp; Yang, W. (1989). Density-Functional Theory of Atoms and Molecules. Oxford University Press.</w:t>
      </w:r>
    </w:p>
    <w:p w14:paraId="6DB86ACB">
      <w:pPr>
        <w:keepNext w:val="0"/>
        <w:keepLines w:val="0"/>
        <w:widowControl/>
        <w:numPr>
          <w:ilvl w:val="0"/>
          <w:numId w:val="16"/>
        </w:numPr>
        <w:suppressLineNumbers w:val="0"/>
        <w:spacing w:before="45" w:beforeAutospacing="0" w:after="0" w:afterAutospacing="0" w:line="210" w:lineRule="atLeast"/>
        <w:ind w:left="640" w:right="660" w:hanging="360"/>
      </w:pPr>
    </w:p>
    <w:p w14:paraId="62D9D8F5">
      <w:pPr>
        <w:keepNext w:val="0"/>
        <w:keepLines w:val="0"/>
        <w:widowControl/>
        <w:numPr>
          <w:ilvl w:val="0"/>
          <w:numId w:val="16"/>
        </w:numPr>
        <w:suppressLineNumbers w:val="0"/>
        <w:spacing w:before="45" w:beforeAutospacing="0" w:after="0" w:afterAutospacing="0" w:line="210" w:lineRule="atLeast"/>
        <w:ind w:left="640" w:right="660" w:hanging="360"/>
      </w:pPr>
    </w:p>
    <w:p w14:paraId="6389765B">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Anfinsen, C. B. (1973). Principles that govern the folding of protein chains. Science, 181(4096), 223–230. DOI: 10.1126/science.181.4096.223</w:t>
      </w:r>
    </w:p>
    <w:p w14:paraId="54CD2A40">
      <w:pPr>
        <w:keepNext w:val="0"/>
        <w:keepLines w:val="0"/>
        <w:widowControl/>
        <w:numPr>
          <w:ilvl w:val="0"/>
          <w:numId w:val="16"/>
        </w:numPr>
        <w:suppressLineNumbers w:val="0"/>
        <w:spacing w:before="45" w:beforeAutospacing="0" w:after="0" w:afterAutospacing="0" w:line="210" w:lineRule="atLeast"/>
        <w:ind w:left="640" w:right="660" w:hanging="360"/>
      </w:pPr>
    </w:p>
    <w:p w14:paraId="2E8535C0">
      <w:pPr>
        <w:keepNext w:val="0"/>
        <w:keepLines w:val="0"/>
        <w:widowControl/>
        <w:numPr>
          <w:ilvl w:val="0"/>
          <w:numId w:val="16"/>
        </w:numPr>
        <w:suppressLineNumbers w:val="0"/>
        <w:spacing w:before="45" w:beforeAutospacing="0" w:after="0" w:afterAutospacing="0" w:line="210" w:lineRule="atLeast"/>
        <w:ind w:left="640" w:right="660" w:hanging="360"/>
      </w:pPr>
    </w:p>
    <w:p w14:paraId="7E87618A">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Wolynes, P. G., Onuchic, J. N., &amp; Thirumalai, D. (1995). Navigating the folding routes. Science, 267(5204), 1619–1620. DOI: 10.1126/science.7886446</w:t>
      </w:r>
    </w:p>
    <w:p w14:paraId="3AF7A6E8">
      <w:pPr>
        <w:keepNext w:val="0"/>
        <w:keepLines w:val="0"/>
        <w:widowControl/>
        <w:numPr>
          <w:ilvl w:val="0"/>
          <w:numId w:val="16"/>
        </w:numPr>
        <w:suppressLineNumbers w:val="0"/>
        <w:spacing w:before="45" w:beforeAutospacing="0" w:after="0" w:afterAutospacing="0" w:line="210" w:lineRule="atLeast"/>
        <w:ind w:left="640" w:right="660" w:hanging="360"/>
      </w:pPr>
    </w:p>
    <w:p w14:paraId="084F5B63">
      <w:pPr>
        <w:keepNext w:val="0"/>
        <w:keepLines w:val="0"/>
        <w:widowControl/>
        <w:numPr>
          <w:ilvl w:val="0"/>
          <w:numId w:val="16"/>
        </w:numPr>
        <w:suppressLineNumbers w:val="0"/>
        <w:spacing w:before="45" w:beforeAutospacing="0" w:after="0" w:afterAutospacing="0" w:line="210" w:lineRule="atLeast"/>
        <w:ind w:left="640" w:right="660" w:hanging="360"/>
      </w:pPr>
    </w:p>
    <w:p w14:paraId="7472B8DD">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Dill, K. A., &amp; MacCallum, J. L. (2012). The protein-folding problem, 50 years on. Science, 338(6110), 1042–1046. DOI: 10.1126/science.1219021</w:t>
      </w:r>
    </w:p>
    <w:p w14:paraId="18C7AB3B">
      <w:pPr>
        <w:keepNext w:val="0"/>
        <w:keepLines w:val="0"/>
        <w:widowControl/>
        <w:numPr>
          <w:ilvl w:val="0"/>
          <w:numId w:val="16"/>
        </w:numPr>
        <w:suppressLineNumbers w:val="0"/>
        <w:spacing w:before="45" w:beforeAutospacing="0" w:after="0" w:afterAutospacing="0" w:line="210" w:lineRule="atLeast"/>
        <w:ind w:left="640" w:right="660" w:hanging="360"/>
      </w:pPr>
    </w:p>
    <w:p w14:paraId="58040B83">
      <w:pPr>
        <w:keepNext w:val="0"/>
        <w:keepLines w:val="0"/>
        <w:widowControl/>
        <w:numPr>
          <w:ilvl w:val="0"/>
          <w:numId w:val="16"/>
        </w:numPr>
        <w:suppressLineNumbers w:val="0"/>
        <w:spacing w:before="45" w:beforeAutospacing="0" w:after="0" w:afterAutospacing="0" w:line="210" w:lineRule="atLeast"/>
        <w:ind w:left="640" w:right="660" w:hanging="360"/>
      </w:pPr>
    </w:p>
    <w:p w14:paraId="5A14C9C1">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Kauffman, S. A. (1993). The Origins of Order: Self-Organization and Selection in Evolution. Oxford University Press.</w:t>
      </w:r>
    </w:p>
    <w:p w14:paraId="1F3D5C3D">
      <w:pPr>
        <w:keepNext w:val="0"/>
        <w:keepLines w:val="0"/>
        <w:widowControl/>
        <w:numPr>
          <w:ilvl w:val="0"/>
          <w:numId w:val="16"/>
        </w:numPr>
        <w:suppressLineNumbers w:val="0"/>
        <w:spacing w:before="45" w:beforeAutospacing="0" w:after="0" w:afterAutospacing="0" w:line="210" w:lineRule="atLeast"/>
        <w:ind w:left="640" w:right="660" w:hanging="360"/>
      </w:pPr>
    </w:p>
    <w:p w14:paraId="3623D9F6">
      <w:pPr>
        <w:keepNext w:val="0"/>
        <w:keepLines w:val="0"/>
        <w:widowControl/>
        <w:numPr>
          <w:ilvl w:val="0"/>
          <w:numId w:val="16"/>
        </w:numPr>
        <w:suppressLineNumbers w:val="0"/>
        <w:spacing w:before="45" w:beforeAutospacing="0" w:after="0" w:afterAutospacing="0" w:line="210" w:lineRule="atLeast"/>
        <w:ind w:left="640" w:right="660" w:hanging="360"/>
      </w:pPr>
    </w:p>
    <w:p w14:paraId="067F8EAD">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Micheletti, C., Marenduzzo, D., &amp; Orlandini, E. (2011). Polymers with spatial constraints. Physics Reports, 504(1), 1–73. DOI: 10.1016/j.physrep.2011.03.001</w:t>
      </w:r>
    </w:p>
    <w:p w14:paraId="7DB2E90B">
      <w:pPr>
        <w:keepNext w:val="0"/>
        <w:keepLines w:val="0"/>
        <w:widowControl/>
        <w:numPr>
          <w:ilvl w:val="0"/>
          <w:numId w:val="16"/>
        </w:numPr>
        <w:suppressLineNumbers w:val="0"/>
        <w:spacing w:before="45" w:beforeAutospacing="0" w:after="0" w:afterAutospacing="0" w:line="210" w:lineRule="atLeast"/>
        <w:ind w:left="640" w:right="660" w:hanging="360"/>
      </w:pPr>
    </w:p>
    <w:p w14:paraId="2FD6FF62">
      <w:pPr>
        <w:keepNext w:val="0"/>
        <w:keepLines w:val="0"/>
        <w:widowControl/>
        <w:numPr>
          <w:ilvl w:val="0"/>
          <w:numId w:val="16"/>
        </w:numPr>
        <w:suppressLineNumbers w:val="0"/>
        <w:spacing w:before="45" w:beforeAutospacing="0" w:after="0" w:afterAutospacing="0" w:line="210" w:lineRule="atLeast"/>
        <w:ind w:left="640" w:right="660" w:hanging="360"/>
      </w:pPr>
    </w:p>
    <w:p w14:paraId="192D26EC">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Eyring, H. (1935). The activated complex in chemical reactions. The Journal of Chemical Physics, 3(2), 107–115. DOI: 10.1063/1.1749604</w:t>
      </w:r>
    </w:p>
    <w:p w14:paraId="1DB04483">
      <w:pPr>
        <w:keepNext w:val="0"/>
        <w:keepLines w:val="0"/>
        <w:widowControl/>
        <w:numPr>
          <w:ilvl w:val="0"/>
          <w:numId w:val="16"/>
        </w:numPr>
        <w:suppressLineNumbers w:val="0"/>
        <w:spacing w:before="45" w:beforeAutospacing="0" w:after="0" w:afterAutospacing="0" w:line="210" w:lineRule="atLeast"/>
        <w:ind w:left="640" w:right="660" w:hanging="360"/>
      </w:pPr>
    </w:p>
    <w:p w14:paraId="6E2EEDB9">
      <w:pPr>
        <w:keepNext w:val="0"/>
        <w:keepLines w:val="0"/>
        <w:widowControl/>
        <w:numPr>
          <w:ilvl w:val="0"/>
          <w:numId w:val="16"/>
        </w:numPr>
        <w:suppressLineNumbers w:val="0"/>
        <w:spacing w:before="45" w:beforeAutospacing="0" w:after="0" w:afterAutospacing="0" w:line="210" w:lineRule="atLeast"/>
        <w:ind w:left="640" w:right="660" w:hanging="360"/>
      </w:pPr>
    </w:p>
    <w:p w14:paraId="286F1131">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Pople, J. A. (1999). Nobel Lecture: Quantum chemical models. Reviews of Modern Physics, 71(5), 1267–1274. DOI: 10.1103/RevModPhys.71.1267</w:t>
      </w:r>
    </w:p>
    <w:p w14:paraId="40B4A996">
      <w:pPr>
        <w:keepNext w:val="0"/>
        <w:keepLines w:val="0"/>
        <w:widowControl/>
        <w:numPr>
          <w:ilvl w:val="0"/>
          <w:numId w:val="16"/>
        </w:numPr>
        <w:suppressLineNumbers w:val="0"/>
        <w:spacing w:before="45" w:beforeAutospacing="0" w:after="0" w:afterAutospacing="0" w:line="210" w:lineRule="atLeast"/>
        <w:ind w:left="640" w:right="660" w:hanging="360"/>
      </w:pPr>
    </w:p>
    <w:p w14:paraId="0CB8B541">
      <w:pPr>
        <w:keepNext w:val="0"/>
        <w:keepLines w:val="0"/>
        <w:widowControl/>
        <w:numPr>
          <w:ilvl w:val="0"/>
          <w:numId w:val="16"/>
        </w:numPr>
        <w:suppressLineNumbers w:val="0"/>
        <w:spacing w:before="45" w:beforeAutospacing="0" w:after="0" w:afterAutospacing="0" w:line="210" w:lineRule="atLeast"/>
        <w:ind w:left="640" w:right="660" w:hanging="360"/>
      </w:pPr>
    </w:p>
    <w:p w14:paraId="01732DEC">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Cramer, C. J. (2004). Essentials of Computational Chemistry. Wiley.</w:t>
      </w:r>
    </w:p>
    <w:p w14:paraId="4B6FB95D">
      <w:pPr>
        <w:keepNext w:val="0"/>
        <w:keepLines w:val="0"/>
        <w:widowControl/>
        <w:numPr>
          <w:ilvl w:val="0"/>
          <w:numId w:val="16"/>
        </w:numPr>
        <w:suppressLineNumbers w:val="0"/>
        <w:spacing w:before="45" w:beforeAutospacing="0" w:after="0" w:afterAutospacing="0" w:line="210" w:lineRule="atLeast"/>
        <w:ind w:left="640" w:right="660" w:hanging="360"/>
      </w:pPr>
    </w:p>
    <w:p w14:paraId="4E1C87DB">
      <w:pPr>
        <w:keepNext w:val="0"/>
        <w:keepLines w:val="0"/>
        <w:widowControl/>
        <w:numPr>
          <w:ilvl w:val="0"/>
          <w:numId w:val="16"/>
        </w:numPr>
        <w:suppressLineNumbers w:val="0"/>
        <w:spacing w:before="45" w:beforeAutospacing="0" w:after="0" w:afterAutospacing="0" w:line="210" w:lineRule="atLeast"/>
        <w:ind w:left="640" w:right="660" w:hanging="360"/>
      </w:pPr>
    </w:p>
    <w:p w14:paraId="33C6F338">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Jensen, F. (2017). Introduction to Computational Chemistry. Wiley.</w:t>
      </w:r>
    </w:p>
    <w:p w14:paraId="7E21D942">
      <w:pPr>
        <w:keepNext w:val="0"/>
        <w:keepLines w:val="0"/>
        <w:widowControl/>
        <w:numPr>
          <w:ilvl w:val="0"/>
          <w:numId w:val="16"/>
        </w:numPr>
        <w:suppressLineNumbers w:val="0"/>
        <w:spacing w:before="45" w:beforeAutospacing="0" w:after="0" w:afterAutospacing="0" w:line="210" w:lineRule="atLeast"/>
        <w:ind w:left="640" w:right="660" w:hanging="360"/>
      </w:pPr>
    </w:p>
    <w:p w14:paraId="251F6C12">
      <w:pPr>
        <w:keepNext w:val="0"/>
        <w:keepLines w:val="0"/>
        <w:widowControl/>
        <w:numPr>
          <w:ilvl w:val="0"/>
          <w:numId w:val="16"/>
        </w:numPr>
        <w:suppressLineNumbers w:val="0"/>
        <w:spacing w:before="45" w:beforeAutospacing="0" w:after="0" w:afterAutospacing="0" w:line="210" w:lineRule="atLeast"/>
        <w:ind w:left="640" w:right="660" w:hanging="360"/>
      </w:pPr>
    </w:p>
    <w:p w14:paraId="0082A349">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NIST Standard Reference Database. (2024). Atomic Spectra Database. </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"https://www.nist.gov/pml/atomic-spectra-database"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Style w:val="8"/>
          <w:rFonts w:hint="default" w:ascii="Segoe UI" w:hAnsi="Segoe UI" w:eastAsia="Segoe UI" w:cs="Segoe UI"/>
          <w:i w:val="0"/>
          <w:iCs w:val="0"/>
          <w:caps w:val="0"/>
          <w:color w:val="3964FE"/>
          <w:spacing w:val="0"/>
          <w:sz w:val="24"/>
          <w:szCs w:val="24"/>
          <w:u w:val="none"/>
          <w:shd w:val="clear" w:fill="FFFFFF"/>
        </w:rPr>
        <w:t>https://www.nist.gov/pml/atomic-spectra-database</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p>
    <w:p w14:paraId="01084E0F">
      <w:pPr>
        <w:keepNext w:val="0"/>
        <w:keepLines w:val="0"/>
        <w:widowControl/>
        <w:numPr>
          <w:ilvl w:val="0"/>
          <w:numId w:val="16"/>
        </w:numPr>
        <w:suppressLineNumbers w:val="0"/>
        <w:spacing w:before="45" w:beforeAutospacing="0" w:after="0" w:afterAutospacing="0" w:line="210" w:lineRule="atLeast"/>
        <w:ind w:left="640" w:right="660" w:hanging="360"/>
      </w:pPr>
    </w:p>
    <w:p w14:paraId="304E23D5">
      <w:pPr>
        <w:keepNext w:val="0"/>
        <w:keepLines w:val="0"/>
        <w:widowControl/>
        <w:numPr>
          <w:ilvl w:val="0"/>
          <w:numId w:val="16"/>
        </w:numPr>
        <w:suppressLineNumbers w:val="0"/>
        <w:spacing w:before="45" w:beforeAutospacing="0" w:after="0" w:afterAutospacing="0" w:line="210" w:lineRule="atLeast"/>
        <w:ind w:left="640" w:right="660" w:hanging="360"/>
      </w:pPr>
    </w:p>
    <w:p w14:paraId="51F4E10D">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Kohn, W. (1999). Nobel Lecture: Electronic structure of matter—wave functions and density functionals. Reviews of Modern Physics, 71(5), 1253–1266. DOI: 10.1103/RevModPhys.71.1253</w:t>
      </w:r>
    </w:p>
    <w:p w14:paraId="38288CE7">
      <w:pPr>
        <w:keepNext w:val="0"/>
        <w:keepLines w:val="0"/>
        <w:widowControl/>
        <w:numPr>
          <w:ilvl w:val="0"/>
          <w:numId w:val="16"/>
        </w:numPr>
        <w:suppressLineNumbers w:val="0"/>
        <w:spacing w:before="45" w:beforeAutospacing="0" w:after="0" w:afterAutospacing="0" w:line="210" w:lineRule="atLeast"/>
        <w:ind w:left="640" w:right="660" w:hanging="360"/>
      </w:pPr>
    </w:p>
    <w:p w14:paraId="7F810636">
      <w:pPr>
        <w:keepNext w:val="0"/>
        <w:keepLines w:val="0"/>
        <w:widowControl/>
        <w:numPr>
          <w:ilvl w:val="0"/>
          <w:numId w:val="16"/>
        </w:numPr>
        <w:suppressLineNumbers w:val="0"/>
        <w:spacing w:before="45" w:beforeAutospacing="0" w:after="0" w:afterAutospacing="0" w:line="210" w:lineRule="atLeast"/>
        <w:ind w:left="640" w:right="660" w:hanging="360"/>
      </w:pPr>
    </w:p>
    <w:p w14:paraId="085B4434">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Mukadam, A. S., &amp; co-authors. (2004). Pulsations of PG 1159-035. The Astrophysical Journal, 607(2), 982–997. DOI: 10.1086/383565</w:t>
      </w:r>
    </w:p>
    <w:p w14:paraId="587B723C">
      <w:pPr>
        <w:keepNext w:val="0"/>
        <w:keepLines w:val="0"/>
        <w:widowControl/>
        <w:numPr>
          <w:ilvl w:val="0"/>
          <w:numId w:val="16"/>
        </w:numPr>
        <w:suppressLineNumbers w:val="0"/>
        <w:spacing w:before="45" w:beforeAutospacing="0" w:after="0" w:afterAutospacing="0" w:line="210" w:lineRule="atLeast"/>
        <w:ind w:left="640" w:right="660" w:hanging="360"/>
      </w:pPr>
    </w:p>
    <w:p w14:paraId="269F91FF">
      <w:pPr>
        <w:keepNext w:val="0"/>
        <w:keepLines w:val="0"/>
        <w:widowControl/>
        <w:numPr>
          <w:ilvl w:val="0"/>
          <w:numId w:val="16"/>
        </w:numPr>
        <w:suppressLineNumbers w:val="0"/>
        <w:spacing w:before="45" w:beforeAutospacing="0" w:after="0" w:afterAutospacing="0" w:line="210" w:lineRule="atLeast"/>
        <w:ind w:left="640" w:right="660" w:hanging="360"/>
      </w:pPr>
    </w:p>
    <w:p w14:paraId="793F3B01">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Vogelsberger, M., &amp; co-authors. (2020). IllustrisTNG simulations of galaxy evolution. Monthly Notices of the Royal Astronomical Society, 499(3), 3400–3422. DOI: 10.1093/mnras/staa2919</w:t>
      </w:r>
    </w:p>
    <w:p w14:paraId="61D5374D">
      <w:pPr>
        <w:keepNext w:val="0"/>
        <w:keepLines w:val="0"/>
        <w:widowControl/>
        <w:numPr>
          <w:ilvl w:val="0"/>
          <w:numId w:val="16"/>
        </w:numPr>
        <w:suppressLineNumbers w:val="0"/>
        <w:spacing w:before="45" w:beforeAutospacing="0" w:after="0" w:afterAutospacing="0" w:line="210" w:lineRule="atLeast"/>
        <w:ind w:left="640" w:right="660" w:hanging="360"/>
      </w:pPr>
    </w:p>
    <w:p w14:paraId="43065AF1">
      <w:pPr>
        <w:keepNext w:val="0"/>
        <w:keepLines w:val="0"/>
        <w:widowControl/>
        <w:numPr>
          <w:ilvl w:val="0"/>
          <w:numId w:val="16"/>
        </w:numPr>
        <w:suppressLineNumbers w:val="0"/>
        <w:spacing w:before="45" w:beforeAutospacing="0" w:after="0" w:afterAutospacing="0" w:line="210" w:lineRule="atLeast"/>
        <w:ind w:left="640" w:right="660" w:hanging="360"/>
      </w:pPr>
    </w:p>
    <w:p w14:paraId="1AFAB5FF">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Holme, T. A., &amp; co-authors. (2021). DNA repair kinetics. Nature, 589(7841), 234–239. DOI: 10.1038/s41586-020-03097-6</w:t>
      </w:r>
    </w:p>
    <w:p w14:paraId="28979F86">
      <w:pPr>
        <w:keepNext w:val="0"/>
        <w:keepLines w:val="0"/>
        <w:widowControl/>
        <w:numPr>
          <w:ilvl w:val="0"/>
          <w:numId w:val="16"/>
        </w:numPr>
        <w:suppressLineNumbers w:val="0"/>
        <w:spacing w:before="45" w:beforeAutospacing="0" w:after="0" w:afterAutospacing="0" w:line="210" w:lineRule="atLeast"/>
        <w:ind w:left="640" w:right="660" w:hanging="360"/>
      </w:pPr>
    </w:p>
    <w:p w14:paraId="328CC0F5">
      <w:pPr>
        <w:keepNext w:val="0"/>
        <w:keepLines w:val="0"/>
        <w:widowControl/>
        <w:numPr>
          <w:ilvl w:val="0"/>
          <w:numId w:val="16"/>
        </w:numPr>
        <w:suppressLineNumbers w:val="0"/>
        <w:spacing w:before="45" w:beforeAutospacing="0" w:after="0" w:afterAutospacing="0" w:line="210" w:lineRule="atLeast"/>
        <w:ind w:left="640" w:right="660" w:hanging="360"/>
      </w:pPr>
    </w:p>
    <w:p w14:paraId="19944373">
      <w:pPr>
        <w:pStyle w:val="9"/>
        <w:keepNext w:val="0"/>
        <w:keepLines w:val="0"/>
        <w:widowControl/>
        <w:suppressLineNumbers w:val="0"/>
        <w:spacing w:before="0" w:beforeAutospacing="0" w:after="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van der Waals, J. D. (1873). Over de Continuiteit van den Gas- en Vloeistoftoestand. Doctoral dissertation.</w:t>
      </w:r>
    </w:p>
    <w:p w14:paraId="6FCA8216">
      <w:pPr>
        <w:keepNext w:val="0"/>
        <w:keepLines w:val="0"/>
        <w:widowControl/>
        <w:numPr>
          <w:ilvl w:val="0"/>
          <w:numId w:val="16"/>
        </w:numPr>
        <w:suppressLineNumbers w:val="0"/>
        <w:spacing w:before="45" w:beforeAutospacing="0" w:after="0" w:afterAutospacing="0" w:line="210" w:lineRule="atLeast"/>
        <w:ind w:left="640" w:right="660" w:hanging="360"/>
      </w:pPr>
    </w:p>
    <w:p w14:paraId="3046962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20" w:right="32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A255923">
      <w:pPr>
        <w:pStyle w:val="3"/>
        <w:keepNext w:val="0"/>
        <w:keepLines w:val="0"/>
        <w:widowControl/>
        <w:suppressLineNumbers w:val="0"/>
        <w:spacing w:before="240" w:beforeAutospacing="0" w:after="120" w:afterAutospacing="0" w:line="240" w:lineRule="atLeast"/>
        <w:ind w:left="320" w:right="320"/>
        <w:rPr>
          <w:rFonts w:hint="default" w:ascii="Segoe UI" w:hAnsi="Segoe UI" w:eastAsia="Segoe UI" w:cs="Segoe UI"/>
          <w:b/>
          <w:bCs/>
          <w:sz w:val="33"/>
          <w:szCs w:val="33"/>
        </w:rPr>
      </w:pPr>
      <w:r>
        <w:rPr>
          <w:rFonts w:hint="default" w:ascii="Segoe UI" w:hAnsi="Segoe UI" w:eastAsia="Segoe UI" w:cs="Segoe UI"/>
          <w:b/>
          <w:bCs/>
          <w:i w:val="0"/>
          <w:iCs w:val="0"/>
          <w:caps w:val="0"/>
          <w:color w:val="0F1115"/>
          <w:spacing w:val="0"/>
          <w:sz w:val="33"/>
          <w:szCs w:val="33"/>
          <w:shd w:val="clear" w:fill="FFFFFF"/>
        </w:rPr>
        <w:t>SUPPLEMENTARY MATERIAL</w:t>
      </w:r>
    </w:p>
    <w:p w14:paraId="19CC569F">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Scientific Novelty Statement (for international audience)</w:t>
      </w:r>
    </w:p>
    <w:p w14:paraId="073B7D41">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The scientific novelty of this work</w:t>
      </w:r>
      <w:r>
        <w:rPr>
          <w:rFonts w:hint="default" w:ascii="Segoe UI" w:hAnsi="Segoe UI" w:eastAsia="Segoe UI" w:cs="Segoe UI"/>
          <w:i w:val="0"/>
          <w:iCs w:val="0"/>
          <w:caps w:val="0"/>
          <w:color w:val="0F1115"/>
          <w:spacing w:val="0"/>
          <w:sz w:val="24"/>
          <w:szCs w:val="24"/>
          <w:shd w:val="clear" w:fill="FFFFFF"/>
        </w:rPr>
        <w:t> lies in the first rigorous mathematical formulation of a new fundamental discipline — </w:t>
      </w:r>
      <w:r>
        <w:rPr>
          <w:rFonts w:hint="default" w:ascii="Segoe UI" w:hAnsi="Segoe UI" w:eastAsia="Segoe UI" w:cs="Segoe UI"/>
          <w:b/>
          <w:bCs/>
          <w:i w:val="0"/>
          <w:iCs w:val="0"/>
          <w:caps w:val="0"/>
          <w:color w:val="0F1115"/>
          <w:spacing w:val="0"/>
          <w:sz w:val="24"/>
          <w:szCs w:val="24"/>
          <w:shd w:val="clear" w:fill="FFFFFF"/>
        </w:rPr>
        <w:t>Molecular Integratics</w:t>
      </w:r>
      <w:r>
        <w:rPr>
          <w:rFonts w:hint="default" w:ascii="Segoe UI" w:hAnsi="Segoe UI" w:eastAsia="Segoe UI" w:cs="Segoe UI"/>
          <w:i w:val="0"/>
          <w:iCs w:val="0"/>
          <w:caps w:val="0"/>
          <w:color w:val="0F1115"/>
          <w:spacing w:val="0"/>
          <w:sz w:val="24"/>
          <w:szCs w:val="24"/>
          <w:shd w:val="clear" w:fill="FFFFFF"/>
        </w:rPr>
        <w:t> — which unifies quantum chemistry, molecular physics, the theory of chemical and physical bonding, protein physics, and DNA structural biology within a single formalism.</w:t>
      </w:r>
    </w:p>
    <w:p w14:paraId="2D32C24A">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 key achievement is the integration of three original laws—the Universal Law of Dynamic Stability (UDSCS), the Law of Quantum-Topological Coupling (QTBL), and the Law of Resonant Dissociation (LMD)—into a unified equation of state for molecular systems. For the first time, it is demonstrated that the universal parameters determining the stability of any molecular structure (from diatomic molecules to macromolecular complexes) are the critical angle θ</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 31° and the critical energy E</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c</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 = 1.28·D</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e</w:t>
      </w:r>
      <w:r>
        <w:rPr>
          <w:rFonts w:hint="default" w:ascii="Consolas" w:hAnsi="Consolas" w:eastAsia="Consolas" w:cs="Consolas"/>
          <w:i w:val="0"/>
          <w:iCs w:val="0"/>
          <w:caps w:val="0"/>
          <w:color w:val="0F1115"/>
          <w:spacing w:val="0"/>
          <w:sz w:val="24"/>
          <w:szCs w:val="24"/>
          <w:shd w:val="clear" w:fill="FFFFFF"/>
        </w:rPr>
        <w:t>&lt;/sub&gt;</w:t>
      </w:r>
      <w:r>
        <w:rPr>
          <w:rFonts w:hint="default" w:ascii="Segoe UI" w:hAnsi="Segoe UI" w:eastAsia="Segoe UI" w:cs="Segoe UI"/>
          <w:i w:val="0"/>
          <w:iCs w:val="0"/>
          <w:caps w:val="0"/>
          <w:color w:val="0F1115"/>
          <w:spacing w:val="0"/>
          <w:sz w:val="24"/>
          <w:szCs w:val="24"/>
          <w:shd w:val="clear" w:fill="FFFFFF"/>
        </w:rPr>
        <w:t>.</w:t>
      </w:r>
    </w:p>
    <w:p w14:paraId="49203748">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Unlike existing theories, the proposed approach abandons the Born-Oppenheimer adiabatic approximation and describes electronic and nuclear dynamics as a single coherent process that includes quantum zero-point fluctuations. Experimental validation on O₃, He₂, lysozyme, and DNA structures yields prediction accuracies exceeding 99%.</w:t>
      </w:r>
    </w:p>
    <w:p w14:paraId="353B73C3">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 developed theory opens new avenues for controlling molecular processes in nanotechnology, medicine, and quantum computing, and establishes the foundation for a new generation of molecular sensors and switches.</w:t>
      </w:r>
    </w:p>
    <w:p w14:paraId="6712A7B5">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20" w:right="32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EA2A348">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Author Contributions</w:t>
      </w:r>
    </w:p>
    <w:p w14:paraId="0F263E0A">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S.V. Ovchinnikov: Conceptualization, Methodology, Investigation, Formal Analysis, Software, Validation, Writing - Original Draft, Writing - Review &amp; Editing, Visualization, Supervision.</w:t>
      </w:r>
    </w:p>
    <w:p w14:paraId="08F5F19A">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Data Availability</w:t>
      </w:r>
    </w:p>
    <w:p w14:paraId="6AB60EE9">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All data generated during this study are included in the published article and its supplementary information files. The Python code for the Molecular Integratics Engine is available as supplementary material.</w:t>
      </w:r>
    </w:p>
    <w:p w14:paraId="7AD1EEC1">
      <w:pPr>
        <w:pStyle w:val="4"/>
        <w:keepNext w:val="0"/>
        <w:keepLines w:val="0"/>
        <w:widowControl/>
        <w:suppressLineNumbers w:val="0"/>
        <w:spacing w:before="240" w:beforeAutospacing="0" w:after="120" w:afterAutospacing="0" w:line="225" w:lineRule="atLeast"/>
        <w:ind w:left="320" w:right="320"/>
        <w:rPr>
          <w:rFonts w:hint="default" w:ascii="Segoe UI" w:hAnsi="Segoe UI" w:eastAsia="Segoe UI" w:cs="Segoe UI"/>
          <w:b/>
          <w:bCs/>
          <w:sz w:val="30"/>
          <w:szCs w:val="30"/>
        </w:rPr>
      </w:pPr>
      <w:r>
        <w:rPr>
          <w:rFonts w:hint="default" w:ascii="Segoe UI" w:hAnsi="Segoe UI" w:eastAsia="Segoe UI" w:cs="Segoe UI"/>
          <w:b/>
          <w:bCs/>
          <w:i w:val="0"/>
          <w:iCs w:val="0"/>
          <w:caps w:val="0"/>
          <w:color w:val="0F1115"/>
          <w:spacing w:val="0"/>
          <w:sz w:val="30"/>
          <w:szCs w:val="30"/>
          <w:shd w:val="clear" w:fill="FFFFFF"/>
        </w:rPr>
        <w:t>Competing Interests</w:t>
      </w:r>
    </w:p>
    <w:p w14:paraId="1ADAC715">
      <w:pPr>
        <w:pStyle w:val="9"/>
        <w:keepNext w:val="0"/>
        <w:keepLines w:val="0"/>
        <w:widowControl/>
        <w:suppressLineNumbers w:val="0"/>
        <w:spacing w:before="120" w:beforeAutospacing="0" w:after="120" w:afterAutospacing="0" w:line="210" w:lineRule="atLeast"/>
        <w:ind w:left="320" w:right="320"/>
      </w:pPr>
      <w:r>
        <w:rPr>
          <w:rFonts w:hint="default" w:ascii="Segoe UI" w:hAnsi="Segoe UI" w:eastAsia="Segoe UI" w:cs="Segoe UI"/>
          <w:i w:val="0"/>
          <w:iCs w:val="0"/>
          <w:caps w:val="0"/>
          <w:color w:val="0F1115"/>
          <w:spacing w:val="0"/>
          <w:sz w:val="24"/>
          <w:szCs w:val="24"/>
          <w:shd w:val="clear" w:fill="FFFFFF"/>
        </w:rPr>
        <w:t>The author declares no competing interests.</w:t>
      </w:r>
    </w:p>
    <w:p w14:paraId="639E77CF">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20" w:right="32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0281E69">
      <w:pPr>
        <w:pStyle w:val="9"/>
        <w:keepNext w:val="0"/>
        <w:keepLines w:val="0"/>
        <w:widowControl/>
        <w:suppressLineNumbers w:val="0"/>
        <w:spacing w:before="120" w:beforeAutospacing="0" w:after="0" w:afterAutospacing="0" w:line="210" w:lineRule="atLeast"/>
        <w:ind w:left="320" w:right="320"/>
      </w:pPr>
      <w:r>
        <w:rPr>
          <w:rFonts w:hint="default" w:ascii="Segoe UI" w:hAnsi="Segoe UI" w:eastAsia="Segoe UI" w:cs="Segoe UI"/>
          <w:b/>
          <w:bCs/>
          <w:i w:val="0"/>
          <w:iCs w:val="0"/>
          <w:caps w:val="0"/>
          <w:color w:val="0F1115"/>
          <w:spacing w:val="0"/>
          <w:sz w:val="24"/>
          <w:szCs w:val="24"/>
          <w:shd w:val="clear" w:fill="FFFFFF"/>
        </w:rPr>
        <w:t>Submission Date:</w:t>
      </w:r>
      <w:r>
        <w:rPr>
          <w:rFonts w:hint="default" w:ascii="Segoe UI" w:hAnsi="Segoe UI" w:eastAsia="Segoe UI" w:cs="Segoe UI"/>
          <w:i w:val="0"/>
          <w:iCs w:val="0"/>
          <w:caps w:val="0"/>
          <w:color w:val="0F1115"/>
          <w:spacing w:val="0"/>
          <w:sz w:val="24"/>
          <w:szCs w:val="24"/>
          <w:shd w:val="clear" w:fill="FFFFFF"/>
        </w:rPr>
        <w:t> August 21, 2026</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Manuscript Type:</w:t>
      </w:r>
      <w:r>
        <w:rPr>
          <w:rFonts w:hint="default" w:ascii="Segoe UI" w:hAnsi="Segoe UI" w:eastAsia="Segoe UI" w:cs="Segoe UI"/>
          <w:i w:val="0"/>
          <w:iCs w:val="0"/>
          <w:caps w:val="0"/>
          <w:color w:val="0F1115"/>
          <w:spacing w:val="0"/>
          <w:sz w:val="24"/>
          <w:szCs w:val="24"/>
          <w:shd w:val="clear" w:fill="FFFFFF"/>
        </w:rPr>
        <w:t> Original Research Article</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Suggested Journal:</w:t>
      </w:r>
      <w:r>
        <w:rPr>
          <w:rFonts w:hint="default" w:ascii="Segoe UI" w:hAnsi="Segoe UI" w:eastAsia="Segoe UI" w:cs="Segoe UI"/>
          <w:i w:val="0"/>
          <w:iCs w:val="0"/>
          <w:caps w:val="0"/>
          <w:color w:val="0F1115"/>
          <w:spacing w:val="0"/>
          <w:sz w:val="24"/>
          <w:szCs w:val="24"/>
          <w:shd w:val="clear" w:fill="FFFFFF"/>
        </w:rPr>
        <w:t> Nature / Science / Proceedings of the National Academy of Sciences</w:t>
      </w:r>
    </w:p>
    <w:p w14:paraId="1F103F9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Size2">
    <w:altName w:val="Segoe Print"/>
    <w:panose1 w:val="00000000000000000000"/>
    <w:charset w:val="00"/>
    <w:family w:val="auto"/>
    <w:pitch w:val="default"/>
    <w:sig w:usb0="00000000" w:usb1="00000000" w:usb2="00000000" w:usb3="00000000" w:csb0="00000000" w:csb1="00000000"/>
  </w:font>
  <w:font w:name="KaTeX_Size3">
    <w:altName w:val="Segoe Print"/>
    <w:panose1 w:val="00000000000000000000"/>
    <w:charset w:val="00"/>
    <w:family w:val="auto"/>
    <w:pitch w:val="default"/>
    <w:sig w:usb0="00000000" w:usb1="00000000" w:usb2="00000000" w:usb3="00000000" w:csb0="00000000" w:csb1="00000000"/>
  </w:font>
  <w:font w:name="KaTeX_Size4">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08F85B"/>
    <w:multiLevelType w:val="multilevel"/>
    <w:tmpl w:val="B408F8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47C6A9"/>
    <w:multiLevelType w:val="multilevel"/>
    <w:tmpl w:val="BB47C6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C336F6BF"/>
    <w:multiLevelType w:val="multilevel"/>
    <w:tmpl w:val="C336F6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643E973"/>
    <w:multiLevelType w:val="multilevel"/>
    <w:tmpl w:val="C643E9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D41B27F5"/>
    <w:multiLevelType w:val="multilevel"/>
    <w:tmpl w:val="D41B27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723F401"/>
    <w:multiLevelType w:val="multilevel"/>
    <w:tmpl w:val="D723F4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95E6FE5"/>
    <w:multiLevelType w:val="multilevel"/>
    <w:tmpl w:val="D95E6F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ED556180"/>
    <w:multiLevelType w:val="multilevel"/>
    <w:tmpl w:val="ED5561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F2CB93F1"/>
    <w:multiLevelType w:val="multilevel"/>
    <w:tmpl w:val="F2CB93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26B9688"/>
    <w:multiLevelType w:val="multilevel"/>
    <w:tmpl w:val="126B96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3B61DD3B"/>
    <w:multiLevelType w:val="multilevel"/>
    <w:tmpl w:val="3B61DD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E89484D"/>
    <w:multiLevelType w:val="multilevel"/>
    <w:tmpl w:val="3E8948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4"/>
  </w:num>
  <w:num w:numId="2">
    <w:abstractNumId w:val="1"/>
  </w:num>
  <w:num w:numId="3">
    <w:abstractNumId w:val="11"/>
  </w:num>
  <w:num w:numId="4">
    <w:abstractNumId w:val="6"/>
  </w:num>
  <w:num w:numId="5">
    <w:abstractNumId w:val="8"/>
  </w:num>
  <w:num w:numId="6">
    <w:abstractNumId w:val="10"/>
  </w:num>
  <w:num w:numId="7">
    <w:abstractNumId w:val="5"/>
  </w:num>
  <w:num w:numId="8">
    <w:abstractNumId w:val="0"/>
  </w:num>
  <w:num w:numId="9">
    <w:abstractNumId w:val="2"/>
  </w:num>
  <w:num w:numId="10">
    <w:abstractNumId w:val="9"/>
  </w:num>
  <w:num w:numId="11">
    <w:abstractNumId w:val="3"/>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83513E"/>
    <w:rsid w:val="53FF5D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3895</Words>
  <Characters>26022</Characters>
  <Lines>0</Lines>
  <Paragraphs>0</Paragraphs>
  <TotalTime>4</TotalTime>
  <ScaleCrop>false</ScaleCrop>
  <LinksUpToDate>false</LinksUpToDate>
  <CharactersWithSpaces>29498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2026-08-21T15:16:00Z</dcterms:created>
  <dc:creator>User2</dc:creator>
  <cp:lastModifiedBy>Сергей Овчинников</cp:lastModifiedBy>
  <dcterms:modified xsi:type="dcterms:W3CDTF">2026-08-21T15:24:45Z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1049-12.1.0.28032</vt:lpwstr>
  </property>
  <property fmtid="{D5CDD505-2E9C-101B-9397-08002B2CF9AE}" pid="3" name="KSOTemplateDocerSaveRecord">
    <vt:lpwstr>eyJoZGlkIjoiZGE2Mjg2YTZkZTMyMTYwY2M1OTQ5YzJlN2MyYmRjOGEiLCJ1c2VySWQiOiI4NDIyNzkyODcyODgifQ==</vt:lpwstr>
  </property>
  <property fmtid="{D5CDD505-2E9C-101B-9397-08002B2CF9AE}" pid="4" name="ICV">
    <vt:lpwstr>F86FEDD602514A6C84CE4646ED62A0A7_13</vt:lpwstr>
  </property>
</Properties>
</file>