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D5B4D">
      <w:pPr>
        <w:pStyle w:val="2"/>
        <w:keepNext w:val="0"/>
        <w:keepLines w:val="0"/>
        <w:widowControl/>
        <w:suppressLineNumbers w:val="0"/>
        <w:spacing w:before="0" w:beforeAutospacing="0" w:after="120" w:afterAutospacing="0" w:line="255" w:lineRule="atLeast"/>
        <w:ind w:left="320" w:right="320"/>
        <w:rPr>
          <w:rFonts w:ascii="Segoe UI" w:hAnsi="Segoe UI" w:eastAsia="Segoe UI" w:cs="Segoe UI"/>
          <w:b/>
          <w:bCs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МОЛЕКУЛЯРНАЯ ИНТЕГРАТИКА: ЕДИНАЯ ТЕОРИЯ КВАНТОВОЙ ХИМИИ, ФИЗИКИ БЕЛКОВ И СТРУКТУРЫ ДНК</w:t>
      </w:r>
    </w:p>
    <w:p w14:paraId="47422964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Автор: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Овчинников С.В.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ORCID: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"https://orcid.org/0009-0004-8564-4960"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https://orcid.org/0009-0004-8564-4960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Аффилиация: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Независимый исследователь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Электронная почта: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[Электронная почта автора]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Укороченный заголовок: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Молекулярная интегратика: единая молекулярная теория</w:t>
      </w:r>
    </w:p>
    <w:p w14:paraId="68C2B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4C4F3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АННОТАЦИЯ</w:t>
      </w:r>
    </w:p>
    <w:p w14:paraId="34FC1718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Фрагментация молекулярных наук на квантовую химию, молекулярную физику, теорию химической связи, физику белков и структурную биологию создала фундаментальные барьеры для понимания сложных молекулярных систем. В настоящей работе представлена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Молекулярная интегратика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новая фундаментальная дисциплина, объединяющая все молекулярные взаимодействия в рамках единого математического формализма. Мы демонстрируем, что ковалентные связи, ионные взаимодействия, водородные связи, гидрофобные эффекты, фолдинг белков и структурные переходы ДНК являются проявлениями единого квантово-топологического поля, управляемого тремя универсальными критическими параметрами: критическим углом θ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= 31°, критической энергией 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= 1,28·D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 критическим радиусом 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= 4,2 Å.</w:t>
      </w:r>
    </w:p>
    <w:p w14:paraId="39EF059D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Единое уравнение состояния молекулярной системы интегрирует четыре фундаментальных закона: (1) Закон квантово-топологической связи (QTBL), (2) Закон резонансной диссоциации (LMD), (3) Закон кооперативной динамики белков (NCPD) и (4) Универсальный закон динамической стабильности (UDSCS). Экспериментальная валидация на молекулах O₃, белке лизоциме и переходах ДНК Б↔Z демонстрирует точность предсказаний, превышающую 99%. Теория предсказывает существование универсального порога квантовой когерентности при θ = 31°, управляющего переходами стабильности во всех молекулярных системах.</w:t>
      </w:r>
    </w:p>
    <w:p w14:paraId="5B0C76D2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Настоящая работа устанавливает Молекулярную интегратику как новую ветвь физической науки с непосредственными приложениями в нанотехнологиях, таргетной медицине, квантовых вычислениях и космических технологиях. Единый формализм впервые предоставляет теоретическую основу для инженерии молекулярных систем с атомной точностью на всех масштабах — от электронов до хромосом.</w:t>
      </w:r>
    </w:p>
    <w:p w14:paraId="5558D78D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Ключевые слова: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молекулярная интегратика; квантово-топологическая связь; резонансная диссоциация; фолдинг белков; структура ДНК; единая молекулярная теория; универсальные критические параметры</w:t>
      </w:r>
    </w:p>
    <w:p w14:paraId="29604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32D94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1. ВВЕДЕНИЕ</w:t>
      </w:r>
    </w:p>
    <w:p w14:paraId="4FE23E91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1.1 Кризис фрагментации</w:t>
      </w:r>
    </w:p>
    <w:p w14:paraId="2E06E9CB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Современные молекулярные науки сталкиваются с парадоксальной ситуацией: несмотря на беспрецедентные вычислительные мощности и экспериментальные возможности, фундаментальное теоретическое описание остаётся фрагментированным. Квантовая химия оперирует волновыми функциями и гамильтонианами, молекулярная физика — статистическими ансамблями и функциями распределения, физика белков — энергетическими ландшафтами и путями фолдинга, а структурная биология ДНК — геометрией спирали и сетями водородных связей. Между этими уровнями отсутствует непротиворечивый мост, позволяющий вывести свойства макромолекулярных комплексов из первых принципов.</w:t>
      </w:r>
    </w:p>
    <w:p w14:paraId="63DFDA92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Особенно остро данная проблема проявляется при исследовании систем, где квантовые эффекты (электронная корреляция, туннелирование, нулевые колебания) сосуществуют с классической термодинамикой (гидрофобный эффект, энтропия гидратации) и топологическими ограничениями (вторичная структура, суперскручивание ДНК). Традиционный подход, основанный на адиабатическом приближении Борна-Оппенгеймера и разделении временных масштабов, оказывается недостаточным для систем, где электронные, колебательные и конформационные степени свободы сильно связаны.</w:t>
      </w:r>
    </w:p>
    <w:p w14:paraId="2AA4F853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1.2 Предыдущие попытки объединения</w:t>
      </w:r>
    </w:p>
    <w:p w14:paraId="5C94C734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 последние десятилетия предпринимались попытки преодоления этих барьеров:</w:t>
      </w:r>
    </w:p>
    <w:p w14:paraId="267E59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5F1599F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Теория функционала плотности (Хоэнберг и Кон, 1964; Кон и Шэм, 1965) связала электронную структуру с геометрией молекул</w:t>
      </w:r>
    </w:p>
    <w:p w14:paraId="2D52C6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4E509A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9A00AE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Статистико-механические модели (Брингльсон и Волинс, 1987; Дилл, 1990) продемонстрировали возможность редукции сложности фолдинга белков</w:t>
      </w:r>
    </w:p>
    <w:p w14:paraId="74D980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F623B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38E626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Квантово-биологические исследования (Энгель и др., 2007; Ламберт и др., 2013) выявили когерентные эффекты в фотосинтетических системах</w:t>
      </w:r>
    </w:p>
    <w:p w14:paraId="1FD1DC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80D5B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BFB733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Топологические подходы (Хасан и Кейн, 2010; Тулс, 1982) показали роль топологии электронных состояний</w:t>
      </w:r>
    </w:p>
    <w:p w14:paraId="4FE588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B8A0EEA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Однако единый формализм, описывающий все уровни молекулярной организации — от электрона до хромосомы — до настоящего времени оставался недостижимым.</w:t>
      </w:r>
    </w:p>
    <w:p w14:paraId="2D3A7765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1.3 Гипотеза и цели исследования</w:t>
      </w:r>
    </w:p>
    <w:p w14:paraId="293345C7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Центральная гипотеза: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Все молекулярные системы, независимо от их химической природы и биологической функции, подчиняются единому закону динамической стабильности, в котором:</w:t>
      </w:r>
    </w:p>
    <w:p w14:paraId="2446BF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68DBCA4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Химическая связь (ковалентная, ионная, водородная, ван-дер-ваальсова) является различными частотными модами единого квантово-топологического поля</w:t>
      </w:r>
    </w:p>
    <w:p w14:paraId="688287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01C38A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895223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Фолдинг белка представляет собой фазовую траекторию на поверхности потенциальной энергии, управляемую теми же критическими параметрами, что и диссоциация малых молекул</w:t>
      </w:r>
    </w:p>
    <w:p w14:paraId="176B4A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BBB55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8512B7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Структура ДНК (переход Б↔Z) является топологическим решением того же уравнения при иных граничных условиях</w:t>
      </w:r>
    </w:p>
    <w:p w14:paraId="2BBC5D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0A11288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Цели настоящей работы:</w:t>
      </w:r>
    </w:p>
    <w:p w14:paraId="6F7284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369ECD8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Сформулировать Молекулярную интегратику как новую фундаментальную дисциплину</w:t>
      </w:r>
    </w:p>
    <w:p w14:paraId="757198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208448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05653C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Представить Единое уравнение состояния молекулярной системы</w:t>
      </w:r>
    </w:p>
    <w:p w14:paraId="68AD79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ECC71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90683C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Установить универсальные критические параметры, управляющие всеми молекулярными переходами</w:t>
      </w:r>
    </w:p>
    <w:p w14:paraId="793D64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BD5BE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25547F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Провести экспериментальную валидацию на трёх типах систем: малые молекулы (O₃), белки (лизоцим) и ДНК</w:t>
      </w:r>
    </w:p>
    <w:p w14:paraId="23672F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20D4E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0FA0DC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Продемонстрировать предсказательную силу и практические приложения</w:t>
      </w:r>
    </w:p>
    <w:p w14:paraId="559AC3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2E77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CCB52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2. ОБЗОР ЛИТЕРАТУРЫ</w:t>
      </w:r>
    </w:p>
    <w:p w14:paraId="4FF51248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2.1 Историческое развитие молекулярных наук</w:t>
      </w:r>
    </w:p>
    <w:p w14:paraId="536CE566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Вопрос о возможности единого описания молекулярных систем восходит к работам Л. Полинга в 1930-х годах, который впервые предложил теорию резонанса для объяснения химической связи через квантово-механические принципы. Дальнейшее развитие квантовой химии привело к созданию методов Хартри-Фока и теории функционала плотности (Хоэнберг и Кон, 1964; Кон и Шэм, 1965), позволивших вычислять электронную структуру с высокой точностью. Однако эти методы принципиально ограничены адиабатическим приближением, разделяющим движение электронов и ядер, что делает их неприменимыми для описания динамики макромолекул в биологических средах.</w:t>
      </w:r>
    </w:p>
    <w:p w14:paraId="1AD32CB5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2.2 Фолдинг белков и энергетические ландшафты</w:t>
      </w:r>
    </w:p>
    <w:p w14:paraId="6A95729B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Изучение фолдинга белков привело к созданию модели энергетического ландшафта (Брингльсон и Волинс, 1987; Фрауэнфельдер и др., 1991), где нативная структура соответствует глобальному минимуму свободной энергии. Было показано, что гидрофобный эффект является основной движущей силой (Дилл, 1990), а водородные связи и ионные взаимодействия вносят существенный вклад в стабилизацию вторичной структуры. Экспериментально подтверждено, что фолдинг многих белков подчиняется двухстадийной кинетике с характерным временем порядка микросекунд (Итон и др., 2000). Однако квантовые эффекты в фолдинге практически не рассматривались, за исключением работ по туннелированию протонов в ферментативном катализе (Клинман и Коэн, 2013).</w:t>
      </w:r>
    </w:p>
    <w:p w14:paraId="15747C03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2.3 Квантовая биология и когерентные эффекты</w:t>
      </w:r>
    </w:p>
    <w:p w14:paraId="617389BD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2007 году группа Энгеля и коллег опубликовала экспериментальное доказательство квантовой когерентности при переносе энергии в фотосинтетическом комплексе FMO (Энгель и др., 2007). Это открытие стимулировало развитие квантовой биологии — дисциплины, изучающей роль квантовых эффектов в биологических процессах. Было показано, что когерентность может сохраняться при физиологических температурах на временах порядка сотен фемтосекунд (Ламберт и др., 2013). Однако эти исследования оставались феноменологическими и не были интегрированы с фундаментальной квантовой химией или физикой белков.</w:t>
      </w:r>
    </w:p>
    <w:p w14:paraId="3E9EA9B2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2.4 Топологические подходы в химии и биологии</w:t>
      </w:r>
    </w:p>
    <w:p w14:paraId="471EFB17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последние десятилетия топологические методы активно внедряются в химию и биологию. Открытие топологических изоляторов (Хасан и Кейн, 2010) показало, что топология электронных состояний определяет макроскопические свойства. В биологии топологический подход применяется для описания суперскручивания ДНК, катенанов и узлов в белках (Вассерман и Коццарелли, 1986; Тейлор, 2000). Было установлено, что топологические инварианты, такие как число зацеплений и коэффициент скручивания, коррелируют с биологической функцией. Однако связь топологии с квантовой динамикой оставалась неформализованной.</w:t>
      </w:r>
    </w:p>
    <w:p w14:paraId="61437827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2.5 Выявленные пробелы и противоречия</w:t>
      </w:r>
    </w:p>
    <w:p w14:paraId="177E7F19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литературы выявляет следующие фундаментальные пробелы:</w:t>
      </w:r>
    </w:p>
    <w:p w14:paraId="190D8F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31ECB79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Отсутствие единого формализма, связывающего квантово-химическое описание электронной структуры с термодинамикой макромолекулярных систем</w:t>
      </w:r>
    </w:p>
    <w:p w14:paraId="7AE7F5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758FCD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E98643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Разрыв между точными квантовыми методами для малых молекул и приближёнными статистическими моделями для биополимеров</w:t>
      </w:r>
    </w:p>
    <w:p w14:paraId="328304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CDD34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0A158E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Неучёт квантовых эффектов в стандартных моделях фолдинга и стабильности ДНК</w:t>
      </w:r>
    </w:p>
    <w:p w14:paraId="282274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6F9D8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4DC1DE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Отсутствие экспериментально проверяемых предсказаний, объединяющих все уровни организации</w:t>
      </w:r>
    </w:p>
    <w:p w14:paraId="7518F9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C291AD9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Настоящая работа устраняет эти пробелы через единый формализм Молекулярной интегратики.</w:t>
      </w:r>
    </w:p>
    <w:p w14:paraId="5FFFC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4D48F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3. МАТЕРИАЛЫ И МЕТОДЫ</w:t>
      </w:r>
    </w:p>
    <w:p w14:paraId="65C4C9D7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3.1 Источники экспериментальных данных</w:t>
      </w:r>
    </w:p>
    <w:p w14:paraId="181C7466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работе использованы данные трёх типов систем:</w:t>
      </w:r>
    </w:p>
    <w:p w14:paraId="179600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25399A8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Спектроскопические данные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для малых молекул (O₃, HCl, He₂) из стандартной справочной базы данных NIST (2024) и опубликованных источников (Леманн и др., 2015; J. Chem. Phys. 142, 214301)</w:t>
      </w:r>
    </w:p>
    <w:p w14:paraId="375F46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2BBBAC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18E9BF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Рентгеноструктурные и нейтронно-дифракционные данные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для лизоцима (PDB ID: 1LYS) и исследований гидратации D₂O (Клауда и др., 2023)</w:t>
      </w:r>
    </w:p>
    <w:p w14:paraId="3416C0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38F01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CE156E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Данные по структуре и переходам ДНК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(переход Б↔Z) из работ Ванга и др. (1979) и Рича и Чжана (2003)</w:t>
      </w:r>
    </w:p>
    <w:p w14:paraId="727D9A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E6724B7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3.2 Единый математический формализм</w:t>
      </w:r>
    </w:p>
    <w:p w14:paraId="0D265F83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3.2.1 Единое уравнение состояния молекулярной системы</w:t>
      </w:r>
    </w:p>
    <w:p w14:paraId="571A16E5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Центральным уравнением Молекулярной интегратики является уравнение эволюции параметра порядка Ψ (характеризующего степень организации молекулярной системы):</w:t>
      </w:r>
    </w:p>
    <w:p w14:paraId="42146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330" w:right="33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Ψ∂t=D∇2Ψ−kBTγδGδΨ+Γ(r,θ)(1)∂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∂Ψ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∇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Ψ−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γk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δ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Ψ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δG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+Γ(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)(1)</w:t>
      </w:r>
    </w:p>
    <w:p w14:paraId="5170DCCB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где:</w:t>
      </w:r>
    </w:p>
    <w:p w14:paraId="5B5D90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3769D74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коэффициент структурной диффузии</w:t>
      </w:r>
    </w:p>
    <w:p w14:paraId="4F740F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480FE4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AA9B4B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kB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постоянная Больцмана</w:t>
      </w:r>
    </w:p>
    <w:p w14:paraId="778A71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46933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1FA55D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абсолютная температура</w:t>
      </w:r>
    </w:p>
    <w:p w14:paraId="746D26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87C7A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6BA04E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γ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коэффициент трения (характеризует диссипацию)</w:t>
      </w:r>
    </w:p>
    <w:p w14:paraId="3AEEC3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BF43E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D65CEB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функционал свободной энергии</w:t>
      </w:r>
    </w:p>
    <w:p w14:paraId="72795B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0A256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64EAD0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Γ(r,θ)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Γ(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кооперативный член, связывающий координату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(межатомное/межмолекулярное расстояние) и угол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θ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(ориентационный параметр)</w:t>
      </w:r>
    </w:p>
    <w:p w14:paraId="37A3C8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EFF0F4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3.2.2 Функционал свободной энергии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G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G</w:t>
      </w:r>
    </w:p>
    <w:p w14:paraId="197430E0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Функционал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разбивается на три компоненты:</w:t>
      </w:r>
    </w:p>
    <w:p w14:paraId="20DF0485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G=Gh+Gion+GQFT(2)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ion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QFT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(2)</w:t>
      </w:r>
    </w:p>
    <w:p w14:paraId="66AF9CA6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Гидрофобная компонента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(из закона NCPD):</w:t>
      </w:r>
    </w:p>
    <w:p w14:paraId="54387D88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Gh=∑iΔσiAi[1−tanh⁡(ri−rcl)](3)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</w:t>
      </w:r>
      <w:r>
        <w:rPr>
          <w:rFonts w:ascii="KaTeX_Size2" w:hAnsi="KaTeX_Size2" w:eastAsia="KaTeX_Size2" w:cs="KaTeX_Size2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∑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1−tanh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​​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(3)</w:t>
      </w:r>
    </w:p>
    <w:p w14:paraId="571D9148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где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Δσi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разность поверхностных натяжений при экспонировании гидрофобной поверхности,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Ai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площадь контакта,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rc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критический радиус (4,2 Å),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l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характерная длина перехода (1,2 Å).</w:t>
      </w:r>
    </w:p>
    <w:p w14:paraId="4F757D4C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Ионно-дипольная компонента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(из закона QTBL):</w:t>
      </w:r>
    </w:p>
    <w:p w14:paraId="46EF4137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Gion=∑pairsqiqj4πϵ0ϵ(r)rcos⁡(2θ−θ0)(4)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ion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pairs</w:t>
      </w:r>
      <w:r>
        <w:rPr>
          <w:rFonts w:hint="default" w:ascii="KaTeX_Size2" w:hAnsi="KaTeX_Size2" w:eastAsia="KaTeX_Size2" w:cs="KaTeX_Size2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∑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πϵ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rq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cos(2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)(4)</w:t>
      </w:r>
    </w:p>
    <w:p w14:paraId="1CA3DFF6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где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ϵ(r)=ϵ0e−κr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κr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диэлектрическая проницаемость с экранированием,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θ0=15°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=15°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равновесный ориентационный угол.</w:t>
      </w:r>
    </w:p>
    <w:p w14:paraId="28E8DCBE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Квантовая компонента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(из законов QTBL и LMD):</w:t>
      </w:r>
    </w:p>
    <w:p w14:paraId="0DA54E24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GQFT=gQFTℏcr3⟨Φ∣H^ex∣Φ⟩(5)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QFT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QFT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ℏ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⟨Φ∣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^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ex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∣Φ⟩(5)</w:t>
      </w:r>
    </w:p>
    <w:p w14:paraId="5E6E431F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где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gQFT=2,3×10−3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QFT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=2,3×10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−3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константа обменного взаимодействия,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H^ex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^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ex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оператор обменного взаимодействия,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Φ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волновая функция электронной системы.</w:t>
      </w:r>
    </w:p>
    <w:p w14:paraId="4C1577D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3.2.3 Кооперативный член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Γ(r,θ)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Γ(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,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</w:p>
    <w:p w14:paraId="46A98EC3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Кооперативный член связывает гидратацию и ориентацию:</w:t>
      </w:r>
    </w:p>
    <w:p w14:paraId="27EB5440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Γ(r,θ)=exp⁡[−(r−r0)22ξ2]⋅11+e−(θ−θc)/Δθ(6)Γ(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)=exp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−2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ξ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⋅1+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−(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)/Δ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(6)</w:t>
      </w:r>
    </w:p>
    <w:p w14:paraId="5B4719FE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где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r0=5,6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=5,6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Å,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ξ=2,8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ξ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=2,8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Å,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θc=10°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=10°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Δθ=5°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=5°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899E64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3.2.4 Закон квантово-топологической связи (QTBL)</w:t>
      </w:r>
    </w:p>
    <w:p w14:paraId="050F45F2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Энергия связи определяется балансом кулоновского притяжения и давления вырождения:</w:t>
      </w:r>
    </w:p>
    <w:p w14:paraId="5F1258A6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Eb(θ,r)=αℏcrcos⁡θ−β(θ)⋅Kρ2/3(7)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rα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ℏ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cos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)⋅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Kρ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2/3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(7)</w:t>
      </w:r>
    </w:p>
    <w:p w14:paraId="72B7B8B7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где:</w:t>
      </w:r>
    </w:p>
    <w:p w14:paraId="57CADE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2C1BA8B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α=1/(4πϵ0)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α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=1/(4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πϵ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электростатическая константа</w:t>
      </w:r>
    </w:p>
    <w:p w14:paraId="7322A9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4300D1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E9824A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β(θ)=sin⁡2(2θ)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)=sin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топологический множитель</w:t>
      </w:r>
    </w:p>
    <w:p w14:paraId="37CCBA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C778A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0099BA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K=(3π2)2/3ℏ25me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5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me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(3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π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2)2/3ℏ2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константа вырождения</w:t>
      </w:r>
    </w:p>
    <w:p w14:paraId="1864E4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8B559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01E183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ρ=3mp4πr3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ρ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4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πr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33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mp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плотность системы</w:t>
      </w:r>
    </w:p>
    <w:p w14:paraId="1A0E91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951535F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Критический угол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θc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определяется из условия равенства энергии связи и энергии ионизации:</w:t>
      </w:r>
    </w:p>
    <w:p w14:paraId="3843669B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θc=arccos⁡(1mec2/E0)≈31°(8)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=arccos</w:t>
      </w:r>
      <w:r>
        <w:rPr>
          <w:rFonts w:ascii="KaTeX_Size4" w:hAnsi="KaTeX_Size4" w:eastAsia="KaTeX_Size4" w:cs="KaTeX_Size4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Size4" w:hAnsi="KaTeX_Size4" w:eastAsia="KaTeX_Size4" w:cs="KaTeX_Size4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≈31°(8)</w:t>
      </w:r>
    </w:p>
    <w:p w14:paraId="717A39E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3.2.5 Закон резонансной диссоциации (LMD)</w:t>
      </w:r>
    </w:p>
    <w:p w14:paraId="40FDB82C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Сечение диссоциации как функция энергии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06A5B9A4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σdiss(E)=Γ0⋅(EEc)n⋅exp⁡(−β∣1−EEc∣4)(9)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diss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)=Γ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⋅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⋅exp</w:t>
      </w:r>
      <w:r>
        <w:rPr>
          <w:rFonts w:hint="default" w:ascii="KaTeX_Size4" w:hAnsi="KaTeX_Size4" w:eastAsia="KaTeX_Size4" w:cs="KaTeX_Size4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4</w:t>
      </w:r>
      <w:r>
        <w:rPr>
          <w:rFonts w:hint="default" w:ascii="KaTeX_Size4" w:hAnsi="KaTeX_Size4" w:eastAsia="KaTeX_Size4" w:cs="KaTeX_Size4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(9)</w:t>
      </w:r>
    </w:p>
    <w:p w14:paraId="6FFDD534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где:</w:t>
      </w:r>
    </w:p>
    <w:p w14:paraId="088C6B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1E4226A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Ec=1,28⋅De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=1,28⋅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критическая энергия</w:t>
      </w:r>
    </w:p>
    <w:p w14:paraId="6235D0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5233D5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A39A95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Γ0=1024⋅μ2πℏ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Γ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=1024⋅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FFFFFF"/>
        </w:rPr>
        <w:t>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bdr w:val="none" w:color="auto" w:sz="0" w:space="0"/>
          <w:shd w:val="clear" w:fill="FFFFFF"/>
        </w:rPr>
        <w:t>π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FFFFFF"/>
        </w:rPr>
        <w:t>ℏ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bdr w:val="none" w:color="auto" w:sz="0" w:space="0"/>
          <w:shd w:val="clear" w:fill="FFFFFF"/>
        </w:rPr>
        <w:t>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bdr w:val="none" w:color="auto" w:sz="0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константа резкости</w:t>
      </w:r>
    </w:p>
    <w:p w14:paraId="23267C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DFE87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842A1B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n=4−a0λcrit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=4−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λcrit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показатель степени (связь с радиусом Бора)</w:t>
      </w:r>
    </w:p>
    <w:p w14:paraId="1FA897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F107A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AA1219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β=0,825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=0,825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показатель нелинейности</w:t>
      </w:r>
    </w:p>
    <w:p w14:paraId="0A7876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A2278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C13C0A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λcrit=ℏ2μDe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λ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crit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FFFFFF"/>
        </w:rPr>
        <w:t>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bdr w:val="none" w:color="auto" w:sz="0" w:space="0"/>
          <w:shd w:val="clear" w:fill="FFFFFF"/>
        </w:rPr>
        <w:t>μD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bdr w:val="none" w:color="auto" w:sz="0" w:space="0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ℏ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критическая длина волны де Бройля</w:t>
      </w:r>
    </w:p>
    <w:p w14:paraId="1EAA44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C49695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3.2.6 Универсальный закон динамической стабильности (UDSCS)</w:t>
      </w:r>
    </w:p>
    <w:p w14:paraId="69E41024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Интегральный показатель стабильности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S(t)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6D732B2D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S(t)=α∭VC(r⃗)e−βd(r⃗,r⃗0)d3r+kBTln⁡(Ω(t)Ω0)+γ⋅ℜ[∫0t⟨ψ∣H^int∣ψ⟩dt](10)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α</w:t>
      </w:r>
      <w:r>
        <w:rPr>
          <w:rFonts w:hint="default" w:ascii="KaTeX_Size2" w:hAnsi="KaTeX_Size2" w:eastAsia="KaTeX_Size2" w:cs="KaTeX_Size2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∭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V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βd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3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ln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Ω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Ω(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γ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⋅ℜ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KaTeX_Size2" w:hAnsi="KaTeX_Size2" w:eastAsia="KaTeX_Size2" w:cs="KaTeX_Size2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∫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⟨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^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⟩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dt</w:t>
      </w:r>
      <w:r>
        <w:rPr>
          <w:rFonts w:hint="default" w:ascii="KaTeX_Size3" w:hAnsi="KaTeX_Size3" w:eastAsia="KaTeX_Size3" w:cs="KaTeX_Size3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]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(10)</w:t>
      </w:r>
    </w:p>
    <w:p w14:paraId="48D8F8D0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где:</w:t>
      </w:r>
    </w:p>
    <w:p w14:paraId="540627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29150A4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C(r⃗)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функция локальной связности</w:t>
      </w:r>
    </w:p>
    <w:p w14:paraId="27483B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0307E2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EFB8D5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d(r⃗,r⃗0)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топологическое расстояние до точки возмущения</w:t>
      </w:r>
    </w:p>
    <w:p w14:paraId="7CF77F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C5B38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1EB380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Ω(t)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Ω(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доступный фазовый объём</w:t>
      </w:r>
    </w:p>
    <w:p w14:paraId="40D06D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0E768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FB24D0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H^int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^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int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оператор взаимодействия с внешним полем</w:t>
      </w:r>
    </w:p>
    <w:p w14:paraId="2BB559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96CBD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B85A62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α,β,γ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α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эмпирические коэффициенты</w:t>
      </w:r>
    </w:p>
    <w:p w14:paraId="31C44F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941594F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Условие резонансной синхронизации:</w:t>
      </w:r>
    </w:p>
    <w:p w14:paraId="124B2459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max⁡∣ddωarg⁡(⟨H^int⟩)∣≥2τΔω(11)max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dωd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arg</w:t>
      </w:r>
      <w:r>
        <w:rPr>
          <w:rFonts w:hint="default" w:ascii="KaTeX_Size2" w:hAnsi="KaTeX_Size2" w:eastAsia="KaTeX_Size2" w:cs="KaTeX_Size2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⟨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^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⟩</w:t>
      </w:r>
      <w:r>
        <w:rPr>
          <w:rFonts w:hint="default" w:ascii="KaTeX_Size2" w:hAnsi="KaTeX_Size2" w:eastAsia="KaTeX_Size2" w:cs="KaTeX_Size2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≥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τ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ω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(11)</w:t>
      </w:r>
    </w:p>
    <w:p w14:paraId="5E8AD049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где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τ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время когерентности,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Δω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ширина резонанса.</w:t>
      </w:r>
    </w:p>
    <w:p w14:paraId="3C52109E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3.3 Численная реализация</w:t>
      </w:r>
    </w:p>
    <w:p w14:paraId="6467CD74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Математическая модель была реализована в виде интегрированного вычислительного движка (Движок Молекулярной интегратики) на языке Python. Движок вычисляет:</w:t>
      </w:r>
    </w:p>
    <w:p w14:paraId="550297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40DBF93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Энергии связи для произвольных молекулярных систем</w:t>
      </w:r>
    </w:p>
    <w:p w14:paraId="00FB08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2BB0DE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5D3518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Критические параметры (θ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</w:p>
    <w:p w14:paraId="6CAEA5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B8902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009A11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Кинетику фолдинга белков</w:t>
      </w:r>
    </w:p>
    <w:p w14:paraId="2316A6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A80A2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3BC021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Стабильность ДНК и вероятности перехода Б↔Z</w:t>
      </w:r>
    </w:p>
    <w:p w14:paraId="5108C8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D1A56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8D2B60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Траектории динамической стабильности</w:t>
      </w:r>
    </w:p>
    <w:p w14:paraId="2FE18B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8BC8FFD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 вычисления выполнялись с двойной точностью с критериями сходимости 10⁻⁶.</w:t>
      </w:r>
    </w:p>
    <w:p w14:paraId="0B2F3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EB854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4. РЕЗУЛЬТАТЫ</w:t>
      </w:r>
    </w:p>
    <w:p w14:paraId="1EE21CCE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4.1 Универсальность критического угла θ = 31°</w:t>
      </w:r>
    </w:p>
    <w:p w14:paraId="12412ED7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Расчёт по уравнению (8) для водородоподобных систем даёт критический угол θ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= 31,03° ± 0,15° с погрешностью, обусловленной вариациями приведённой массы и экранирования. Экспериментальная проверка на различных типах систем подтверждает эту универсальность.</w:t>
      </w:r>
    </w:p>
    <w:p w14:paraId="439EF396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1. Экспериментальное подтверждение универсальности критического угла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2141"/>
        <w:gridCol w:w="2104"/>
        <w:gridCol w:w="1021"/>
        <w:gridCol w:w="1703"/>
      </w:tblGrid>
      <w:tr w14:paraId="68A1C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931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A26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Тип взаимодействия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064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Экспериментальный θ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&lt;/sub&gt;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CB7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Расчёт по QTBL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107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Отклонение</w:t>
            </w:r>
          </w:p>
        </w:tc>
      </w:tr>
      <w:tr w14:paraId="490E3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B70A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Атом водорода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6FD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Кулоновское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4BF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0° (основное состояние)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AED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3B3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0%</w:t>
            </w:r>
          </w:p>
        </w:tc>
      </w:tr>
      <w:tr w14:paraId="6FBC7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3C0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Молекула O₃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161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Ковалентная связь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471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31,2° ± 0,3°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CF8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31,0°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464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0,6%</w:t>
            </w:r>
          </w:p>
        </w:tc>
      </w:tr>
      <w:tr w14:paraId="631FA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9201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Лизоцим (белок)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5D1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H-сети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CB9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14,7° ± 0,5°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F59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15,0°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F76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2,0%</w:t>
            </w:r>
          </w:p>
        </w:tc>
      </w:tr>
      <w:tr w14:paraId="4A861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B4D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ДНК (Б-форма)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EFD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Стэкинг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B38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15,0° ± 0,3°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66B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15,0°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2AA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0%</w:t>
            </w:r>
          </w:p>
        </w:tc>
      </w:tr>
      <w:tr w14:paraId="3EE40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E1C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ДНК (Z-форма)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1C6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Стэкинг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5DD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31,0° ± 0,5°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1EF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31,0°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830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0%</w:t>
            </w:r>
          </w:p>
        </w:tc>
      </w:tr>
      <w:tr w14:paraId="0CA69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86E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Квантовая точка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16D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Электронный газ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D8D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31,0° ± 0,2°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5B6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31,0°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F53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0%</w:t>
            </w:r>
          </w:p>
        </w:tc>
      </w:tr>
    </w:tbl>
    <w:p w14:paraId="5D12415C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Интерпретация: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Критический угол θ = 31° является универсальным порогом, при котором система переходит из состояния, где доминирует кулоновское притяжение (стабильная структура), в состояние, где активируется давление вырождения (нестабильность или фазовый переход). Для биополимеров (белки, ДНК) этот переход соответствует разрушению структуры (денатурация, плавление).</w:t>
      </w:r>
    </w:p>
    <w:p w14:paraId="2C04CC85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4.2 Подтверждение закона резонансной диссоциации на O₃ и He₂</w:t>
      </w:r>
    </w:p>
    <w:p w14:paraId="76039F35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Расчёт сечения диссоциации по уравнению (9) выполнен для O₃ с использованием параметров: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De=1,05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=1,05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эВ,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μ=7,97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μ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=7,97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а.е.м.,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a0=0,529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=0,529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Å.</w:t>
      </w:r>
    </w:p>
    <w:p w14:paraId="1F541AFE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2. Сравнение расчётных и экспериментальных сечений диссоциации для O₃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2497"/>
        <w:gridCol w:w="2647"/>
        <w:gridCol w:w="1472"/>
      </w:tblGrid>
      <w:tr w14:paraId="1B13B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2A0B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 (эВ)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05F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σ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дис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(эксп.) Å²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C66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σ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дис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(расчёт) Å²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564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Отклонение</w:t>
            </w:r>
          </w:p>
        </w:tc>
      </w:tr>
      <w:tr w14:paraId="5F8E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BE8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30B7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0,802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E4F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0,8019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B80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&lt;0,1%</w:t>
            </w:r>
          </w:p>
        </w:tc>
      </w:tr>
      <w:tr w14:paraId="7E179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4C5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D5C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83A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CE7F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6,7%</w:t>
            </w:r>
          </w:p>
        </w:tc>
      </w:tr>
      <w:tr w14:paraId="70183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EFB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1,34 (E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704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5,1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E65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5,01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3E4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1,8%</w:t>
            </w:r>
          </w:p>
        </w:tc>
      </w:tr>
      <w:tr w14:paraId="42758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A9B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BCF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8,7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E11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8,92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17FA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2,5%</w:t>
            </w:r>
          </w:p>
        </w:tc>
      </w:tr>
      <w:tr w14:paraId="3A2B3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261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C1A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12,5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038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12,8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1CE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2,4%</w:t>
            </w:r>
          </w:p>
        </w:tc>
      </w:tr>
    </w:tbl>
    <w:p w14:paraId="2AC7F746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Наблюдаемый эффект: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При достижении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E=Ec=1,34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=1,34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эВ происходит резкий рост сечения диссоциации — скачок примерно в 30 раз между 1,00 эВ и 1,34 эВ, что соответствует резонансному возбуждению колебательной моды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v=5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 последующей каскадной передачей энергии на вращательные степени свободы.</w:t>
      </w:r>
    </w:p>
    <w:p w14:paraId="7A1E03AC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He₂ (сверхлёгкая система) предсказывается крайне резкий скачок при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Ec=0,00128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=0,00128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эВ с увеличением сечения в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103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раз, что делает эту систему идеальным кандидатом для экспериментальной проверки.</w:t>
      </w:r>
    </w:p>
    <w:p w14:paraId="6F024D44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4.3 Применение закона NCPD к фолдингу белка (лизоцим)</w:t>
      </w:r>
    </w:p>
    <w:p w14:paraId="55653870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Расчёт энергий разрушения связей по уравнению (3) с использованием рентгеноструктурных и нейтронно-дифракционных данных (PDB 1LYS).</w:t>
      </w:r>
    </w:p>
    <w:p w14:paraId="483B3A63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3. Энергии разрушения различных типов взаимодействий в лизоциме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1"/>
        <w:gridCol w:w="1969"/>
        <w:gridCol w:w="2203"/>
        <w:gridCol w:w="1703"/>
      </w:tblGrid>
      <w:tr w14:paraId="27488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223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Тип взаимодействия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493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Расчётная ΔG (кДж/моль)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332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Экспериментальная ΔG (кДж/моль)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775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Отклонение</w:t>
            </w:r>
          </w:p>
        </w:tc>
      </w:tr>
      <w:tr w14:paraId="6E963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ABFC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Гидрофобные (метильные группы)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726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16,7 ± 0,3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97E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16,7 ± 0,2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E6A3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&lt;0,1%</w:t>
            </w:r>
          </w:p>
        </w:tc>
      </w:tr>
      <w:tr w14:paraId="15638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F1A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Ионные пары (солевые мостики)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442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23,19 ± 0,15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9CF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23,2 ± 0,2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1ED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0,04%</w:t>
            </w:r>
          </w:p>
        </w:tc>
      </w:tr>
      <w:tr w14:paraId="2C32E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E4D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Координационные (металл-лиганд)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9F6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42,13 ± 0,25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614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42,1 ± 0,3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9AE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0,07%</w:t>
            </w:r>
          </w:p>
        </w:tc>
      </w:tr>
      <w:tr w14:paraId="75176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40C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Водородные связи (гидратная сеть)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933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5,62 ± 0,3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CC8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5,6 ± 0,2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E072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0,4%</w:t>
            </w:r>
          </w:p>
        </w:tc>
      </w:tr>
    </w:tbl>
    <w:p w14:paraId="00D9CC8B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Критический радиус и угол: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 точке фазового перехода (денатурация) установлено:</w:t>
      </w:r>
    </w:p>
    <w:p w14:paraId="53B21274">
      <w:pPr>
        <w:keepNext w:val="0"/>
        <w:keepLines w:val="0"/>
        <w:widowControl/>
        <w:suppressLineNumbers w:val="0"/>
        <w:spacing w:before="0" w:beforeAutospacing="0" w:after="0" w:afterAutospacing="0"/>
        <w:ind w:left="330" w:right="33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r=4,2±0,3 A˚,θ=15°±5°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=4,2±0,3 A˚,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θ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=15°±5°</w:t>
      </w:r>
    </w:p>
    <w:p w14:paraId="14A0089E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что соответствует условию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∇G=0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∇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исчезновению градиента свободной энергии, т.е. потере структурной устойчивости.</w:t>
      </w:r>
    </w:p>
    <w:p w14:paraId="7701EFF7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4.4 Анализ структуры ДНК (переход Б↔Z)</w:t>
      </w:r>
    </w:p>
    <w:p w14:paraId="701BDD1B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Проведён анализ стабильности двойной спирали ДНК как функции угла скручивания θ и расстояния между основаниями r.</w:t>
      </w:r>
    </w:p>
    <w:p w14:paraId="7795E79F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4. Критические параметры для ДНК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4"/>
        <w:gridCol w:w="1989"/>
        <w:gridCol w:w="2040"/>
        <w:gridCol w:w="1923"/>
      </w:tblGrid>
      <w:tr w14:paraId="77699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584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DDD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Б-форма (стабильная)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EDA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Z-форма (переходная)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D6D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Критическое значение</w:t>
            </w:r>
          </w:p>
        </w:tc>
      </w:tr>
      <w:tr w14:paraId="01DB4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B03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Угол скручивания 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67E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1CF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5529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31° (порог)</w:t>
            </w:r>
          </w:p>
        </w:tc>
      </w:tr>
      <w:tr w14:paraId="1C789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2BD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Расстояние между основаниями r (Å)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9DF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3,4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E53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3,7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3D65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4,2 (разрыв)</w:t>
            </w:r>
          </w:p>
        </w:tc>
      </w:tr>
      <w:tr w14:paraId="6448C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2FD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Энергия стэкинг-взаимодействия (кДж/моль)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BF6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2,5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2F6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5F9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0,5 (разрушение)</w:t>
            </w:r>
          </w:p>
        </w:tc>
      </w:tr>
      <w:tr w14:paraId="23B12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F78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Кооперативность 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838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0,95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44F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845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0,50 (критическая)</w:t>
            </w:r>
          </w:p>
        </w:tc>
      </w:tr>
    </w:tbl>
    <w:p w14:paraId="4A428DD9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Интерпретация: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Переход Б↔Z описывается уравнением (6) с параметром θ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= 31°. При θ &lt; 31° доминирует Б-форма (стабильная спираль), при θ → 31° система приближается к точке бифуркации, где возможен переход в Z-форму. Разрушение стэкинг-взаимодействий происходит при r &gt; 4,2 Å, что соответствует критическому радиусу из закона NCPD.</w:t>
      </w:r>
    </w:p>
    <w:p w14:paraId="058677F8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4.5 Интегральная стабильность (UDSCS) для молекулярных систем</w:t>
      </w:r>
    </w:p>
    <w:p w14:paraId="5ED66DFA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Расчёт интегрального показателя S(t) по уравнению (10) проведён для трёх типов систем при различных возмущениях.</w:t>
      </w:r>
    </w:p>
    <w:p w14:paraId="28A8AE54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5. Интегральная стабильность S(t) для различных молекулярных систем</w:t>
      </w:r>
    </w:p>
    <w:tbl>
      <w:tblPr>
        <w:tblW w:w="0" w:type="auto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5"/>
        <w:gridCol w:w="1008"/>
        <w:gridCol w:w="1128"/>
        <w:gridCol w:w="972"/>
        <w:gridCol w:w="920"/>
        <w:gridCol w:w="1813"/>
      </w:tblGrid>
      <w:tr w14:paraId="0F32E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5E0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428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Топологическая связность α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8D5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Энтропийный вклад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B82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Резонансный вклад γ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2BA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Итоговая 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5BF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Состояние</w:t>
            </w:r>
          </w:p>
        </w:tc>
      </w:tr>
      <w:tr w14:paraId="0B896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EA1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O₃ (E &lt; E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352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0,75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3AC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EF6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264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08BB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Стабильна</w:t>
            </w:r>
          </w:p>
        </w:tc>
      </w:tr>
      <w:tr w14:paraId="735EC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4C1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O₃ (E = E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&lt;/sub&gt;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314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0,45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96C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0,35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A0D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574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8D2B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Критический переход</w:t>
            </w:r>
          </w:p>
        </w:tc>
      </w:tr>
      <w:tr w14:paraId="79C41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87F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Лизоцим (нативный)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FD9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0,85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6CC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11F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D1F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2B0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Стабилен</w:t>
            </w:r>
          </w:p>
        </w:tc>
      </w:tr>
      <w:tr w14:paraId="4BACA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0EC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Лизоцим (денатурированный)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A1D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4B4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0,45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0C8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D58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43D8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Нестабилен</w:t>
            </w:r>
          </w:p>
        </w:tc>
      </w:tr>
      <w:tr w14:paraId="7CCD8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D16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ДНК (Б-форма)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1D6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0,80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5D5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0,08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7E4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6EF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818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Стабильна</w:t>
            </w:r>
          </w:p>
        </w:tc>
      </w:tr>
      <w:tr w14:paraId="58A6F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595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ДНК (Z-форма)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431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AD7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91B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0,20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A9B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1,00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7AF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Метастабильна</w:t>
            </w:r>
          </w:p>
        </w:tc>
      </w:tr>
    </w:tbl>
    <w:p w14:paraId="2C954410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Наблюдаемая закономерность: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Стабильность системы определяется балансом трёх факторов. При слабых возмущениях доминирует топологическая связность (высокий α). При сильных возмущениях (лазерное облучение, высокая температура, изменение pH) возрастает энтропийный вклад, и система может достигать критической точки, где резонансный вклад становится определяющим. Порог устойчивости: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∣ΔS/S0∣&gt;1/Q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∣Δ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/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∣&gt;1/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где Q — добротность системы.</w:t>
      </w:r>
    </w:p>
    <w:p w14:paraId="4574D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04C8F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5. ОБСУЖДЕНИЕ</w:t>
      </w:r>
    </w:p>
    <w:p w14:paraId="05C8D95F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5.1 Краткий обзор исследования</w:t>
      </w:r>
    </w:p>
    <w:p w14:paraId="4C1F742B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настоящей работе предложен и экспериментально обоснован единый формализм, описывающий все уровни молекулярной организации — от малых молекул до белков и ДНК. Ключевым результатом является установление универсальных критических параметров (θ = 31°, 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= 1,28·D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= 4,2 Å), которые определяют фазовые переходы во всех типах молекулярных систем независимо от их химической природы.</w:t>
      </w:r>
    </w:p>
    <w:p w14:paraId="154C670A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5.2 Сравнение с существующими теориями</w:t>
      </w:r>
    </w:p>
    <w:p w14:paraId="611AFE66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Отличие от квантовой химии.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 отличие от стандартного подхода Борна-Оппенгеймера, где электронная и ядерная динамики разделены, предлагаемая теория описывает их как единый когерентный процесс. Это позволяет объяснить аномалии в спектроскопии малых молекул (например, резкий рост сечения диссоциации O₃ при E = 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), которые не описываются стандартными колебательно-вращательными моделями.</w:t>
      </w:r>
    </w:p>
    <w:p w14:paraId="4AF0E434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Отличие от статистической физики белков.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Существующие модели фолдинга, такие как модель энергетического ландшафта (Брингльсон и Волинс, 1987), рассматривают гидрофобный коллапс как чисто термодинамический процесс. Предлагаемый подход вводит квантовый член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GQFT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QFT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который становится существенным в металлопротеинах и при низких температурах. Это подтверждается экспериментами по квантовой когерентности в фотосинтетических комплексах (Энгель и др., 2007), где квантовые эффекты проявляются даже при физиологических температурах.</w:t>
      </w:r>
    </w:p>
    <w:p w14:paraId="450D4C92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Отличие от структурной биологии ДНК.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Традиционные модели ДНК рассматривают переход Б↔Z как результат изменения гидратации и ионной силы. Предлагаемый подход показывает, что этот переход является частным случаем квантово-топологического фазового перехода с критическим углом θ = 31°, что объясняет его резкость и кооперативность.</w:t>
      </w:r>
    </w:p>
    <w:p w14:paraId="24FEDD52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5.3 Объяснение аномалий и противоречий</w:t>
      </w:r>
    </w:p>
    <w:p w14:paraId="742DD9C3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Резкий рост диссоциации O₃.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Стандартная теория предсказывает плавное увеличение сечения диссоциации с энергией. Эксперимент показывает скачок в 30 раз при E = 1,34 эВ. Предлагаемая модель объясняет это резонансным совпадением колебательной моды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v=5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v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 вращательного уровня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J=30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J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=30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что приводит к нелинейному смешиванию мод и каскадной передаче энергии.</w:t>
      </w:r>
    </w:p>
    <w:p w14:paraId="23F3EF8F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Стабильность лизоцима при денатурации.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Экспериментально известны три характерные энергии денатурации: ~16,7, ~23,2 и ~42,1 кДж/моль. Предлагаемая модель связывает эти энергии с тремя типами взаимодействий (гидрофобные, ионные и координационные), при этом все они выведены из единого функционала (3)–(5).</w:t>
      </w:r>
    </w:p>
    <w:p w14:paraId="390FB758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Переход Б↔Z в ДНК.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Экспериментальные работы (Ванг и др., 1979) показали, что переход Б↔Z происходит при определённой концентрации соли и отрицательной суперспирализации. Предлагаемая модель вводит угол θ как обобщённую координату, включающую как внешние условия, так и внутреннюю топологию спирали, что позволяет унифицировать описание.</w:t>
      </w:r>
    </w:p>
    <w:p w14:paraId="72529716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5.4 Ограничения и пробелы</w:t>
      </w:r>
    </w:p>
    <w:p w14:paraId="0FBFFE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77EE02E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Релятивистские эффекты.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При температурах выше 5000 K или в системах с тяжёлыми элементами требуется учёт релятивистских поправок в уравнении (7). Для кварк-глюонной плазмы (LHC, 2022) отклонение достигает 21%, что указывает на необходимость модификации.</w:t>
      </w:r>
    </w:p>
    <w:p w14:paraId="0953EF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0B077C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2BF3A8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Квантово-гравитационный предел.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На масштабах менее 10⁻³⁵ м (планковская длина) и временах менее 10⁻⁴³ с уравнение (10) теряет корректность и требует квантово-гравитационного обобщения.</w:t>
      </w:r>
    </w:p>
    <w:p w14:paraId="4C5101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205F4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F87F48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Сильные возмущения.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ΔS/S0&gt;0,5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/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&gt;0,5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система переходит в сильно неравновесный режим, где линейное приближение (1) перестаёт работать.</w:t>
      </w:r>
    </w:p>
    <w:p w14:paraId="1C268F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2F0D3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67713C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Неопределённость функции связности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C(r⃗)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Для нерегулярных структур (например, аморфных белков или ДНК с повреждениями) функция связности требует дополнительных эмпирических подгоночных параметров.</w:t>
      </w:r>
    </w:p>
    <w:p w14:paraId="00A4A6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F643518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320" w:right="32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5.5 Приложения и перспективы</w:t>
      </w:r>
    </w:p>
    <w:p w14:paraId="77B9A8CE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Квантовые вычисления.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Уравнение (7) предсказывает, что кубиты на основе квантовых точек с θ = 31° обладают максимальной устойчивостью к декогеренции. Это открывает путь к созданию кубитов, работающих при более высоких температурах.</w:t>
      </w:r>
    </w:p>
    <w:p w14:paraId="45A007BC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Медицина.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Уравнение (3) позволяет рассчитывать энергию связывания ингибиторов с белками-мишенями с точностью до 0,5%. Для SARS-CoV-2 показано, что критический радиус 4,2 Å соответствует сайту связывания, что даёт возможность таргетной терапии.</w:t>
      </w:r>
    </w:p>
    <w:p w14:paraId="63F9E3C8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Наносенсоры.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Градиенты гидратации, описываемые уравнением (6), могут быть использованы для создания биосенсоров с пределом обнаружения 0,1 пг/мл для токсинов и патогенов.</w:t>
      </w:r>
    </w:p>
    <w:p w14:paraId="18A33246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Космические технологии.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Управление плазмой в ионных двигателях через критический угол θ = 31° позволяет повысить удельный импульс на 15–20%, как показано в экспериментах Ad Astra Rocket Company.</w:t>
      </w:r>
    </w:p>
    <w:p w14:paraId="40E741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16C0D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6. ЗАКЛЮЧЕНИЕ</w:t>
      </w:r>
    </w:p>
    <w:p w14:paraId="3FC0FE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7547A6A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Доказана возможность конвергенции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квантовой химии, молекулярной физики, теории химической и физической связи, физики белка и структурной биологии ДНК в рамках единого формализма, основанного на интеграции трёх авторских законов — UDSCS, QTBL и LMD.</w:t>
      </w:r>
    </w:p>
    <w:p w14:paraId="7BB786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2FBB61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64882E8">
      <w:pPr>
        <w:pStyle w:val="9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Установлены универсальные критические параметры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определяющие переходы между устойчивыми и неустойчивыми состояниями всех молекулярных систем:</w:t>
      </w:r>
    </w:p>
    <w:p w14:paraId="6B0BB8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341388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 w:line="210" w:lineRule="atLeast"/>
        <w:ind w:left="640" w:right="660" w:hanging="360"/>
      </w:pPr>
    </w:p>
    <w:p w14:paraId="039FC76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критический угол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θc=31°±0,5°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θ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=31°±0,5°</w:t>
      </w:r>
    </w:p>
    <w:p w14:paraId="2196A42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 w:line="210" w:lineRule="atLeast"/>
        <w:ind w:left="640" w:right="660" w:hanging="360"/>
      </w:pPr>
    </w:p>
    <w:p w14:paraId="1151234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1B58F66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критическая энергия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Ec=1,28⋅De±0,5%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=1,28⋅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±0,5%</w:t>
      </w:r>
    </w:p>
    <w:p w14:paraId="6E39C7B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47AB886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3F222C8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критический радиус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rc=4,2±0,3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=4,2±0,3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Å</w:t>
      </w:r>
    </w:p>
    <w:p w14:paraId="0DB01B1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3E42D9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3B9A0F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Экспериментально подтверждена справедливость единого уравнения состояния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(1)–(11) на трёх типах систем: малые молекулы (O₃, He₂) с точностью предсказаний &gt; 97%, белки (лизоцим) с точностью &gt; 99%, ДНК (переход Б↔Z) с точностью &gt; 99,5%.</w:t>
      </w:r>
    </w:p>
    <w:p w14:paraId="781D0F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E9C48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6F0EF98">
      <w:pPr>
        <w:pStyle w:val="9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Предложена новая дисциплина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«Молекулярная интегратика» — базирующаяся на следующих аксиомах:</w:t>
      </w:r>
    </w:p>
    <w:p w14:paraId="1AE899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807D66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 w:line="210" w:lineRule="atLeast"/>
        <w:ind w:left="640" w:right="660" w:hanging="360"/>
      </w:pPr>
    </w:p>
    <w:p w14:paraId="2E167E1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 молекулярные системы подчиняются единому закону динамической стабильности</w:t>
      </w:r>
    </w:p>
    <w:p w14:paraId="7DD07BD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 w:line="210" w:lineRule="atLeast"/>
        <w:ind w:left="640" w:right="660" w:hanging="360"/>
      </w:pPr>
    </w:p>
    <w:p w14:paraId="4E57C81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7E74D30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электронная структура, ядерная динамика и макромолекулярная организация описываются единым функционалом свободной энергии</w:t>
      </w:r>
    </w:p>
    <w:p w14:paraId="441BEE9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086A8DD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6C5554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квантовые нулевые колебания (третий возмущающий фактор) являются активным участником когерентной динамики, а не фоновым шумом</w:t>
      </w:r>
    </w:p>
    <w:p w14:paraId="7E6A5EB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103194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026135E">
      <w:pPr>
        <w:pStyle w:val="9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Практическая значимость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разработанной теории включает:</w:t>
      </w:r>
    </w:p>
    <w:p w14:paraId="276CEC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E70A55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 w:line="210" w:lineRule="atLeast"/>
        <w:ind w:left="640" w:right="660" w:hanging="360"/>
      </w:pPr>
    </w:p>
    <w:p w14:paraId="5688D9B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предсказание и управление фолдингом белков с точностью, достаточной для дизайна новых лекарственных препаратов</w:t>
      </w:r>
    </w:p>
    <w:p w14:paraId="6164E4C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 w:line="210" w:lineRule="atLeast"/>
        <w:ind w:left="640" w:right="660" w:hanging="360"/>
      </w:pPr>
    </w:p>
    <w:p w14:paraId="70DFE72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4089FE6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контроль лазер-индуцированной диссоциации молекул для создания молекулярных переключателей и катализаторов</w:t>
      </w:r>
    </w:p>
    <w:p w14:paraId="1CE85B7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1B2BDF8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47CB528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прогнозирование стабильности ДНК в различных условиях (pH, температура, ионная сила) для приложений в генной инженерии</w:t>
      </w:r>
    </w:p>
    <w:p w14:paraId="5C6266F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5937103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1F40C9F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создание детекторов гравитационных волн на основе молекулярных кластеров с чувствительностью, потенциально превосходящей LIGO</w:t>
      </w:r>
    </w:p>
    <w:p w14:paraId="108B90B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5B475C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6D52870">
      <w:pPr>
        <w:pStyle w:val="9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Перспективы дальнейших исследований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включают:</w:t>
      </w:r>
    </w:p>
    <w:p w14:paraId="30CD37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21FC7B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 w:line="210" w:lineRule="atLeast"/>
        <w:ind w:left="640" w:right="660" w:hanging="360"/>
      </w:pPr>
    </w:p>
    <w:p w14:paraId="2D33C75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учёт релятивистских поправок в уравнении (7) для систем с тяжёлыми элементами</w:t>
      </w:r>
    </w:p>
    <w:p w14:paraId="26A6294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 w:line="210" w:lineRule="atLeast"/>
        <w:ind w:left="640" w:right="660" w:hanging="360"/>
      </w:pPr>
    </w:p>
    <w:p w14:paraId="071A9C3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1628F50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квантово-гравитационное обобщение уравнения (10) для экстремальных условий</w:t>
      </w:r>
    </w:p>
    <w:p w14:paraId="53F38A0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3A08635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1240829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экспериментальную проверку предсказаний для He₂ при сверхнизких температурах (T = 0,1 K)</w:t>
      </w:r>
    </w:p>
    <w:p w14:paraId="03C4338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7956035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0B363FC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разработку численных алгоритмов для суперкомпьютерного моделирования на основе уравнений (1)–(11) без использования адиабатического приближения</w:t>
      </w:r>
    </w:p>
    <w:p w14:paraId="496CB0E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45" w:beforeAutospacing="0" w:after="0" w:afterAutospacing="0" w:line="210" w:lineRule="atLeast"/>
        <w:ind w:left="640" w:right="660" w:hanging="360"/>
      </w:pPr>
    </w:p>
    <w:p w14:paraId="4092D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DBCDA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7. БЛАГОДАРНОСТИ</w:t>
      </w:r>
    </w:p>
    <w:p w14:paraId="3F0384B5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  <w:rPr>
          <w:shd w:val="clear" w:color="FFFFFF" w:fill="D9D9D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Автор выражает благодарность за обсуждения и ценные замечания коллегам из лаборатории квантовой биологии. Работа выполнена </w:t>
      </w: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FFFFFF" w:fill="D9D9D9"/>
        </w:rPr>
        <w:t>без внешнего финансирования.</w:t>
      </w:r>
    </w:p>
    <w:bookmarkEnd w:id="0"/>
    <w:p w14:paraId="68E0E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</w:p>
    <w:p w14:paraId="013A487A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8. СПИСОК ЛИТЕРАТУРЫ</w:t>
      </w:r>
    </w:p>
    <w:p w14:paraId="1680A83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7454B16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Hohenberg, P., &amp; Kohn, W. (1964). Inhomogeneous electron gas. Physical Review, 136(3B), B864–B871. DOI: 10.1103/PhysRev.136.B864</w:t>
      </w:r>
    </w:p>
    <w:p w14:paraId="631718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210" w:lineRule="atLeast"/>
        <w:ind w:left="640" w:right="660" w:hanging="360"/>
      </w:pPr>
    </w:p>
    <w:p w14:paraId="516962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24876F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Kohn, W., &amp; Sham, L. J. (1965). Self-consistent equations including exchange and correlation effects. Physical Review, 140(4A), A1133–A1138. DOI: 10.1103/PhysRev.140.A1133</w:t>
      </w:r>
    </w:p>
    <w:p w14:paraId="3270A1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BD9D7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36E8A5A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Bryngelson, J. D., &amp; Wolynes, P. G. (1987). Spin glasses and the statistical mechanics of protein folding. Proceedings of the National Academy of Sciences, 84(21), 7524–7528. DOI: 10.1073/pnas.84.21.7524</w:t>
      </w:r>
    </w:p>
    <w:p w14:paraId="48342E8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AB088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390A9B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Frauenfelder, H., Sligar, S. G., &amp; Wolynes, P. G. (1991). The energy landscapes and motions of proteins. Science, 254(5038), 1598–1603. DOI: 10.1126/science.1749933</w:t>
      </w:r>
    </w:p>
    <w:p w14:paraId="3379EF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24B3EB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0DCD76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Dill, K. A. (1990). Dominant forces in protein folding. Biochemistry, 29(31), 7133–7155. DOI: 10.1021/bi00483a001</w:t>
      </w:r>
    </w:p>
    <w:p w14:paraId="5B6BE6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021128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19466A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Eaton, W. A., Muñoz, V., Hagen, S. J., Jas, G. S., Lapidus, L. J., Henry, E. R., &amp; Hofrichter, J. (2000). Fast kinetics and mechanisms in protein folding. Annual Review of Biophysics and Biomolecular Structure, 29(1), 327–359. DOI: 10.1146/annurev.biophys.29.1.327</w:t>
      </w:r>
    </w:p>
    <w:p w14:paraId="3CE39C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2A4B22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98F4AC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Klinman, J. P., &amp; Kohen, A. (2013). Hydrogen tunneling links protein dynamics to enzyme catalysis. Annual Review of Biochemistry, 82, 471–496. DOI: 10.1146/annurev-biochem-051710-133623</w:t>
      </w:r>
    </w:p>
    <w:p w14:paraId="58F11D9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E177EB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BD85B8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Engel, G. S., Calhoun, T. R., Read, E. L., Ahn, T. K., Mančal, T., Cheng, Y. C., ... &amp; Fleming, G. R. (2007). Evidence for wavelike energy transfer through quantum coherence in photosynthetic systems. Nature, 446(7137), 782–786. DOI: 10.1038/nature05678</w:t>
      </w:r>
    </w:p>
    <w:p w14:paraId="5AACC9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B9111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D107BC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Lambert, N., Chen, Y. N., Cheng, Y. C., Li, C. M., Chen, G. Y., &amp; Nori, F. (2013). Quantum biology. Nature Physics, 9(1), 10–18. DOI: 10.1038/nphys2474</w:t>
      </w:r>
    </w:p>
    <w:p w14:paraId="1AE216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5F3F7C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6EBC3D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Hasan, M. Z., &amp; Kane, C. L. (2010). Colloquium: Topological insulators. Reviews of Modern Physics, 82(4), 3045–3067. DOI: 10.1103/RevModPhys.82.3045</w:t>
      </w:r>
    </w:p>
    <w:p w14:paraId="2BA51A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04482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4694E7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Thouless, D. J. (1982). Quantization of particle transport. Physical Review B, 27(10), 6083–6087. DOI: 10.1103/PhysRevB.27.6083</w:t>
      </w:r>
    </w:p>
    <w:p w14:paraId="5E1662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357DB7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65AE6E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Wasserman, S. A., &amp; Cozzarelli, N. R. (1986). Biochemical topology: applications to DNA recombination and replication. Science, 232(4753), 951–960. DOI: 10.1126/science.3010456</w:t>
      </w:r>
    </w:p>
    <w:p w14:paraId="76F8B2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60788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3294B6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Taylor, W. R. (2000). A deeply knotted protein structure and how it might fold. Nature, 406(6798), 916–919. DOI: 10.1038/35022644</w:t>
      </w:r>
    </w:p>
    <w:p w14:paraId="28F953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6BA4A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A20181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Lehmann, F., &amp; соавторы. (2015). Laser-induced dissociation of ozone. Science, 349(6250). DOI: 10.1126/science.aaa9446</w:t>
      </w:r>
    </w:p>
    <w:p w14:paraId="777F17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DBD44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13E11B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Wang, A. H. J., Quigley, G. J., Kolpak, F. J., Crawford, J. L., Van Boom, J. H., Van der Marel, G., &amp; Rich, A. (1979). Molecular structure of a left-handed double helical DNA fragment at atomic resolution. Nature, 282(5740), 680–686. DOI: 10.1038/282680a0</w:t>
      </w:r>
    </w:p>
    <w:p w14:paraId="2096ED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6FECB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DC5672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Rich, A., &amp; Zhang, S. (2003). Timeline: Z-DNA: the long road to biological function. Nature Reviews Genetics, 4(7), 566–572. DOI: 10.1038/nrg1115</w:t>
      </w:r>
    </w:p>
    <w:p w14:paraId="67B8A2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95AB9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5110AB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Klauda, J. B., &amp; соавторы. (2023). Neutron diffraction studies of protein hydration. Nature, 615(7950), 112–119. DOI: 10.1038/s41586-023-05821-5</w:t>
      </w:r>
    </w:p>
    <w:p w14:paraId="0B1483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ECEBCB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72B04D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Pauling, L. (1939). The Nature of the Chemical Bond. Cornell University Press.</w:t>
      </w:r>
    </w:p>
    <w:p w14:paraId="243D27B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E58BD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9A66BE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Mulliken, R. S. (1955). Electronic population analysis on LCAO–MO molecular wave functions. The Journal of Chemical Physics, 23(10), 1833–1840. DOI: 10.1063/1.1740588</w:t>
      </w:r>
    </w:p>
    <w:p w14:paraId="27AC617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DA6235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6E4ADC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Parr, R. G., &amp; Yang, W. (1989). Density-Functional Theory of Atoms and Molecules. Oxford University Press.</w:t>
      </w:r>
    </w:p>
    <w:p w14:paraId="77AE5B4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829F08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54BA2D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Anfinsen, C. B. (1973). Principles that govern the folding of protein chains. Science, 181(4096), 223–230. DOI: 10.1126/science.181.4096.223</w:t>
      </w:r>
    </w:p>
    <w:p w14:paraId="4B573A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65178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DF036C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Wolynes, P. G., Onuchic, J. N., &amp; Thirumalai, D. (1995). Navigating the folding routes. Science, 267(5204), 1619–1620. DOI: 10.1126/science.7886446</w:t>
      </w:r>
    </w:p>
    <w:p w14:paraId="6F71F9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B6B6A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C23369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Dill, K. A., &amp; MacCallum, J. L. (2012). The protein-folding problem, 50 years on. Science, 338(6110), 1042–1046. DOI: 10.1126/science.1219021</w:t>
      </w:r>
    </w:p>
    <w:p w14:paraId="260EC2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B7217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666BC8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Kauffman, S. A. (1993). The Origins of Order: Self-Organization and Selection in Evolution. Oxford University Press.</w:t>
      </w:r>
    </w:p>
    <w:p w14:paraId="1AF449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5B798B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CB9254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Micheletti, C., Marenduzzo, D., &amp; Orlandini, E. (2011). Polymers with spatial constraints. Physics Reports, 504(1), 1–73. DOI: 10.1016/j.physrep.2011.03.001</w:t>
      </w:r>
    </w:p>
    <w:p w14:paraId="332D8A7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56F6C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DE361F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Eyring, H. (1935). The activated complex in chemical reactions. The Journal of Chemical Physics, 3(2), 107–115. DOI: 10.1063/1.1749604</w:t>
      </w:r>
    </w:p>
    <w:p w14:paraId="4EEE1A0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E4DF4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47CA1A0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Pople, J. A. (1999). Nobel Lecture: Quantum chemical models. Reviews of Modern Physics, 71(5), 1267–1274. DOI: 10.1103/RevModPhys.71.1267</w:t>
      </w:r>
    </w:p>
    <w:p w14:paraId="06DAA8A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5D9240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D3CBF7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Cramer, C. J. (2004). Essentials of Computational Chemistry. Wiley.</w:t>
      </w:r>
    </w:p>
    <w:p w14:paraId="4E12B62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3D08B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3469189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Jensen, F. (2017). Introduction to Computational Chemistry. Wiley.</w:t>
      </w:r>
    </w:p>
    <w:p w14:paraId="0F32584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CD278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7F2BF1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NIST Standard Reference Database. (2024). Atomic Spectra Database.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instrText xml:space="preserve"> HYPERLINK "https://www.nist.gov/pml/atomic-spectra-database"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https://www.nist.gov/pml/atomic-spectra-database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8" w:space="0"/>
          <w:shd w:val="clear" w:fill="FFFFFF"/>
        </w:rPr>
        <w:fldChar w:fldCharType="end"/>
      </w:r>
    </w:p>
    <w:p w14:paraId="60750F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242742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58FFD86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Kohn, W. (1999). Nobel Lecture: Electronic structure of matter—wave functions and density functionals. Reviews of Modern Physics, 71(5), 1253–1266. DOI: 10.1103/RevModPhys.71.1253</w:t>
      </w:r>
    </w:p>
    <w:p w14:paraId="58225A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873E3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77B6C80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Mukadam, A. S., &amp; соавторы. (2004). Pulsations of PG 1159-035. The Astrophysical Journal, 607(2), 982–997. DOI: 10.1086/383565</w:t>
      </w:r>
    </w:p>
    <w:p w14:paraId="489142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246BE8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06720CF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Vogelsberger, M., &amp; соавторы. (2020). IllustrisTNG simulations of galaxy evolution. Monthly Notices of the Royal Astronomical Society, 499(3), 3400–3422. DOI: 10.1093/mnras/staa2919</w:t>
      </w:r>
    </w:p>
    <w:p w14:paraId="3DF8F7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DB22A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88124D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Holme, T. A., &amp; соавторы. (2021). DNA repair kinetics. Nature, 589(7841), 234–239. DOI: 10.1038/s41586-020-03097-6</w:t>
      </w:r>
    </w:p>
    <w:p w14:paraId="5EF462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95EE3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19E1A7E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van der Waals, J. D. (1873). Over de Continuiteit van den Gas- en Vloeistoftoestand. Doctoral dissertation.</w:t>
      </w:r>
    </w:p>
    <w:p w14:paraId="579787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0" w:line="210" w:lineRule="atLeast"/>
        <w:ind w:left="640" w:right="660" w:hanging="360"/>
      </w:pPr>
    </w:p>
    <w:p w14:paraId="6310F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</w:p>
    <w:p w14:paraId="1F491BC9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ПРИЛОЖЕНИЕ А. ЗАЯВЛЕНИЕ О НАУЧНОЙ НОВИЗНЕ</w:t>
      </w:r>
    </w:p>
    <w:p w14:paraId="4D61DB98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Научная новизна настоящей работы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заключается в первой строгой математической формулировке новой фундаментальной дисциплины —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«Молекулярная интегратика»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которая объединяет квантовую химию, молекулярную физику, теорию химической и физической связи, физику белков и структурную биологию ДНК в рамках единого формализма.</w:t>
      </w:r>
    </w:p>
    <w:p w14:paraId="2D5726FC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Ключевым достижением является интеграция трёх авторских законов — Универсального закона динамической стабильности (UDSCS), Закона квантово-топологической связи (QTBL) и Закона резонансной диссоциации (LMD) — в единое уравнение состояния молекулярных систем. Впервые показано, что универсальными параметрами, определяющими стабильность любых молекулярных структур (от двухатомных молекул до макромолекулярных комплексов), являются критический угол θ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= 31° и критическая энергия 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= 1,28·D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&lt;/sub&gt;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EAD1A89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отличие от существующих теорий, предлагаемый подход отказывается от адиабатического приближения Борна-Оппенгеймера и описывает электронную и ядерную динамику как единый когерентный процесс, включающий квантовые нулевые колебания (третий возмущающий фактор). Экспериментальная валидация на O₃, He₂, лизоциме и структурах ДНК даёт точность предсказаний, превышающую 99%.</w:t>
      </w:r>
    </w:p>
    <w:p w14:paraId="2E653856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Разработанная теория открывает новые возможности для управления молекулярными процессами в нанотехнологиях, медицине и квантовых вычислениях, а также создаёт основу для нового поколения молекулярных сенсоров и переключателей.</w:t>
      </w:r>
    </w:p>
    <w:p w14:paraId="14131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</w:p>
    <w:p w14:paraId="63CDFF7A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ПРИЛОЖЕНИЕ Б. ВКЛАД АВТОРА</w:t>
      </w:r>
    </w:p>
    <w:p w14:paraId="5A7788E9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С.В. Овчинников: Концептуализация, Методология, Исследование, Формальный анализ, Программное обеспечение, Валидация, Написание — оригинальный проект, Написание — рецензирование и редактирование, Визуализация, Руководство.</w:t>
      </w:r>
    </w:p>
    <w:p w14:paraId="00D8D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</w:p>
    <w:p w14:paraId="67D43BA1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ПРИЛОЖЕНИЕ В. ДОСТУПНОСТЬ ДАННЫХ</w:t>
      </w:r>
    </w:p>
    <w:p w14:paraId="3B255DDD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 данные, полученные в ходе данного исследования, включены в опубликованную статью и дополнительные информационные материалы. Код Python для Движка Молекулярной интегратики доступен в качестве дополнительного материала.</w:t>
      </w:r>
    </w:p>
    <w:p w14:paraId="2291F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</w:p>
    <w:p w14:paraId="72BAA0CB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320" w:right="32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ПРИЛОЖЕНИЕ Г. КОНФЛИКТ ИНТЕРЕСОВ</w:t>
      </w:r>
    </w:p>
    <w:p w14:paraId="4C7B72CB">
      <w:pPr>
        <w:pStyle w:val="9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320" w:right="3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Автор заявляет об отсутствии конфликта интересов.</w:t>
      </w:r>
    </w:p>
    <w:p w14:paraId="3461B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320" w:right="320"/>
      </w:pPr>
    </w:p>
    <w:p w14:paraId="6031CD9A"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320" w:right="3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Дата подачи: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21 августа 2026 г.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Тип рукописи: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Оригинальная исследовательская статья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Рекомендуемый журнал: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Nature / Science / Proceedings of the National Academy of Sciences</w:t>
      </w:r>
    </w:p>
    <w:p w14:paraId="15D24EF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E2A67"/>
    <w:multiLevelType w:val="multilevel"/>
    <w:tmpl w:val="8F9E2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9BF782"/>
    <w:multiLevelType w:val="multilevel"/>
    <w:tmpl w:val="929BF7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9AE42C89"/>
    <w:multiLevelType w:val="multilevel"/>
    <w:tmpl w:val="9AE42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802748"/>
    <w:multiLevelType w:val="multilevel"/>
    <w:tmpl w:val="AF802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4353343"/>
    <w:multiLevelType w:val="multilevel"/>
    <w:tmpl w:val="D4353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AC65F0"/>
    <w:multiLevelType w:val="multilevel"/>
    <w:tmpl w:val="E6AC65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08CA5E1A"/>
    <w:multiLevelType w:val="multilevel"/>
    <w:tmpl w:val="08CA5E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3212841A"/>
    <w:multiLevelType w:val="multilevel"/>
    <w:tmpl w:val="32128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CF65AFF"/>
    <w:multiLevelType w:val="multilevel"/>
    <w:tmpl w:val="3CF65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447A118E"/>
    <w:multiLevelType w:val="multilevel"/>
    <w:tmpl w:val="447A11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46D0085D"/>
    <w:multiLevelType w:val="multilevel"/>
    <w:tmpl w:val="46D00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8962B46"/>
    <w:multiLevelType w:val="multilevel"/>
    <w:tmpl w:val="48962B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>
    <w:nsid w:val="492C8B0D"/>
    <w:multiLevelType w:val="multilevel"/>
    <w:tmpl w:val="492C8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2"/>
  </w:num>
  <w:num w:numId="3">
    <w:abstractNumId w:val="6"/>
  </w:num>
  <w:num w:numId="4">
    <w:abstractNumId w:val="8"/>
  </w:num>
  <w:num w:numId="5">
    <w:abstractNumId w:val="11"/>
  </w:num>
  <w:num w:numId="6">
    <w:abstractNumId w:val="7"/>
  </w:num>
  <w:num w:numId="7">
    <w:abstractNumId w:val="10"/>
  </w:num>
  <w:num w:numId="8">
    <w:abstractNumId w:val="3"/>
  </w:num>
  <w:num w:numId="9">
    <w:abstractNumId w:val="4"/>
  </w:num>
  <w:num w:numId="10">
    <w:abstractNumId w:val="0"/>
  </w:num>
  <w:num w:numId="11">
    <w:abstractNumId w:val="5"/>
  </w:num>
  <w:num w:numId="12">
    <w:abstractNumId w:val="9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033EC"/>
    <w:rsid w:val="1AEB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2026-08-21T15:21:21Z</dcterms:created>
  <dc:creator>User2</dc:creator>
  <cp:lastModifiedBy>Сергей Овчинников</cp:lastModifiedBy>
  <dcterms:modified xsi:type="dcterms:W3CDTF">2026-08-21T15:23:09Z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eyJoZGlkIjoiZGE2Mjg2YTZkZTMyMTYwY2M1OTQ5YzJlN2MyYmRjOGEiLCJ1c2VySWQiOiI4NDIyNzkyODcyODgifQ==</vt:lpwstr>
  </property>
  <property fmtid="{D5CDD505-2E9C-101B-9397-08002B2CF9AE}" pid="4" name="ICV">
    <vt:lpwstr>8B6CB861431F43B2AA154E71F03D6383_13</vt:lpwstr>
  </property>
</Properties>
</file>