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rFonts w:ascii="PT Serif" w:hAnsi="PT Serif" w:cs="PT Serif"/>
          <w:b/>
          <w:sz w:val="28"/>
          <w:szCs w:val="28"/>
        </w:rPr>
        <w:t xml:space="preserve">Пресеты квантовых случаев (§10 ПАП-модели)</w:t>
      </w:r>
    </w:p>
    <w:p>
      <w:pPr>
        <w:pBdr>
          <w:bottom w:val="single" w:sz="6" w:space="4" w:color="1F3864"/>
        </w:pBdr>
        <w:spacing w:after="160"/>
      </w:pPr>
      <w:r>
        <w:rPr>
          <w:rFonts w:ascii="PT Serif" w:hAnsi="PT Serif" w:cs="PT Serif"/>
          <w:sz w:val="20"/>
          <w:szCs w:val="20"/>
        </w:rPr>
        <w:t xml:space="preserve">Чистовая таблица к документу «Простая модель активационных переходов (чистовик)»; верификация 10.10.2026</w:t>
      </w:r>
    </w:p>
    <w:p>
      <w:pPr>
        <w:spacing w:after="80"/>
      </w:pPr>
      <w:r>
        <w:rPr>
          <w:rFonts w:ascii="Cambria Math" w:hAnsi="Cambria Math" w:cs="Cambria Math"/>
          <w:sz w:val="22"/>
          <w:szCs w:val="22"/>
        </w:rPr>
        <w:t xml:space="preserve">p(t) = [ 1 + ( p0·R − 1 ) · exp( −ν·t·R·e^(−ΔG/E) ) ] / R</w:t>
      </w:r>
    </w:p>
    <w:p>
      <w:pPr>
        <w:spacing w:after="80"/>
      </w:pPr>
      <w:r>
        <w:rPr>
          <w:rFonts w:ascii="Cambria Math" w:hAnsi="Cambria Math" w:cs="Cambria Math"/>
          <w:sz w:val="22"/>
          <w:szCs w:val="22"/>
        </w:rPr>
        <w:t xml:space="preserve">ΔG = ΔG0·(1 − λ/λc)^(3/2),      R = 1 + e^(−δ/E),      E = kБ·T  или  ℏω</w:t>
      </w:r>
    </w:p>
    <w:p>
      <w:pPr>
        <w:spacing w:before="0" w:after="140"/>
      </w:pPr>
      <w:r>
        <w:rPr>
          <w:rFonts w:ascii="PT Serif" w:hAnsi="PT Serif" w:cs="PT Serif"/>
          <w:sz w:val="22"/>
          <w:szCs w:val="22"/>
        </w:rPr>
        <w:t xml:space="preserve">Пресеты: наборы параметров, при которых модель воспроизводит табличные формулы. Числа пересчитаны в калькуляторе КАЛКУЛЯТОР КВАНТ 2.0 и сверены с точными решениями ОДУ А5 (невязка &lt; 2·10⁻¹¹).</w:t>
      </w:r>
    </w:p>
    <w:tbl>
      <w:tblPr>
        <w:tblW w:w="9700" w:type="dxa"/>
        <w:tblBorders>
          <w:top w:val="single" w:sz="4" w:color="9AA7B8"/>
          <w:left w:val="single" w:sz="4" w:color="9AA7B8"/>
          <w:bottom w:val="single" w:sz="4" w:color="9AA7B8"/>
          <w:right w:val="single" w:sz="4" w:color="9AA7B8"/>
          <w:insideH w:val="single" w:sz="4" w:color="9AA7B8"/>
          <w:insideV w:val="single" w:sz="4" w:color="9AA7B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0"/>
        <w:gridCol w:w="3400"/>
        <w:gridCol w:w="3600"/>
        <w:gridCol w:w="950"/>
      </w:tblGrid>
      <w:tr>
        <w:tc>
          <w:tcPr>
            <w:tcW w:w="1750" w:type="dxa"/>
            <w:shd w:val="clear" w:fill="E8EEF7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b/>
                <w:sz w:val="19"/>
                <w:szCs w:val="19"/>
              </w:rPr>
              <w:t xml:space="preserve">Пресет</w:t>
            </w:r>
          </w:p>
        </w:tc>
        <w:tc>
          <w:tcPr>
            <w:tcW w:w="3400" w:type="dxa"/>
            <w:shd w:val="clear" w:fill="E8EEF7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b/>
                <w:sz w:val="19"/>
                <w:szCs w:val="19"/>
              </w:rPr>
              <w:t xml:space="preserve">Подстановка</w:t>
            </w:r>
          </w:p>
        </w:tc>
        <w:tc>
          <w:tcPr>
            <w:tcW w:w="3600" w:type="dxa"/>
            <w:shd w:val="clear" w:fill="E8EEF7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b/>
                <w:sz w:val="19"/>
                <w:szCs w:val="19"/>
              </w:rPr>
              <w:t xml:space="preserve">Что получается</w:t>
            </w:r>
          </w:p>
        </w:tc>
        <w:tc>
          <w:tcPr>
            <w:tcW w:w="950" w:type="dxa"/>
            <w:shd w:val="clear" w:fill="E8EEF7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b/>
                <w:sz w:val="19"/>
                <w:szCs w:val="19"/>
              </w:rPr>
              <w:t xml:space="preserve">A6↔A5</w:t>
            </w:r>
          </w:p>
        </w:tc>
      </w:tr>
      <w:tr>
        <w:tc>
          <w:tcPr>
            <w:tcW w:w="17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Ландау–Зенера</w:t>
            </w:r>
          </w:p>
        </w:tc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 = Δ = 1,654·10⁻⁵ эВ (щель 4 ГГц), E = 1,653·10⁻⁵ эВ (T = 0,192 К), ν = 10⁹ с⁻¹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ΔG/E = 1,000 ⇒ P(недиаабатический) = e⁻¹ = 0,368 за прохождение; v = 2πΔ²/ℏ = 2,61 МэВ/с; k₊ = 3,68·10⁸ с⁻¹</w:t>
            </w:r>
          </w:p>
        </w:tc>
        <w:tc>
          <w:tcPr>
            <w:tcW w:w="9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7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Туннелирование (ВКБ)</w:t>
            </w:r>
          </w:p>
        </w:tc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 = 0,3 эВ, E = 5,35·10⁻² эВ (T = 620,9 К), ν = 10¹⁴ с⁻¹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ΔG/E = 5,606 против 2κd = 10,245·√V·d = 5,611 для барьера 0,3 эВ × 1 нм — расхождение 0,1 %</w:t>
            </w:r>
          </w:p>
        </w:tc>
        <w:tc>
          <w:tcPr>
            <w:tcW w:w="9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7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α-распад (Гамов)</w:t>
            </w:r>
          </w:p>
        </w:tc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 = 5 эВ, E = 5,667·10⁻² эВ (T = 657,7 К), ν = 10²¹ с⁻¹, δ = 0,5 эВ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ΔG/E = 88,23, k₊ = 4,80·10⁻¹⁸ с⁻¹ ⇒ T½ = ln2/k₊ = 4,58·10⁹ лет (²³⁸U; опыт 4,47·10⁹ лет</w:t>
            </w:r>
          </w:p>
        </w:tc>
        <w:tc>
          <w:tcPr>
            <w:tcW w:w="9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7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Фазовое скольжение JJ (Крамерс)</w:t>
            </w:r>
          </w:p>
        </w:tc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 = 1,489·10⁻⁶ эВ (E_J = 50 мкэВ, i/i_c = 0,9), E = 1,723·10⁻⁶ эВ (T = 20 мК), ν = 5·10⁹ с⁻¹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ΔG/E = 0,864 ⇒ Γ = 2,11·10⁹ с⁻¹; барьер — тот же закон (1−λ/λ_c)^(3/2) из А2</w:t>
            </w:r>
          </w:p>
        </w:tc>
        <w:tc>
          <w:tcPr>
            <w:tcW w:w="9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7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Декогеренция кубита T₁</w:t>
            </w:r>
          </w:p>
        </w:tc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 = δ = 2,5 мэВ (щель 600 ГГц), E = 1,903·10⁻⁴ эВ (T = 2,21 К), ν = 10¹⁰ с⁻¹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ΔG/E = 13,14, k₊ = 1,96·10⁴ с⁻¹, k₋ = 0,039 с⁻¹ ⇒ τ = 50,9 мкс (1/k₊)</w:t>
            </w:r>
          </w:p>
        </w:tc>
        <w:tc>
          <w:tcPr>
            <w:tcW w:w="9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7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Топологическая защита</w:t>
            </w:r>
          </w:p>
        </w:tc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 = 5 эВ, E = 1,723·10⁻⁶ эВ (T = 20 мК), ν = 10¹⁰ с⁻¹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ΔG/E = 2,90·10⁶ ⇒ log₁₀τ = 1,26·10⁶ против 17,6 — возраста Вселенной в секундах: машинно k₊ = 0, τ = ∞</w:t>
            </w:r>
          </w:p>
        </w:tc>
        <w:tc>
          <w:tcPr>
            <w:tcW w:w="9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7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Нихром λ → λ_c</w:t>
            </w:r>
          </w:p>
        </w:tc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ΔG₀ = 0,9 эВ, E = 0,0378 эВ (T = 438,5 К), ν = 10¹² с⁻¹, δ = 0,5 эВ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λ ≪ λ_c: τ = 21,7 мс. λ = 0,966 λ_c: τ = 1,16 пс ⇒ падение на 10,3 порядка при 3,4 %</w:t>
            </w:r>
          </w:p>
        </w:tc>
        <w:tc>
          <w:tcPr>
            <w:tcW w:w="9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7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Svix «ровно один раз»</w:t>
            </w:r>
          </w:p>
        </w:tc>
        <w:tc>
          <w:tcPr>
            <w:tcW w:w="34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λ = λ_c (барьер снят, ΔG = 0); a = b = 10⁶ с⁻¹, c = 10³ с⁻¹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0′ = queued, 0″ = delivered, 0-3n = acked — поглощающее состояние; теорема Т1 = exactly-once</w:t>
            </w:r>
          </w:p>
        </w:tc>
        <w:tc>
          <w:tcPr>
            <w:tcW w:w="950" w:type="dxa"/>
            <w:vAlign w:val="top"/>
          </w:tcPr>
          <w:p>
            <w:pPr>
              <w:spacing w:after="0"/>
            </w:pPr>
            <w:r>
              <w:rPr>
                <w:rFonts w:ascii="PT Serif" w:hAnsi="PT Serif" w:cs="PT Serif"/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0"/>
      </w:pPr>
      <w:r>
        <w:rPr>
          <w:rFonts w:ascii="PT Serif" w:hAnsi="PT Serif" w:cs="PT Serif"/>
          <w:sz w:val="22"/>
          <w:szCs w:val="22"/>
        </w:rPr>
        <w:t xml:space="preserve"/>
      </w:r>
    </w:p>
    <w:sectPr>
      <w:pgSz w:w="11906" w:h="16838"/>
      <w:pgMar w:top="1000" w:right="1080" w:bottom="1000" w:left="1080" w:header="851" w:footer="992" w:gutter="0"/>
    </w:sectPr>
  </w:body>
</w:document>
</file>