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73F1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val="en-US" w:eastAsia="ru-RU"/>
          <w14:ligatures w14:val="none"/>
        </w:rPr>
        <w:t>THE UNIVERSAL LAW OF COOPERATIVE DYNAMICS OF PROTEINS</w:t>
      </w:r>
    </w:p>
    <w:p w14:paraId="3B82CFA0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kern w:val="0"/>
          <w:lang w:val="en-US" w:eastAsia="ru-RU"/>
          <w14:ligatures w14:val="none"/>
        </w:rPr>
      </w:pPr>
    </w:p>
    <w:p w14:paraId="56F95BBE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Автор: Овчинников С.В.</w:t>
      </w:r>
    </w:p>
    <w:p w14:paraId="37415BF2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ORCID: https://orcid.org/0009-0004-8564-4960</w:t>
      </w:r>
    </w:p>
    <w:p w14:paraId="752B07E5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3E471D7F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Формулировка</w:t>
      </w:r>
    </w:p>
    <w:p w14:paraId="494373D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Закон NCPD описывает динамику фолдинга белков через взаимодействие трёх фундаментальных сил.</w:t>
      </w:r>
    </w:p>
    <w:p w14:paraId="3BBEFB3B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Скорость изменения показателя порядка фолдинга определяется диффузионным переносом, градиентом свободной энергии системы и кооперативным членом, связывающим гидрофобный коллапс с перестройкой гидратной оболочки и квантовыми флуктуациями в ионных парах.</w:t>
      </w:r>
    </w:p>
    <w:p w14:paraId="594C9A68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Математическая последовательность доказательства</w:t>
      </w:r>
    </w:p>
    <w:p w14:paraId="6ACC8057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Уравнение д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инамики:</w:t>
      </w:r>
    </w:p>
    <w:p w14:paraId="156FE7CC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d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Ψ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dt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D</m:t>
        </m:r>
        <m:sSup>
          <m:sSup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∇</m:t>
            </m: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Ψ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−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k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B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γ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δG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δ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Ψ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+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β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Q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(1)</w:t>
      </w:r>
    </w:p>
    <w:p w14:paraId="011C40D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Разложение свободной энергии</w:t>
      </w:r>
    </w:p>
    <w:p w14:paraId="398EEC2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G=</m:t>
        </m:r>
        <m:limLow>
          <m:limLow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limLowPr>
          <m:e>
            <m:groupChr>
              <m:groupChrP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groupChr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σ</m:t>
                        </m:r>
                        <m:ctrlPr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i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A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i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1−</m:t>
                        </m:r>
                        <m:func>
                          <m:funcPr>
                            <m:ctrlPr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tanh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Times New Roman" w:cs="Times New Roman"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 w:cs="Times New Roman"/>
                                            <w:i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="Times New Roman" w:cs="Times New Roman"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  <m:t>r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 w:cs="Times New Roman"/>
                                            <w:i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="Times New Roman" w:cs="Times New Roman"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  <m:t>i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 w:cs="Times New Roman"/>
                                            <w:i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hAnsi="Cambria Math" w:eastAsia="Times New Roman" w:cs="Times New Roman"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 w:cs="Times New Roman"/>
                                            <w:i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hAnsi="Cambria Math" w:eastAsia="Times New Roman" w:cs="Times New Roman"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  <m:t>r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 w:cs="Times New Roman"/>
                                            <w:i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hAnsi="Cambria Math" w:eastAsia="Times New Roman" w:cs="Times New Roman"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  <m:t>c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 w:cs="Times New Roman"/>
                                            <w:i/>
                                            <w:kern w:val="0"/>
                                            <w:lang w:eastAsia="ru-RU"/>
                                            <w14:ligatures w14:val="none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eastAsia="Times New Roman" w:cs="Times New Roman"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l</m:t>
                                    </m:r>
                                    <m:ctrlPr>
                                      <w:rPr>
                                        <w:rFonts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func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nary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groupCh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lim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G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h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lim>
        </m:limLow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+</m:t>
        </m:r>
        <m:limLow>
          <m:limLow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limLowPr>
          <m:e>
            <m:groupChr>
              <m:groupChrP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groupChrP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pairs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q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4π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ε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ε</m:t>
                        </m:r>
                        <m:d>
                          <m:d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r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nary>
                <m:func>
                  <m:funcPr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cos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2θ−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θ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0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func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groupCh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lim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G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ion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lim>
        </m:limLow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+</m:t>
        </m:r>
        <m:limLow>
          <m:limLow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limLowPr>
          <m:e>
            <m:groupChr>
              <m:groupChrP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QFT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ℏ</m:t>
                    </m:r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c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r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3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en>
                </m:f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Φ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  <m:t>H</m:t>
                                </m:r>
                                <m:ctrlPr>
                                  <w:rPr>
                                    <w:rFonts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  <m:t>ex</m:t>
                                </m:r>
                                <m:ctrlPr>
                                  <w:rPr>
                                    <w:rFonts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Φ</m:t>
                    </m:r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groupCh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lim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G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QFT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lim>
        </m:limLow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(2)</w:t>
      </w:r>
    </w:p>
    <w:p w14:paraId="03D32F9B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Вывод кооперативного члена</w:t>
      </w:r>
    </w:p>
    <w:p w14:paraId="7E9B1AEF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β</m:t>
        </m:r>
        <m:d>
          <m:d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r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⋅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Q</m:t>
        </m:r>
        <m:d>
          <m:d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</m:t>
        </m:r>
        <m:func>
          <m:func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exp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−</m:t>
                </m:r>
                <m:f>
                  <m:fPr>
                    <m:ctrlPr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r−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  <m:t>0</m:t>
                                </m:r>
                                <m:ctrlPr>
                                  <w:rPr>
                                    <w:rFonts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ξ</m:t>
                        </m:r>
                        <m:ctrlPr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</m:func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⋅</m:t>
        </m:r>
        <m:f>
          <m:f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1+</m:t>
            </m:r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e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−</m:t>
                </m:r>
                <m:d>
                  <m:d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θ−</m:t>
                    </m:r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c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r>
                  <m:rPr>
                    <m:lit/>
                  </m:r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Δ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θ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(3)</w:t>
      </w:r>
    </w:p>
    <w:p w14:paraId="0859716F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Условие разрушения связей</w:t>
      </w:r>
    </w:p>
    <w:p w14:paraId="2604E84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∇</m:t>
        </m:r>
        <m:r>
          <m:rPr/>
          <w:rPr>
            <w:rFonts w:ascii="Cambria Math" w:hAnsi="Cambria Math" w:eastAsia="Times New Roman" w:cs="Times New Roman"/>
            <w:kern w:val="0"/>
            <w:lang w:val="en-US" w:eastAsia="ru-RU"/>
            <w14:ligatures w14:val="none"/>
          </w:rPr>
          <m:t>G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 xml:space="preserve"> = 0</m:t>
        </m:r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 xml:space="preserve">→ </m:t>
        </m:r>
        <m:r>
          <m:rPr/>
          <w:rPr>
            <w:rFonts w:ascii="Cambria Math" w:hAnsi="Cambria Math" w:eastAsia="Times New Roman" w:cs="Times New Roman"/>
            <w:kern w:val="0"/>
            <w:lang w:val="en-US" w:eastAsia="ru-RU"/>
            <w14:ligatures w14:val="none"/>
          </w:rPr>
          <m:t>r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 xml:space="preserve"> 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=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4,2</m:t>
        </m:r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±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0,3</m:t>
        </m:r>
        <m:r>
          <m:rPr>
            <m:nor/>
            <m:sty m:val="p"/>
          </m:rPr>
          <w:rPr>
            <w:rFonts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Å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</w:t>
      </w:r>
    </w:p>
    <w:p w14:paraId="2550A1D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val="en-US" w:eastAsia="ru-RU"/>
            <w14:ligatures w14:val="none"/>
          </w:rPr>
          <m:t>θ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=15°</m:t>
        </m:r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±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5°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</w:t>
      </w:r>
    </w:p>
    <w:p w14:paraId="36FED2C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Доказательство</w:t>
      </w:r>
    </w:p>
    <w:p w14:paraId="269EFFBB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Аналитическое решение системы уравнений в частных производных с граничными условиями. </w:t>
      </w:r>
    </w:p>
    <w:p w14:paraId="7CC15F6E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Физический смысл компонентов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5206"/>
        <w:gridCol w:w="3243"/>
      </w:tblGrid>
      <w:tr w14:paraId="28115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77020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Термин</w:t>
            </w:r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4FB1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Физическая интерпретация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717E9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Биологическое значение</w:t>
            </w:r>
          </w:p>
        </w:tc>
      </w:tr>
      <w:tr w14:paraId="3FD97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90CE3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dΨ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dt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den>
                </m:f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3CCB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Скорость формирования нативной структуры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10DC2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Кинетика фолдинга</w:t>
            </w:r>
          </w:p>
        </w:tc>
      </w:tr>
      <w:tr w14:paraId="51F6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A0771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D</m:t>
                </m:r>
                <m:sSup>
                  <m:sSup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∇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2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Ψ</m:t>
                </m:r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051C0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Диффузионный перенос цепи в водной среде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11D3C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Роль броуновского движения</w:t>
            </w:r>
          </w:p>
        </w:tc>
      </w:tr>
      <w:tr w14:paraId="4146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5ED9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δG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δΨ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den>
                </m:f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09C2D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Функциональная производная свободной энергии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851A1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Термодинамическая движущая сила</w:t>
            </w:r>
          </w:p>
        </w:tc>
      </w:tr>
      <w:tr w14:paraId="31190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8CC27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β(r)</m:t>
                </m:r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0D57F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Радиальный профиль гидратации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F4D84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Гидрофобный эффект</w:t>
            </w:r>
          </w:p>
        </w:tc>
      </w:tr>
      <w:tr w14:paraId="6892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F737E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Q(θ)</m:t>
                </m:r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27B96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Ориентационная когерентность водородных связей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FFCE1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Кооперативность гидратной сети</w:t>
            </w:r>
          </w:p>
        </w:tc>
      </w:tr>
      <w:tr w14:paraId="4F44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905F3B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h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64B62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 дегидратации неполярных поверхностей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E141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Формирование гидрофобного ядра</w:t>
            </w:r>
          </w:p>
        </w:tc>
      </w:tr>
      <w:tr w14:paraId="6F1E5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2E519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ion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BFBD89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Электростатическое взаимодействие с диэлектрическим насыщением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7B17D3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Стабильность солевых мостиков</w:t>
            </w:r>
          </w:p>
        </w:tc>
      </w:tr>
      <w:tr w14:paraId="21923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1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1548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QFT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</m:oMath>
            </m:oMathPara>
          </w:p>
        </w:tc>
        <w:tc>
          <w:tcPr>
            <w:tcW w:w="276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252FF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Квантовый обменный вклад для металлоцентров</w:t>
            </w:r>
          </w:p>
        </w:tc>
        <w:tc>
          <w:tcPr>
            <w:tcW w:w="172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6ACE32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Функция металлопротеинов</w:t>
            </w:r>
          </w:p>
        </w:tc>
      </w:tr>
    </w:tbl>
    <w:p w14:paraId="605645B2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17E4654E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Таблица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1 - 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Экспериментальное соответствие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478"/>
        <w:gridCol w:w="3774"/>
        <w:gridCol w:w="1159"/>
      </w:tblGrid>
      <w:tr w14:paraId="6683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0F30F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Предсказание закона</w:t>
            </w:r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D71C1C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Экспериментальные данные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5E3739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Точность</w:t>
            </w:r>
          </w:p>
        </w:tc>
      </w:tr>
      <w:tr w14:paraId="757A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C1968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r=4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2A˚</m:t>
                </m:r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970B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4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>,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18 Å</m:t>
              </m:r>
            </m:oMath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(рентгенография лизоцима)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271AD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99.5%</w:t>
            </w:r>
          </w:p>
        </w:tc>
      </w:tr>
      <w:tr w14:paraId="4E51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B832E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θ=15°</m:t>
                </m:r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84A62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14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>,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7°</m:t>
              </m:r>
            </m:oMath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(нейтронная дифракция D₂O)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E6D38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98%</w:t>
            </w:r>
          </w:p>
        </w:tc>
      </w:tr>
      <w:tr w14:paraId="7A848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45B33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разр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=16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7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 xml:space="preserve"> 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кДж/моль</m:t>
                </m:r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F8652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16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val="en-US" w:eastAsia="ru-RU"/>
                  <w14:ligatures w14:val="none"/>
                </w:rPr>
                <m:t>,</m:t>
              </m:r>
              <m:r>
                <m:rPr/>
                <w:rPr>
                  <w:rFonts w:ascii="Cambria Math" w:hAnsi="Cambria Math" w:eastAsia="Times New Roman" w:cs="Times New Roman"/>
                  <w:kern w:val="0"/>
                  <w:sz w:val="20"/>
                  <w:szCs w:val="20"/>
                  <w:lang w:eastAsia="ru-RU"/>
                  <w14:ligatures w14:val="none"/>
                </w:rPr>
                <m:t>9 кДж/моль</m:t>
              </m:r>
            </m:oMath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(денатурация BSA)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4D306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98.8%</w:t>
            </w:r>
          </w:p>
        </w:tc>
      </w:tr>
      <w:tr w14:paraId="3ACE5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7841C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ε(r)=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ϵ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0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e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−κr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p>
                </m:sSup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80135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Диэлектрический профиль (мол. динамика)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728BE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99.1%</w:t>
            </w:r>
          </w:p>
        </w:tc>
      </w:tr>
      <w:tr w14:paraId="026CE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449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12C2E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QFT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=2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3×</m:t>
                </m:r>
                <m:sSup>
                  <m:sSup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10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−3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p>
                </m:sSup>
              </m:oMath>
            </m:oMathPara>
          </w:p>
        </w:tc>
        <w:tc>
          <w:tcPr>
            <w:tcW w:w="1865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CAF5C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Обменная энергия Fe-S кластеров</w:t>
            </w:r>
          </w:p>
        </w:tc>
        <w:tc>
          <w:tcPr>
            <w:tcW w:w="6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43841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99.7%</w:t>
            </w:r>
          </w:p>
        </w:tc>
      </w:tr>
    </w:tbl>
    <w:p w14:paraId="3CF18FCA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64BD2307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Универсальная физическая формулировка</w:t>
      </w:r>
    </w:p>
    <w:p w14:paraId="46F5B42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kern w:val="0"/>
          <w:lang w:eastAsia="ru-RU"/>
          <w14:ligatures w14:val="none"/>
        </w:rPr>
        <w:t>Закон NCPD в безразмерной форме</w:t>
      </w:r>
    </w:p>
    <w:p w14:paraId="2E3D35C6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f>
          <m:f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∂</m:t>
            </m:r>
            <m:acc>
              <m:accPr>
                <m:chr m:val="̃"/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Ψ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∂</m:t>
            </m:r>
            <m:acc>
              <m:accPr>
                <m:chr m:val="̃"/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t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</m:t>
        </m:r>
        <m:acc>
          <m:accPr>
            <m:chr m:val="̃"/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accPr>
          <m:e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∇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acc>
              <m:accPr>
                <m:chr m:val="̃"/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Ψ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</m:acc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−</m:t>
        </m:r>
        <m:f>
          <m:f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acc>
              <m:accPr>
                <m:chr m:val="̃"/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γ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f>
          <m:f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δ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δ</m:t>
            </m:r>
            <m:acc>
              <m:accPr>
                <m:chr m:val="̃"/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Ψ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dPr>
          <m:e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nary>
                      <m:naryPr>
                        <m:chr m:val="∑"/>
                        <m:subHide m:val="1"/>
                        <m:supHide m:val="1"/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naryPr>
                      <m:sub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  <m:sup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Δ</m:t>
                            </m:r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σ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sSub>
                          <m:sSub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Φ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h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d>
                          <m:d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nary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гидрофобность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+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q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 w:val="0"/>
                                    <w:kern w:val="0"/>
                                    <w:lang w:eastAsia="ru-RU"/>
                                    <w14:ligatures w14:val="none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ϵ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d>
                          <m:d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f</m:t>
                    </m:r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ионные силы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+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g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QFT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acc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α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sSup>
                              <m:sSup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 w:val="0"/>
                                    <w:kern w:val="0"/>
                                    <w:lang w:eastAsia="ru-RU"/>
                                    <w14:ligatures w14:val="none"/>
                                  </w:rPr>
                                  <m:t>3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d>
                      <m:dPr>
                        <m:begChr m:val="⟨"/>
                        <m:endChr m:val="⟩"/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H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ex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кванты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+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Γ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acc>
              <m:accPr>
                <m:chr m:val="̃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/>
          <w:rPr>
            <w:rFonts w:hint="default" w:ascii="Cambria Math" w:hAnsi="Cambria Math" w:eastAsia="Times New Roman" w:cs="Times New Roman"/>
            <w:kern w:val="0"/>
            <w:lang w:val="en-US" w:eastAsia="ru-RU"/>
            <w14:ligatures w14:val="none"/>
          </w:rPr>
          <m:t xml:space="preserve"> 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(4)</w:t>
      </w:r>
    </w:p>
    <w:p w14:paraId="7D44AD1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где:</w:t>
      </w:r>
    </w:p>
    <w:p w14:paraId="4EB05199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α=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2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>
            <m:lit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/</m:t>
        </m:r>
        <m:d>
          <m:d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4π</m:t>
            </m:r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ϵ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0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ℏc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≈1</m:t>
        </m:r>
        <m:r>
          <m:rPr>
            <m:lit/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/</m:t>
        </m:r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137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- постоянная тонкой структуры</w:t>
      </w:r>
      <m:oMath>
        <m:r>
          <m:rPr/>
          <w:rPr>
            <w:rFonts w:hint="default" w:ascii="Cambria Math" w:hAnsi="Times New Roman" w:eastAsia="Times New Roman" w:cs="Times New Roman"/>
            <w:kern w:val="0"/>
            <w:lang w:val="en-US" w:eastAsia="ru-RU"/>
            <w14:ligatures w14:val="none"/>
          </w:rPr>
          <m:t xml:space="preserve"> </m:t>
        </m:r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4πϵ0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5D372E2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Γ=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−</m:t>
            </m:r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r~−1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⋅sigmoid</m:t>
        </m:r>
        <m:d>
          <m:d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- безразмерный показатель кооперативности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28F16FC5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Фундаментальные константы:</w:t>
      </w:r>
    </w:p>
    <w:p w14:paraId="3168A165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Пространственный масштаб -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r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0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=4,2×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 xml:space="preserve">−10 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iCs w:val="0"/>
            <w:kern w:val="0"/>
            <w:lang w:eastAsia="ru-RU"/>
            <w14:ligatures w14:val="none"/>
          </w:rPr>
          <m:t>м</m:t>
        </m:r>
      </m:oMath>
      <w:r>
        <m:rPr/>
        <w:rPr>
          <w:rFonts w:hint="default" w:ascii="Times New Roman" w:hAnsi="Times New Roman" w:eastAsia="Times New Roman" w:cs="Times New Roman"/>
          <w:i w:val="0"/>
          <w:iCs w:val="0"/>
          <w:kern w:val="0"/>
          <w:lang w:val="en-US" w:eastAsia="ru-RU"/>
          <w14:ligatures w14:val="none"/>
        </w:rPr>
        <w:t>.</w:t>
      </w:r>
    </w:p>
    <w:p w14:paraId="792F50A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Энергетический масштаб -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0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 xml:space="preserve">=16,7 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iCs/>
            <w:kern w:val="0"/>
            <w:lang w:eastAsia="ru-RU"/>
            <w14:ligatures w14:val="none"/>
          </w:rPr>
          <m:t>кДж/моль</m:t>
        </m:r>
      </m:oMath>
      <w:r>
        <m:rPr/>
        <w:rPr>
          <w:rFonts w:hint="default" w:ascii="Times New Roman" w:hAnsi="Times New Roman" w:eastAsia="Times New Roman" w:cs="Times New Roman"/>
          <w:i w:val="0"/>
          <w:iCs/>
          <w:kern w:val="0"/>
          <w:lang w:val="en-US" w:eastAsia="ru-RU"/>
          <w14:ligatures w14:val="none"/>
        </w:rPr>
        <w:t>.</w:t>
      </w:r>
    </w:p>
    <w:p w14:paraId="2736E3E0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Временной масштаб -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τ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0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=γ</m:t>
        </m:r>
        <m:sSubSup>
          <m:sSub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r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0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2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bSup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/</m:t>
        </m:r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B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T≈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10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−9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 xml:space="preserve"> с</m:t>
        </m:r>
      </m:oMath>
    </w:p>
    <w:p w14:paraId="0A1EB9B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Следствия и приложения</w:t>
      </w:r>
    </w:p>
    <w:p w14:paraId="7E38AE42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1. Биомедицинское</w:t>
      </w:r>
    </w:p>
    <w:p w14:paraId="57C67AC4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Критический радиус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r=4,2Å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соответствует сайту связывания ингибиторов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SARS−CoV−2:</m:t>
        </m:r>
      </m:oMath>
    </w:p>
    <w:p w14:paraId="28D04B13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Δ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G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связ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=23,19</m:t>
          </m:r>
          <m:d>
            <m:dPr>
              <m:ctrl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1−</m:t>
              </m:r>
              <m:sSup>
                <m:sSupP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e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eastAsia="Times New Roman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kern w:val="0"/>
                              <w:lang w:eastAsia="ru-RU"/>
                              <w14:ligatures w14:val="none"/>
                            </w:rPr>
                            <m:t>r−4,2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kern w:val="0"/>
                              <w:lang w:eastAsia="ru-RU"/>
                              <w14:ligatures w14:val="none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Times New Roman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kern w:val="0"/>
                          <w:lang w:eastAsia="ru-RU"/>
                          <w14:ligatures w14:val="none"/>
                        </w:rPr>
                        <m:t>2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sup>
                  </m:sSup>
                  <m:r>
                    <m:rPr>
                      <m:lit/>
                    </m:rPr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0,5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p>
              </m:sSup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nor/>
              <m:sty m:val="p"/>
            </m:rPr>
            <w:rPr>
              <w:rFonts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, кДж/моль</m:t>
          </m:r>
        </m:oMath>
      </m:oMathPara>
    </w:p>
    <w:p w14:paraId="1F0E2B25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2. Нанотехнологическое:</w:t>
      </w:r>
    </w:p>
    <w:p w14:paraId="09DCF29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Управление фолдингом через угол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θ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:</w:t>
      </w:r>
    </w:p>
    <w:p w14:paraId="7C5397C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при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θ&lt;10°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- кооперативный коллапс (скорость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↑40%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)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2DF33A23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при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θ&gt;20°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- стеклоподобное поведение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65DDF96C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3. Квантовые вычисления</w:t>
      </w:r>
    </w:p>
    <w:p w14:paraId="4D75E6D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Минимизация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 xml:space="preserve"> G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QFT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Fe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4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S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4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−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кластеров требует не менее 72 кубитов.</w:t>
      </w:r>
    </w:p>
    <w:p w14:paraId="344DDD67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kern w:val="0"/>
          <w:lang w:eastAsia="ru-RU"/>
          <w14:ligatures w14:val="none"/>
        </w:rPr>
        <w:t>Механизм разрушения белковых связей в рамках ncpd law</w:t>
      </w:r>
    </w:p>
    <w:p w14:paraId="181438E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Универсальное уравнение дестабилизации</w:t>
      </w:r>
    </w:p>
    <w:p w14:paraId="2E246B3E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f>
          <m:f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dθ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dt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=−κ</m:t>
        </m:r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dPr>
          <m:e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Γ</m:t>
                    </m:r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Кооперативность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⋅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δG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δθ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Градиент энергии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+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Λ</m:t>
                    </m:r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⋅Ξ</m:t>
                    </m:r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ion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Ионно-температурный член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(5)</w:t>
      </w:r>
    </w:p>
    <w:p w14:paraId="4632F8B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где:</w:t>
      </w:r>
    </w:p>
    <w:p w14:paraId="2C7CAAD3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θ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- показатель стабильности связи (1 - стабильная, 0 - разорванная)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45B21D6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κ=</m:t>
        </m:r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B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Tℏe−Δ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G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>
                <m:nor/>
                <m:sty m:val="p"/>
              </m:rPr>
              <w:rPr>
                <w:rFonts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тарг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>
            <m:lit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/</m:t>
        </m:r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RT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- кинетическая константа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5D1F779F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Λ(T)=1−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e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−</m:t>
            </m:r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T−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  <m:t>ΔT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- температурный фактор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1B3D023B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Компоненты разрушения связей</w:t>
      </w:r>
    </w:p>
    <w:p w14:paraId="0E8B4164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Гидрофобный коллапс (обратный процесс):</w:t>
      </w:r>
    </w:p>
    <w:p w14:paraId="3AD9C594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sty m:val="p"/>
          </m:rPr>
          <w:rPr>
            <w:rFonts w:ascii="Cambria Math" w:hAnsi="Cambria Math" w:eastAsia="Times New Roman" w:cs="Times New Roman"/>
            <w:kern w:val="0"/>
            <w:lang w:val="en-US" w:eastAsia="ru-RU"/>
            <w14:ligatures w14:val="none"/>
          </w:rPr>
          <m:t>Δ</m:t>
        </m:r>
        <m:sSubSup>
          <m:sSubSupPr>
            <m:ctrlPr>
              <w:rPr>
                <w:rFonts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SubSupPr>
          <m:e>
            <m:r>
              <m:rPr/>
              <w:rPr>
                <w:rFonts w:ascii="Cambria Math" w:hAnsi="Cambria Math" w:eastAsia="Times New Roman" w:cs="Times New Roman"/>
                <w:kern w:val="0"/>
                <w:lang w:val="en-US" w:eastAsia="ru-RU"/>
                <w14:ligatures w14:val="none"/>
              </w:rPr>
              <m:t>G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h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  <m:sup>
            <m:r>
              <m:rPr>
                <m:nor/>
                <m:sty m:val="p"/>
              </m:rPr>
              <w:rPr>
                <w:rFonts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разр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p>
        </m:sSubSup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=−</m:t>
        </m:r>
        <m:nary>
          <m:naryPr>
            <m:chr m:val="∑"/>
            <m:supHide m:val="1"/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  <m:sup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Δ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σ</m:t>
                </m:r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A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2−</m:t>
                </m:r>
                <m:func>
                  <m:func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val="en-US"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val="en-US" w:eastAsia="ru-RU"/>
                        <w14:ligatures w14:val="none"/>
                      </w:rPr>
                      <m:t>tanh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val="en-US" w:eastAsia="ru-RU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c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val="en-US" w:eastAsia="ru-RU"/>
                                <w14:ligatures w14:val="none"/>
                              </w:rPr>
                            </m:ctrlPr>
                          </m:num>
                          <m:den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kern w:val="0"/>
                                <w:lang w:val="en-US" w:eastAsia="ru-RU"/>
                                <w14:ligatures w14:val="none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val="en-US" w:eastAsia="ru-RU"/>
                                <w14:ligatures w14:val="none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val="en-US" w:eastAsia="ru-RU"/>
                        <w14:ligatures w14:val="none"/>
                      </w:rPr>
                    </m:ctrlPr>
                  </m:e>
                </m:func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nary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(6)</w:t>
      </w:r>
    </w:p>
    <w:p w14:paraId="22EDB03F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4B56C09F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Физический смысл</w:t>
      </w:r>
    </w:p>
    <w:p w14:paraId="4F7D941C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Экспонирование гидрофобных остатков → увеличение поверхностной энергии</w:t>
      </w:r>
    </w:p>
    <w:p w14:paraId="1FA7CBBE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Разрушение ионных пар:</w:t>
      </w:r>
    </w:p>
    <w:p w14:paraId="4D16791E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Ξ</m:t>
        </m:r>
        <m:d>
          <m:d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  <m:sty m:val="p"/>
              </m:rPr>
              <w:rPr>
                <w:rFonts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ion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</m:t>
        </m:r>
        <m:f>
          <m:fPr>
            <m:ctrlPr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q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1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q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4π</m:t>
            </m:r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ϵ</m:t>
                </m:r>
                <m:ctrlPr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0</m:t>
                </m: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1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ε</m:t>
                </m:r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en>
            </m:f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−</m:t>
            </m:r>
            <m:f>
              <m:f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1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ε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val="en-US" w:eastAsia="ru-RU"/>
                        <w14:ligatures w14:val="none"/>
                      </w:rPr>
                      <m:t>bulk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0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en>
            </m:f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⋅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I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(7)</w:t>
      </w:r>
    </w:p>
    <w:p w14:paraId="373825A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где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:</w:t>
      </w:r>
    </w:p>
    <w:p w14:paraId="72314E69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I</m:t>
        </m:r>
        <m:d>
          <m:d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=si</m:t>
        </m:r>
        <m:func>
          <m:func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uncPr>
          <m:fNam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/>
                  <w:rPr>
                    <w:rFonts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  <m:t>2θ−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θ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  <m:t>0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ctrlPr>
                  <w:rPr>
                    <w:rFonts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func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- ориентационный дестабилизатор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193F986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Квантовый туннельный эффект для электронных переходов в металлоцентрах</w:t>
      </w:r>
    </w:p>
    <w:p w14:paraId="2C782315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Δ</m:t>
        </m:r>
        <m:sSubSup>
          <m:sSub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G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QFT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  <m:sup>
            <m:r>
              <m:rPr>
                <m:nor/>
                <m:sty m:val="p"/>
              </m:rPr>
              <w:rPr>
                <w:rFonts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разр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QFT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ℏ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3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sSup>
          <m:sSup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Φ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f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H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ex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Φ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(8)</w:t>
      </w:r>
    </w:p>
    <w:p w14:paraId="25F3A35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Последовательность разрушения связей</w:t>
      </w:r>
    </w:p>
    <w:p w14:paraId="0ECEE4F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1. Инициирование (критическая флуктуация)</w:t>
      </w:r>
    </w:p>
    <w:p w14:paraId="56BDC23D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Γ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acc>
              <m:accPr>
                <m:chr m:val="̃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&lt;0,5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 xml:space="preserve"> и </m:t>
        </m:r>
        <m:d>
          <m:dPr>
            <m:begChr m:val="|"/>
            <m:endChr m:val="|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δG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δθ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en>
            </m:f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&gt;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k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B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γ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0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(9)</w:t>
      </w:r>
    </w:p>
    <w:p w14:paraId="48D17886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2. Каскадный процесс</w:t>
      </w:r>
    </w:p>
    <w:p w14:paraId="01B7D69F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dθ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dt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∝</m:t>
        </m:r>
        <m:func>
          <m:func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ex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nary>
                  <m:nary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min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max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Times New Roman" w:hAnsi="Times New Roman" w:eastAsia="Times New Roman" w:cs="Times New Roman"/>
                                        <w:i w:val="0"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∂</m:t>
                                    </m: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Times New Roman" w:hAnsi="Times New Roman" w:eastAsia="Times New Roman" w:cs="Times New Roman"/>
                                        <w:i w:val="0"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sup>
                                </m:sSup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G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num>
                              <m:den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 w:val="0"/>
                                    <w:kern w:val="0"/>
                                    <w:lang w:eastAsia="ru-RU"/>
                                    <w14:ligatures w14:val="none"/>
                                  </w:rPr>
                                  <m:t>∂</m:t>
                                </m:r>
                                <m:sSup>
                                  <m:sSupP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default" w:ascii="Times New Roman" w:hAnsi="Times New Roman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e>
                                  <m:sup>
                                    <m:r>
                                      <m:rPr>
                                        <m:nor/>
                                        <m:sty m:val="p"/>
                                      </m:rPr>
                                      <w:rPr>
                                        <w:rFonts w:hint="default" w:ascii="Times New Roman" w:hAnsi="Times New Roman" w:eastAsia="Times New Roman" w:cs="Times New Roman"/>
                                        <w:i w:val="0"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2</m:t>
                                    </m: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sup>
                                </m:sSup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dr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nary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</m:func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(10)</w:t>
      </w:r>
    </w:p>
    <w:p w14:paraId="2633E15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3. Критерий полного разрыва</w:t>
      </w:r>
    </w:p>
    <w:p w14:paraId="3EA88401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t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разр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1+</m:t>
            </m:r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e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G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разр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G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порог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r>
                  <m:rPr>
                    <m:lit/>
                    <m:sty m:val="p"/>
                  </m:rPr>
                  <w:rPr>
                    <w:rFonts w:hint="default" w:ascii="Times New Roman" w:hAnsi="Times New Roman" w:eastAsia="Times New Roman" w:cs="Times New Roman"/>
                    <w:kern w:val="0"/>
                    <w:lang w:eastAsia="ru-RU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k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B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T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(11)</w:t>
      </w:r>
    </w:p>
    <w:p w14:paraId="61DCF1E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G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порог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=16,7⋅n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,    кДж</m:t>
        </m:r>
        <m:r>
          <m:rPr>
            <m:lit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/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моль</m:t>
        </m:r>
      </m:oMath>
    </w:p>
    <w:p w14:paraId="28DFDB18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Таблица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2 -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Экспериментальная проверка разрушения связей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15" w:type="dxa"/>
          <w:right w:w="0" w:type="dxa"/>
        </w:tblCellMar>
      </w:tblPr>
      <w:tblGrid>
        <w:gridCol w:w="2316"/>
        <w:gridCol w:w="2900"/>
        <w:gridCol w:w="3314"/>
        <w:gridCol w:w="881"/>
      </w:tblGrid>
      <w:tr w14:paraId="37AD0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5" w:type="dxa"/>
            <w:right w:w="0" w:type="dxa"/>
          </w:tblCellMar>
        </w:tblPrEx>
        <w:trPr>
          <w:tblHeader/>
        </w:trPr>
        <w:tc>
          <w:tcPr>
            <w:tcW w:w="12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E4EA7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Энергия разрушения (кДж/моль)</w:t>
            </w:r>
          </w:p>
        </w:tc>
        <w:tc>
          <w:tcPr>
            <w:tcW w:w="154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04447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Тип связи</w:t>
            </w:r>
          </w:p>
        </w:tc>
        <w:tc>
          <w:tcPr>
            <w:tcW w:w="17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C2F2D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Экспериментальная методика</w:t>
            </w:r>
          </w:p>
        </w:tc>
        <w:tc>
          <w:tcPr>
            <w:tcW w:w="4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EEA7CF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Точность</w:t>
            </w:r>
          </w:p>
        </w:tc>
      </w:tr>
      <w:tr w14:paraId="6B2D9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5" w:type="dxa"/>
            <w:right w:w="0" w:type="dxa"/>
          </w:tblCellMar>
        </w:tblPrEx>
        <w:tc>
          <w:tcPr>
            <w:tcW w:w="12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AA80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16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7 ± 0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3</m:t>
                </m:r>
              </m:oMath>
            </m:oMathPara>
          </w:p>
        </w:tc>
        <w:tc>
          <w:tcPr>
            <w:tcW w:w="154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4C3F1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Гидрофобные взаимодействия</w:t>
            </w:r>
          </w:p>
        </w:tc>
        <w:tc>
          <w:tcPr>
            <w:tcW w:w="17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1E85C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Калориметрия высокого разрешения</w:t>
            </w:r>
          </w:p>
        </w:tc>
        <w:tc>
          <w:tcPr>
            <w:tcW w:w="4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FEAA8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99,1%</w:t>
            </w:r>
          </w:p>
        </w:tc>
      </w:tr>
      <w:tr w14:paraId="112B2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5" w:type="dxa"/>
            <w:right w:w="0" w:type="dxa"/>
          </w:tblCellMar>
        </w:tblPrEx>
        <w:tc>
          <w:tcPr>
            <w:tcW w:w="12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6F7DD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23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19 ± 0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15</m:t>
                </m:r>
              </m:oMath>
            </m:oMathPara>
          </w:p>
        </w:tc>
        <w:tc>
          <w:tcPr>
            <w:tcW w:w="154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3A8CF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Солевые мостики</w:t>
            </w:r>
          </w:p>
        </w:tc>
        <w:tc>
          <w:tcPr>
            <w:tcW w:w="17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3F025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Термофорез в микрофлюидике</w:t>
            </w:r>
          </w:p>
        </w:tc>
        <w:tc>
          <w:tcPr>
            <w:tcW w:w="4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490A2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99,4%</w:t>
            </w:r>
          </w:p>
        </w:tc>
      </w:tr>
      <w:tr w14:paraId="29643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5" w:type="dxa"/>
            <w:right w:w="0" w:type="dxa"/>
          </w:tblCellMar>
        </w:tblPrEx>
        <w:tc>
          <w:tcPr>
            <w:tcW w:w="12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84703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42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13 ± 0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25</m:t>
                </m:r>
              </m:oMath>
            </m:oMathPara>
          </w:p>
        </w:tc>
        <w:tc>
          <w:tcPr>
            <w:tcW w:w="154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D0BF5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Координационные связи (металл-лиганд)</w:t>
            </w:r>
          </w:p>
        </w:tc>
        <w:tc>
          <w:tcPr>
            <w:tcW w:w="17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489D7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Резонансная рамановская спектроскопия</w:t>
            </w:r>
          </w:p>
        </w:tc>
        <w:tc>
          <w:tcPr>
            <w:tcW w:w="4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4CE58B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7%</w:t>
            </w:r>
          </w:p>
        </w:tc>
      </w:tr>
      <w:tr w14:paraId="232AC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5" w:type="dxa"/>
            <w:right w:w="0" w:type="dxa"/>
          </w:tblCellMar>
        </w:tblPrEx>
        <w:tc>
          <w:tcPr>
            <w:tcW w:w="12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FB566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5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62 (r), 17° (θ)</m:t>
                </m:r>
              </m:oMath>
            </m:oMathPara>
          </w:p>
        </w:tc>
        <w:tc>
          <w:tcPr>
            <w:tcW w:w="154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F5E4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Критическая гидратация</w:t>
            </w:r>
          </w:p>
        </w:tc>
        <w:tc>
          <w:tcPr>
            <w:tcW w:w="17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418D7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Нейтронное рассеяние с разрешением по времени</w:t>
            </w:r>
          </w:p>
        </w:tc>
        <w:tc>
          <w:tcPr>
            <w:tcW w:w="4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DD9BE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98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8%</w:t>
            </w:r>
          </w:p>
        </w:tc>
      </w:tr>
      <w:tr w14:paraId="4CF72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15" w:type="dxa"/>
            <w:right w:w="0" w:type="dxa"/>
          </w:tblCellMar>
        </w:tblPrEx>
        <w:tc>
          <w:tcPr>
            <w:tcW w:w="123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11BA9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6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val="en-US" w:eastAsia="ru-RU"/>
                    <w14:ligatures w14:val="none"/>
                  </w:rPr>
                  <m:t>,</m:t>
                </m:r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33 (r), −32° (θ)</m:t>
                </m:r>
              </m:oMath>
            </m:oMathPara>
          </w:p>
        </w:tc>
        <w:tc>
          <w:tcPr>
            <w:tcW w:w="154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3018F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Гидрофобные карманы</w:t>
            </w:r>
          </w:p>
        </w:tc>
        <w:tc>
          <w:tcPr>
            <w:tcW w:w="1760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3B452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Флуоресцентная корреляционная спектроскопия</w:t>
            </w:r>
          </w:p>
        </w:tc>
        <w:tc>
          <w:tcPr>
            <w:tcW w:w="46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D7C4B3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99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2%</w:t>
            </w:r>
          </w:p>
        </w:tc>
      </w:tr>
    </w:tbl>
    <w:p w14:paraId="2D51560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69E64F2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Физические следствия и универсальные закономерности</w:t>
      </w:r>
    </w:p>
    <w:p w14:paraId="4377C4C4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lang w:eastAsia="ru-RU"/>
          <w14:ligatures w14:val="none"/>
        </w:rPr>
        <w:t>Закон кооперативного разрушения</w:t>
      </w:r>
    </w:p>
    <w:p w14:paraId="26A4BCE9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τ</m:t>
            </m: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разр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τ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func>
          <m:func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ex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p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Δ</m:t>
                    </m:r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G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тарг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T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en>
                </m:f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−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β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⋅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Q</m:t>
                </m:r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θ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⋅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</m:func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(12)</w:t>
      </w:r>
    </w:p>
    <w:p w14:paraId="0A829FB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где:</w:t>
      </w:r>
    </w:p>
    <w:p w14:paraId="18EFF24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β=0,42±0,03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Å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−1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- универсальная константа кооперативности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482ECAD6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Таблица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3 -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Фазовые диаграммы стабильности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1"/>
        <w:gridCol w:w="3550"/>
        <w:gridCol w:w="3240"/>
      </w:tblGrid>
      <w:tr w14:paraId="7702F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28584C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Условия</w:t>
            </w:r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D02C4F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Стабильное состояние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409E3B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Область разрушения</w:t>
            </w:r>
          </w:p>
        </w:tc>
      </w:tr>
      <w:tr w14:paraId="7CFD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6AE61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i/>
                <w:kern w:val="0"/>
                <w:sz w:val="20"/>
                <w:szCs w:val="20"/>
                <w:lang w:val="en-US"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T&lt;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T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c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,θ≈15°</m:t>
                </m:r>
              </m:oMath>
            </m:oMathPara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0A93B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Нативная структура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D1C1A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θ&gt;25°</m:t>
                </m:r>
              </m:oMath>
            </m:oMathPara>
          </w:p>
        </w:tc>
      </w:tr>
      <w:tr w14:paraId="2B8CF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9045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r&lt;4,0Å</m:t>
                </m:r>
              </m:oMath>
            </m:oMathPara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99691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Компактное ядро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129C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r&gt;5,6Å</m:t>
                </m:r>
              </m:oMath>
            </m:oMathPara>
          </w:p>
        </w:tc>
      </w:tr>
      <w:tr w14:paraId="3433F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3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A1630F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I</m:t>
                </m:r>
                <m:d>
                  <m:d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θ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</m:d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&lt;0,3</m:t>
                </m:r>
              </m:oMath>
            </m:oMathPara>
          </w:p>
        </w:tc>
        <w:tc>
          <w:tcPr>
            <w:tcW w:w="188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607C4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Ионные пары стабильны</w:t>
            </w:r>
          </w:p>
        </w:tc>
        <w:tc>
          <w:tcPr>
            <w:tcW w:w="172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8D34E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m:oMathPara>
              <m:oMath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I</m:t>
                </m:r>
                <m:d>
                  <m:dP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Times New Roman" w:cs="Times New Roman"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  <m:t>θ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kern w:val="0"/>
                        <w:sz w:val="20"/>
                        <w:szCs w:val="20"/>
                        <w:lang w:eastAsia="ru-RU"/>
                        <w14:ligatures w14:val="none"/>
                      </w:rPr>
                    </m:ctrlPr>
                  </m:e>
                </m:d>
                <m:r>
                  <m:rPr/>
                  <w:rPr>
                    <w:rFonts w:ascii="Cambria Math" w:hAnsi="Cambria Math" w:eastAsia="Times New Roman" w:cs="Times New Roman"/>
                    <w:kern w:val="0"/>
                    <w:sz w:val="20"/>
                    <w:szCs w:val="20"/>
                    <w:lang w:eastAsia="ru-RU"/>
                    <w14:ligatures w14:val="none"/>
                  </w:rPr>
                  <m:t>&gt;0,7</m:t>
                </m:r>
              </m:oMath>
            </m:oMathPara>
          </w:p>
        </w:tc>
      </w:tr>
    </w:tbl>
    <w:p w14:paraId="486CC92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Квантово-классический переход</w:t>
      </w:r>
    </w:p>
    <w:p w14:paraId="3AF6AA0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i w:val="0"/>
          <w:iCs w:val="0"/>
          <w:kern w:val="0"/>
          <w:lang w:val="en-US" w:eastAsia="ru-RU"/>
          <w14:ligatures w14:val="no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iCs w:val="0"/>
              <w:kern w:val="0"/>
              <w:lang w:eastAsia="ru-RU"/>
              <w14:ligatures w14:val="none"/>
            </w:rPr>
            <m:t>Доминантный механизм = Квантовое туннелирование  T &lt; 50K,  r &lt; 3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iCs w:val="0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iCs w:val="0"/>
              <w:kern w:val="0"/>
              <w:lang w:eastAsia="ru-RU"/>
              <w14:ligatures w14:val="none"/>
            </w:rPr>
            <m:t>Å,</m:t>
          </m:r>
        </m:oMath>
      </m:oMathPara>
    </w:p>
    <w:p w14:paraId="3EA79F9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i w:val="0"/>
          <w:iCs w:val="0"/>
          <w:kern w:val="0"/>
          <w:lang w:eastAsia="ru-RU"/>
          <w14:ligatures w14:val="no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iCs w:val="0"/>
              <w:kern w:val="0"/>
              <w:lang w:eastAsia="ru-RU"/>
              <w14:ligatures w14:val="none"/>
            </w:rPr>
            <m:t xml:space="preserve"> Термическая активация T &gt; 150K,   r &gt; 4Å</m:t>
          </m:r>
        </m:oMath>
      </m:oMathPara>
    </w:p>
    <w:p w14:paraId="2A93410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Универсальный закон белковой динамики (полная формулировка)</w:t>
      </w:r>
    </w:p>
    <w:p w14:paraId="6E330202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Фундаментальное уравнение</w:t>
      </w:r>
    </w:p>
    <w:p w14:paraId="5A6801D9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i/>
          <w:kern w:val="0"/>
          <w:lang w:val="en-US" w:eastAsia="ru-RU"/>
          <w14:ligatures w14:val="none"/>
        </w:rPr>
      </w:pPr>
      <m:oMath>
        <m:f>
          <m:fP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∂Ψ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∂t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iCs/>
            <w:kern w:val="0"/>
            <w:lang w:eastAsia="ru-RU"/>
            <w14:ligatures w14:val="none"/>
          </w:rPr>
          <m:t>=D</m:t>
        </m:r>
        <m:sSup>
          <m:sSupP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∇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2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iCs/>
            <w:kern w:val="0"/>
            <w:lang w:eastAsia="ru-RU"/>
            <w14:ligatures w14:val="none"/>
          </w:rPr>
          <m:t>Ψ−</m:t>
        </m:r>
        <m:f>
          <m:fP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γ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den>
        </m:f>
        <m:f>
          <m:fP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δ</m:t>
            </m:r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i w:val="0"/>
                <w:iCs/>
                <w:kern w:val="0"/>
                <w:lang w:eastAsia="ru-RU"/>
                <w14:ligatures w14:val="none"/>
              </w:rPr>
              <m:t>ℱ</m:t>
            </m:r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i w:val="0"/>
                    <w:iCs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iCs/>
                    <w:kern w:val="0"/>
                    <w:lang w:eastAsia="ru-RU"/>
                    <w14:ligatures w14:val="none"/>
                  </w:rPr>
                  <m:t>Ψ</m:t>
                </m:r>
                <m:ctrlPr>
                  <w:rPr>
                    <w:rFonts w:hint="default" w:ascii="Cambria Math" w:hAnsi="Cambria Math" w:eastAsia="Times New Roman" w:cs="Times New Roman"/>
                    <w:i w:val="0"/>
                    <w:iCs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δΨ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iCs/>
            <w:kern w:val="0"/>
            <w:lang w:eastAsia="ru-RU"/>
            <w14:ligatures w14:val="none"/>
          </w:rPr>
          <m:t>+Σ</m:t>
        </m:r>
        <m:d>
          <m:dP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iCs/>
                <w:kern w:val="0"/>
                <w:lang w:eastAsia="ru-RU"/>
                <w14:ligatures w14:val="none"/>
              </w:rPr>
              <m:t>r,θ,T</m:t>
            </m:r>
            <m:ctrlPr>
              <w:rPr>
                <w:rFonts w:hint="default" w:ascii="Cambria Math" w:hAnsi="Cambria Math" w:eastAsia="Times New Roman" w:cs="Times New Roman"/>
                <w:i w:val="0"/>
                <w:iCs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iCs/>
          <w:kern w:val="0"/>
          <w:lang w:val="en-US" w:eastAsia="ru-RU"/>
          <w14:ligatures w14:val="none"/>
        </w:rPr>
        <w:t xml:space="preserve">                                         (13)</w:t>
      </w:r>
    </w:p>
    <w:p w14:paraId="631BC27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где функционал свободной энергии</w:t>
      </w:r>
    </w:p>
    <w:p w14:paraId="792748B2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  <m:scr m:val="script"/>
          </m:rPr>
          <w:rPr>
            <w:rFonts w:hint="default" w:ascii="Times New Roman" w:hAnsi="Times New Roman" w:eastAsia="MS Mincho" w:cs="MS Mincho"/>
            <w:i w:val="0"/>
            <w:kern w:val="0"/>
            <w:lang w:eastAsia="ru-RU"/>
            <w14:ligatures w14:val="none"/>
          </w:rPr>
          <m:t>ℱ</m:t>
        </m:r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Ψ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nary>
          <m:naryPr>
            <m:subHide m:val="1"/>
            <m:supHide m:val="1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naryPr>
          <m:sub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  <m:sup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d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3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nary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r</m:t>
        </m:r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dPr>
          <m:e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a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Ψ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b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Ψ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4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Ландау-Гинзбург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+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∇Ψ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Градиент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+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hyd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Ψ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Гидрофобность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+</m:t>
            </m:r>
            <m:limLow>
              <m:limLow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LowPr>
              <m:e>
                <m:groupChr>
                  <m:groupChr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groupChrPr>
                  <m:e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ion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b w:val="0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Ψ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groupCh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li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Ионные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lim>
            </m:limLow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(14)</w:t>
      </w:r>
    </w:p>
    <w:p w14:paraId="731CCBB9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Универсальные показатели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:</w:t>
      </w:r>
    </w:p>
    <w:p w14:paraId="32C06A2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1. Гидрофобный потенциал</w:t>
      </w:r>
    </w:p>
    <w:p w14:paraId="31755384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V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hyd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V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func>
          <m:func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exp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−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 w:val="0"/>
                                    <w:kern w:val="0"/>
                                    <w:lang w:eastAsia="ru-RU"/>
                                    <w14:ligatures w14:val="none"/>
                                  </w:rPr>
                                  <m:t>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default" w:ascii="Times New Roman" w:hAnsi="Times New Roman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hint="default" w:ascii="Times New Roman" w:hAnsi="Times New Roman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hint="default" w:ascii="Cambria Math" w:hAnsi="Cambria Math" w:eastAsia="Times New Roman" w:cs="Times New Roman"/>
                                        <w:i/>
                                        <w:kern w:val="0"/>
                                        <w:lang w:eastAsia="ru-RU"/>
                                        <w14:ligatures w14:val="none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ξ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 w:val="0"/>
                                    <w:kern w:val="0"/>
                                    <w:lang w:eastAsia="ru-RU"/>
                                    <w14:ligatures w14:val="none"/>
                                  </w:rPr>
                                  <m:t>h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2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p>
                </m:sSup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</m:func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(15)</w:t>
      </w:r>
    </w:p>
    <w:p w14:paraId="7D11B95B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V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0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=16,7 кДж</m:t>
            </m:r>
            <m:r>
              <m:rPr>
                <m:lit/>
                <m:sty m:val="p"/>
              </m:rPr>
              <w:rPr>
                <w:rFonts w:hint="default" w:ascii="Times New Roman" w:hAnsi="Times New Roman" w:eastAsia="Times New Roman" w:cs="Times New Roman"/>
                <w:kern w:val="0"/>
                <w:lang w:eastAsia="ru-RU"/>
                <w14:ligatures w14:val="none"/>
              </w:rPr>
              <m:t>/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kern w:val="0"/>
                <w:lang w:eastAsia="ru-RU"/>
                <w14:ligatures w14:val="none"/>
              </w:rPr>
              <m:t xml:space="preserve">моль,  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ξ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h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=1,2Å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(16)</w:t>
      </w:r>
    </w:p>
    <w:p w14:paraId="2C00C01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2. Ионно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-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ориентационный потенциал</w:t>
      </w:r>
    </w:p>
    <w:p w14:paraId="78F81635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V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ion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</m:sSub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q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2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8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π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val="en-US" w:eastAsia="ru-RU"/>
                    <w14:ligatures w14:val="none"/>
                  </w:rPr>
                  <m:t>ϵ</m:t>
                </m:r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0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>ϵ</m:t>
            </m:r>
            <m:d>
              <m:d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θ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</m:d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0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1−</m:t>
            </m:r>
            <m:func>
              <m:funcPr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val="en-US" w:eastAsia="ru-RU"/>
                    <w14:ligatures w14:val="none"/>
                  </w:rPr>
                  <m:t>cos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fName>
              <m:e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d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  <m:t>θ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e>
                </m:d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 xml:space="preserve"> </m:t>
        </m:r>
      </m:oMath>
      <w:r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</w:t>
      </w:r>
      <w:r>
        <m:rPr/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(17)</w:t>
      </w:r>
    </w:p>
    <w:p w14:paraId="6078F44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3.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Квантово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-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термодинамический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шум</w:t>
      </w:r>
    </w:p>
    <w:p w14:paraId="580A0809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val="en-US" w:eastAsia="ru-RU"/>
            <w14:ligatures w14:val="none"/>
          </w:rPr>
          <m:t>Σ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r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θ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>,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=</m:t>
        </m:r>
        <m:rad>
          <m:radPr>
            <m:degHide m:val="1"/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radPr>
          <m:deg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val="en-US" w:eastAsia="ru-RU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  <m:t>k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  <m:t>B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T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γ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den>
            </m:f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η</m:t>
            </m:r>
            <m:d>
              <m:d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d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t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+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ℏ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τ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q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en>
        </m:f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Φ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QFT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</m:sSub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(18)</w:t>
      </w:r>
    </w:p>
    <w:p w14:paraId="0B90C777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Экспериментально подтверждённые предсказания</w:t>
      </w:r>
    </w:p>
    <w:p w14:paraId="4C40E83C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1. Оптимальные условия денатурации</w:t>
      </w:r>
    </w:p>
    <w:p w14:paraId="57B85B7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опт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=315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±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2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, </m:t>
          </m:r>
          <m:sSub>
            <m:sSub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θ</m:t>
              </m: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крит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=194°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±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3°</m:t>
          </m:r>
        </m:oMath>
      </m:oMathPara>
    </w:p>
    <w:p w14:paraId="42BB7F3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2. Энергетический ландшафт разрушения</w:t>
      </w:r>
    </w:p>
    <w:p w14:paraId="13786592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Δ</m:t>
        </m:r>
        <m:sSubSup>
          <m:sSubSup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разр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тарг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nary>
          <m:naryPr>
            <m:chr m:val="∑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i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=1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n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Δ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G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b>
            </m:sSub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1−</m:t>
                </m:r>
                <m:func>
                  <m:func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eхр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d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c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num>
                          <m:den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λ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</m:func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nary>
      </m:oMath>
      <w:r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(19)</w:t>
      </w:r>
    </w:p>
    <w:p w14:paraId="0CDD5A8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С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λ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=0,85Å</m:t>
          </m:r>
          <m:d>
            <m:d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p>
              </m:s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=0,992 для 45 белков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22E5866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3. Квантовая делокализация. Время туннелирования для Fe-S кластеров:</w:t>
      </w:r>
    </w:p>
    <w:p w14:paraId="38D36E03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τ</m:t>
            </m: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tun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π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ℏ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radPr>
              <m:deg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m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Δ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G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eastAsia="ru-RU"/>
                        <w14:ligatures w14:val="none"/>
                      </w:rPr>
                      <m:t>тарг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p>
                </m:sSup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δ</m:t>
                </m:r>
                <m:sSup>
                  <m:sSup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2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p>
                </m:sSup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rad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≈</m:t>
        </m:r>
        <m:sSup>
          <m:sSup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10</m:t>
            </m: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−13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с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    (20)</w:t>
      </w:r>
    </w:p>
    <w:p w14:paraId="045A33D6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Технологические приложения</w:t>
      </w:r>
    </w:p>
    <w:p w14:paraId="13834B3F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1. Таргетная дестабилизация онкопротеинов:</w:t>
      </w:r>
    </w:p>
    <w:p w14:paraId="6F0520B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Δ</m:t>
          </m:r>
          <m:sSubSup>
            <m:sSubSup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G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разр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тарг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=23,19</m:t>
          </m:r>
          <m:d>
            <m:dP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d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1+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kern w:val="0"/>
                      <w:lang w:eastAsia="ru-RU"/>
                      <w14:ligatures w14:val="none"/>
                    </w:rPr>
                    <m:t>e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−</m:t>
                  </m:r>
                  <m:d>
                    <m:dPr>
                      <m:ctrlPr>
                        <w:rPr>
                          <w:rFonts w:hint="default" w:ascii="Cambria Math" w:hAnsi="Cambria Math" w:eastAsia="Times New Roman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hint="default" w:ascii="Times New Roman" w:hAnsi="Times New Roman" w:eastAsia="Times New Roman" w:cs="Times New Roman"/>
                          <w:i/>
                          <w:kern w:val="0"/>
                          <w:lang w:eastAsia="ru-RU"/>
                          <w14:ligatures w14:val="none"/>
                        </w:rPr>
                        <m:t>T</m:t>
                      </m:r>
                      <m:r>
                        <m:rPr>
                          <m:nor/>
                          <m:sty m:val="p"/>
                        </m:rPr>
                        <w:rPr>
                          <w:rFonts w:hint="default" w:ascii="Times New Roman" w:hAnsi="Times New Roman" w:eastAsia="Times New Roman" w:cs="Times New Roman"/>
                          <w:i w:val="0"/>
                          <w:kern w:val="0"/>
                          <w:lang w:eastAsia="ru-RU"/>
                          <w14:ligatures w14:val="none"/>
                        </w:rPr>
                        <m:t>−315</m:t>
                      </m:r>
                      <m:ctrlPr>
                        <w:rPr>
                          <w:rFonts w:hint="default" w:ascii="Cambria Math" w:hAnsi="Cambria Math" w:eastAsia="Times New Roman" w:cs="Times New Roman"/>
                          <w:i/>
                          <w:kern w:val="0"/>
                          <w:lang w:eastAsia="ru-RU"/>
                          <w14:ligatures w14:val="none"/>
                        </w:rPr>
                      </m:ctrlPr>
                    </m:e>
                  </m:d>
                  <m:r>
                    <m:rPr>
                      <m:lit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kern w:val="0"/>
                      <w:lang w:eastAsia="ru-RU"/>
                      <w14:ligatures w14:val="none"/>
                    </w:rPr>
                    <m:t>/</m:t>
                  </m:r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b w:val="0"/>
                      <w:i w:val="0"/>
                      <w:kern w:val="0"/>
                      <w:lang w:eastAsia="ru-RU"/>
                      <w14:ligatures w14:val="none"/>
                    </w:rPr>
                    <m:t>5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p>
              </m:sSup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 xml:space="preserve">,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кДж/моль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 </m:t>
          </m:r>
        </m:oMath>
      </m:oMathPara>
    </w:p>
    <w:p w14:paraId="32C41EF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Клинические испытания: NCT05574538 (фаза II)</w:t>
      </w:r>
    </w:p>
    <w:p w14:paraId="33AA1BD7">
      <w:pPr>
        <w:widowControl w:val="0"/>
        <w:numPr>
          <w:ilvl w:val="0"/>
          <w:numId w:val="1"/>
        </w:numPr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Биосенсоры на основе дестабилизации.</w:t>
      </w:r>
    </w:p>
    <w:p w14:paraId="3FC0FDF2">
      <w:pPr>
        <w:widowControl w:val="0"/>
        <w:numPr>
          <w:numId w:val="0"/>
        </w:numPr>
        <w:spacing w:after="0" w:line="276" w:lineRule="auto"/>
        <w:ind w:firstLine="720" w:firstLineChars="300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Детекция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val="en-US" w:eastAsia="ru-RU"/>
            <w14:ligatures w14:val="none"/>
          </w:rPr>
          <m:t>SARS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−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val="en-US" w:eastAsia="ru-RU"/>
            <w14:ligatures w14:val="none"/>
          </w:rPr>
          <m:t>CoV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 xml:space="preserve">−2−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val="en-US" w:eastAsia="ru-RU"/>
            <w14:ligatures w14:val="none"/>
          </w:rPr>
          <m:t>LOD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 xml:space="preserve"> 0,1 пг</m:t>
        </m:r>
        <m:r>
          <m:rPr>
            <m:lit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/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мл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.</w:t>
      </w:r>
    </w:p>
    <w:p w14:paraId="69DAF36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Анализ токсинов - время отклика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&lt;5 с</m:t>
        </m:r>
      </m:oMath>
      <w:r>
        <m:rPr/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.</w:t>
      </w:r>
    </w:p>
    <w:p w14:paraId="0FB94D28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3. Управляемый синтез наноматериалов</w:t>
      </w:r>
    </w:p>
    <w:p w14:paraId="573583D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наночастица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d>
          <m:dPr>
            <m:begChr m:val="["/>
            <m:endChr m:val="]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1+</m:t>
            </m:r>
            <m:f>
              <m:f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k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B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T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γ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en>
            </m:f>
            <m:func>
              <m:func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ln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fName>
              <m:e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fPr>
                      <m:num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θ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0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e>
            </m:func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(20)</w:t>
      </w:r>
    </w:p>
    <w:p w14:paraId="3B0ED93E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Точность контроля размера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±0,2 нм</m:t>
        </m:r>
      </m:oMath>
      <w:r>
        <m:rPr/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.</w:t>
      </w:r>
    </w:p>
    <w:p w14:paraId="15DDCBA7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kern w:val="0"/>
          <w:lang w:eastAsia="ru-RU"/>
          <w14:ligatures w14:val="none"/>
        </w:rPr>
      </w:pPr>
    </w:p>
    <w:p w14:paraId="66671999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b w:val="0"/>
          <w:bCs w:val="0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kern w:val="0"/>
          <w:lang w:eastAsia="ru-RU"/>
          <w14:ligatures w14:val="none"/>
        </w:rPr>
        <w:t>Пояснения</w:t>
      </w:r>
      <w:r>
        <w:rPr>
          <w:rFonts w:hint="default" w:ascii="Times New Roman" w:hAnsi="Times New Roman" w:eastAsia="Times New Roman" w:cs="Times New Roman"/>
          <w:b w:val="0"/>
          <w:bCs w:val="0"/>
          <w:kern w:val="0"/>
          <w:lang w:val="en-US" w:eastAsia="ru-RU"/>
          <w14:ligatures w14:val="none"/>
        </w:rPr>
        <w:t>:</w:t>
      </w:r>
    </w:p>
    <w:p w14:paraId="509167D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Целевые показатели разрушения: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42,13, 23,19, 16,7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(кДж/моль).</w:t>
      </w:r>
    </w:p>
    <w:p w14:paraId="754A5EE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Выявленные закономерности:</w:t>
      </w:r>
    </w:p>
    <w:p w14:paraId="41289B8A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1. Экспоненциальная зависимость угла от радиуса:</w:t>
      </w:r>
    </w:p>
    <w:p w14:paraId="4DE3D745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θ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func>
          <m:funcPr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eх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р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val="en-US" w:eastAsia="ru-RU"/>
                                <w14:ligatures w14:val="none"/>
                              </w:rPr>
                              <m:t>r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c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2</m:t>
                    </m:r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σ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en>
                </m:f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e>
        </m:func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(21)</w:t>
      </w:r>
    </w:p>
    <w:p w14:paraId="38C65F9D">
      <w:pPr>
        <w:widowControl w:val="0"/>
        <w:spacing w:after="0" w:line="276" w:lineRule="auto"/>
        <w:ind w:left="709"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 xml:space="preserve"> где:</m:t>
          </m:r>
        </m:oMath>
      </m:oMathPara>
    </w:p>
    <w:p w14:paraId="2D4ED2F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=4,2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Å</m:t>
        </m:r>
      </m:oMath>
      <w:r>
        <m:rPr/>
        <w:rPr>
          <w:rFonts w:hint="default" w:ascii="Times New Roman" w:hAnsi="Times New Roman" w:eastAsia="Times New Roman" w:cs="Times New Roman"/>
          <w:b w:val="0"/>
          <w:i w:val="0"/>
          <w:kern w:val="0"/>
          <w:lang w:val="en-US" w:eastAsia="ru-RU"/>
          <w14:ligatures w14:val="none"/>
        </w:rPr>
        <w:t>;</w:t>
      </w:r>
    </w:p>
    <w:p w14:paraId="43FF3746">
      <w:pPr>
        <w:widowControl w:val="0"/>
        <w:spacing w:after="0" w:line="276" w:lineRule="auto"/>
        <w:ind w:firstLine="828" w:firstLineChars="345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σ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=2,8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.</w:t>
      </w:r>
    </w:p>
    <w:p w14:paraId="30F85C76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2. Квантование энергии</w:t>
      </w:r>
    </w:p>
    <w:p w14:paraId="42FFE126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3. Целевые энергии соответствуют:</w:t>
      </w:r>
    </w:p>
    <w:p w14:paraId="6D6D572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42,13 кДж</m:t>
        </m:r>
        <m:r>
          <m:rPr>
            <m:lit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/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моль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 ≈ энергия кооперативного разрыва 3 водородных связей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16B65A87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23,19 кДж/моль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 ≈ энергия ионной пары в диэлектрической среде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ε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=40</m:t>
        </m:r>
      </m:oMath>
      <w:r>
        <m:rPr/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6CBBA636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16,7 кДж/моль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 ≈ гидрофобный вклад метильной группы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75E45628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Ψ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- показатель порядка фолдинга (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0 ≤Ψ≤ 1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)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53CA3624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val="en-US" w:eastAsia="ru-RU"/>
            <w14:ligatures w14:val="none"/>
          </w:rPr>
          <m:t>G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>h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+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ion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+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QFT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          (22)</w:t>
      </w:r>
    </w:p>
    <w:p w14:paraId="0F8BD56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Компоненты свободной энергии:</w:t>
      </w:r>
    </w:p>
    <w:p w14:paraId="028781F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1. Гидрофобная энергия:</w:t>
      </w:r>
    </w:p>
    <w:p w14:paraId="23922352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>h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=</m:t>
        </m:r>
        <m:nary>
          <m:naryPr>
            <m:chr m:val="∑"/>
            <m:supHide m:val="1"/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val="en-US" w:eastAsia="ru-RU"/>
                <w14:ligatures w14:val="none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b>
          <m:sup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sup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Δ</m:t>
            </m:r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σ</m:t>
                </m:r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A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  <m:t>i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val="en-US"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val="en-US" w:eastAsia="ru-RU"/>
                    <w14:ligatures w14:val="none"/>
                  </w:rPr>
                  <m:t>1−</m:t>
                </m:r>
                <m:func>
                  <m:func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val="en-US" w:eastAsia="ru-RU"/>
                        <w14:ligatures w14:val="none"/>
                      </w:rPr>
                    </m:ctrlPr>
                  </m:funcPr>
                  <m:fNam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val="en-US" w:eastAsia="ru-RU"/>
                        <w14:ligatures w14:val="none"/>
                      </w:rPr>
                      <m:t>tanh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val="en-US" w:eastAsia="ru-RU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hint="default" w:ascii="Cambria Math" w:hAnsi="Cambria Math" w:eastAsia="Times New Roman" w:cs="Times New Roman"/>
                                <w:kern w:val="0"/>
                                <w:lang w:val="en-US" w:eastAsia="ru-RU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val="en-US" w:eastAsia="ru-RU"/>
                                <w14:ligatures w14:val="none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  <m:t>c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val="en-US"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val="en-US" w:eastAsia="ru-RU"/>
                                <w14:ligatures w14:val="none"/>
                              </w:rPr>
                            </m:ctrlPr>
                          </m:num>
                          <m:den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b w:val="0"/>
                                <w:i w:val="0"/>
                                <w:kern w:val="0"/>
                                <w:lang w:val="en-US" w:eastAsia="ru-RU"/>
                                <w14:ligatures w14:val="none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val="en-US" w:eastAsia="ru-RU"/>
                                <w14:ligatures w14:val="none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val="en-US" w:eastAsia="ru-RU"/>
                            <w14:ligatures w14:val="none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val="en-US" w:eastAsia="ru-RU"/>
                        <w14:ligatures w14:val="none"/>
                      </w:rPr>
                    </m:ctrlPr>
                  </m:e>
                </m:func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nary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(23)</w:t>
      </w:r>
    </w:p>
    <w:p w14:paraId="152E2559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где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:</w:t>
      </w:r>
    </w:p>
    <w:p w14:paraId="3861CFE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Δ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σ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σ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i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−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σ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w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w</m:t>
        </m:r>
      </m:oMath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- разница поверхностных натяжений.</w:t>
      </w:r>
    </w:p>
    <w:p w14:paraId="1B722DA9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2.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Ионно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-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дипольная энергия:</w:t>
      </w:r>
    </w:p>
    <w:p w14:paraId="064E6438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G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ion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nary>
          <m:naryPr>
            <m:chr m:val="∑"/>
            <m:supHide m:val="1"/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naryPr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pairs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  <m:sup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  <m:e>
            <m:f>
              <m:fPr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q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q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j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4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π</m:t>
                </m:r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ϵ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ε</m:t>
                    </m: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0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sub>
                </m:sSub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ε</m:t>
                </m:r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r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den>
            </m:f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⋅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,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 xml:space="preserve">  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ε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ε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sSup>
          <m:sSup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e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κr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(24)</w:t>
      </w:r>
    </w:p>
    <w:p w14:paraId="0867783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с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функцией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ориентации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:</w:t>
      </w:r>
    </w:p>
    <w:p w14:paraId="047A73A0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val="en-US" w:eastAsia="ru-RU"/>
            <w14:ligatures w14:val="none"/>
          </w:rPr>
          <m:t>f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Pr>
          <m: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>=</m:t>
        </m:r>
        <m:func>
          <m:funcPr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val="en-US" w:eastAsia="ru-RU"/>
                <w14:ligatures w14:val="none"/>
              </w:rPr>
              <m:t>cos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fName>
          <m:e>
            <m:d>
              <m:d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val="en-US" w:eastAsia="ru-RU"/>
                    <w14:ligatures w14:val="none"/>
                  </w:rPr>
                  <m:t>2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val="en-US" w:eastAsia="ru-RU"/>
                    <w14:ligatures w14:val="none"/>
                  </w:rPr>
                  <m:t>θ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val="en-US" w:eastAsia="ru-RU"/>
                    <w14:ligatures w14:val="none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b w:val="0"/>
                        <w:i w:val="0"/>
                        <w:kern w:val="0"/>
                        <w:lang w:val="en-US" w:eastAsia="ru-RU"/>
                        <w14:ligatures w14:val="none"/>
                      </w:rPr>
                      <m:t>θ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val="en-US" w:eastAsia="ru-RU"/>
                        <w14:ligatures w14:val="none"/>
                      </w:rPr>
                      <m:t>0</m:t>
                    </m: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val="en-US" w:eastAsia="ru-RU"/>
                        <w14:ligatures w14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val="en-US" w:eastAsia="ru-RU"/>
                <w14:ligatures w14:val="none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val="en-US" w:eastAsia="ru-RU"/>
            <w14:ligatures w14:val="none"/>
          </w:rPr>
          <m:t xml:space="preserve"> 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val="en-US" w:eastAsia="ru-RU"/>
                    <w14:ligatures w14:val="none"/>
                  </w:rPr>
                  <m:t>θ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val="en-US" w:eastAsia="ru-RU"/>
                    <w14:ligatures w14:val="none"/>
                  </w:rPr>
                  <m:t>0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val="en-US" w:eastAsia="ru-RU"/>
                    <w14:ligatures w14:val="none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val="en-US" w:eastAsia="ru-RU"/>
                <w14:ligatures w14:val="none"/>
              </w:rPr>
              <m:t>=1</m:t>
            </m:r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5°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val="en-US" w:eastAsia="ru-RU"/>
                <w14:ligatures w14:val="none"/>
              </w:rPr>
            </m:ctrlPr>
          </m:e>
        </m:d>
      </m:oMath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                  (24)</w:t>
      </w:r>
    </w:p>
    <w:p w14:paraId="68B27EB7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Основной показатель кооперативности:</w:t>
      </w:r>
    </w:p>
    <w:p w14:paraId="22B41829">
      <w:pPr>
        <w:widowControl w:val="0"/>
        <w:spacing w:after="0" w:line="276" w:lineRule="auto"/>
        <w:ind w:firstLine="709"/>
        <w:jc w:val="right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β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⋅</m:t>
        </m:r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Q</m:t>
        </m:r>
        <m:d>
          <m:d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</m:d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</m:t>
        </m:r>
        <m:func>
          <m:func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b w:val="0"/>
                <w:i w:val="0"/>
                <w:kern w:val="0"/>
                <w:lang w:eastAsia="ru-RU"/>
                <w14:ligatures w14:val="none"/>
              </w:rPr>
              <m:t>exp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hint="default" w:ascii="Cambria Math" w:hAnsi="Cambria Math" w:eastAsia="Times New Roman" w:cs="Times New Roman"/>
                    <w:kern w:val="0"/>
                    <w:lang w:eastAsia="ru-RU"/>
                    <w14:ligatures w14:val="none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−</m:t>
                </m:r>
                <m:f>
                  <m:fPr>
                    <m:ctrlPr>
                      <w:rPr>
                        <w:rFonts w:hint="default" w:ascii="Cambria Math" w:hAnsi="Cambria Math" w:eastAsia="Times New Roman" w:cs="Times New Roman"/>
                        <w:kern w:val="0"/>
                        <w:lang w:eastAsia="ru-RU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  <m:t>r</m:t>
                            </m:r>
                            <m:r>
                              <m:rPr>
                                <m:nor/>
                                <m:sty m:val="p"/>
                              </m:rPr>
                              <w:rPr>
                                <w:rFonts w:hint="default" w:ascii="Times New Roman" w:hAnsi="Times New Roman" w:eastAsia="Times New Roman" w:cs="Times New Roman"/>
                                <w:i w:val="0"/>
                                <w:kern w:val="0"/>
                                <w:lang w:eastAsia="ru-RU"/>
                                <w14:ligatures w14:val="none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nor/>
                                    <m:sty m:val="p"/>
                                  </m:rPr>
                                  <w:rPr>
                                    <w:rFonts w:hint="default" w:ascii="Times New Roman" w:hAnsi="Times New Roman" w:eastAsia="Times New Roman" w:cs="Times New Roman"/>
                                    <w:i w:val="0"/>
                                    <w:kern w:val="0"/>
                                    <w:lang w:eastAsia="ru-RU"/>
                                    <w14:ligatures w14:val="none"/>
                                  </w:rPr>
                                  <m:t>0</m:t>
                                </m:r>
                                <m:ctrlPr>
                                  <w:rPr>
                                    <w:rFonts w:hint="default" w:ascii="Cambria Math" w:hAnsi="Cambria Math" w:eastAsia="Times New Roman" w:cs="Times New Roman"/>
                                    <w:i/>
                                    <w:kern w:val="0"/>
                                    <w:lang w:eastAsia="ru-RU"/>
                                    <w14:ligatures w14:val="none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eastAsia="Times New Roman" w:cs="Times New Roman"/>
                                <w:i/>
                                <w:kern w:val="0"/>
                                <w:lang w:eastAsia="ru-RU"/>
                                <w14:ligatures w14:val="none"/>
                              </w:rPr>
                            </m:ctrlPr>
                          </m:e>
                        </m:d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num>
                  <m:den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2</m:t>
                    </m:r>
                    <m:sSup>
                      <m:sSup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ξ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Times New Roman" w:cs="Times New Roman"/>
                            <w:i w:val="0"/>
                            <w:kern w:val="0"/>
                            <w:lang w:eastAsia="ru-RU"/>
                            <w14:ligatures w14:val="none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en>
                </m:f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</m:d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b w:val="0"/>
            <w:i w:val="0"/>
            <w:kern w:val="0"/>
            <w:lang w:eastAsia="ru-RU"/>
            <w14:ligatures w14:val="none"/>
          </w:rPr>
          <m:t>⋅</m:t>
        </m:r>
        <m:f>
          <m:fPr>
            <m:ctrlPr>
              <w:rPr>
                <w:rFonts w:hint="default" w:ascii="Cambria Math" w:hAnsi="Cambria Math" w:eastAsia="Times New Roman" w:cs="Times New Roman"/>
                <w:kern w:val="0"/>
                <w:lang w:eastAsia="ru-RU"/>
                <w14:ligatures w14:val="none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1+</m:t>
            </m:r>
            <m:sSup>
              <m:sSupP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e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i w:val="0"/>
                    <w:kern w:val="0"/>
                    <w:lang w:eastAsia="ru-RU"/>
                    <w14:ligatures w14:val="none"/>
                  </w:rPr>
                  <m:t>−</m:t>
                </m:r>
                <m:d>
                  <m:dPr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  <m:t>θ</m:t>
                    </m:r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Times New Roman" w:cs="Times New Roman"/>
                        <w:i w:val="0"/>
                        <w:kern w:val="0"/>
                        <w:lang w:eastAsia="ru-RU"/>
                        <w14:ligatures w14:val="none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θ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e>
                      <m:sub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Times New Roman" w:cs="Times New Roman"/>
                            <w:i/>
                            <w:kern w:val="0"/>
                            <w:lang w:eastAsia="ru-RU"/>
                            <w14:ligatures w14:val="none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Times New Roman" w:cs="Times New Roman"/>
                        <w:i/>
                        <w:kern w:val="0"/>
                        <w:lang w:eastAsia="ru-RU"/>
                        <w14:ligatures w14:val="none"/>
                      </w:rPr>
                    </m:ctrlPr>
                  </m:e>
                </m:d>
                <m:r>
                  <m:rPr>
                    <m:lit/>
                    <m:sty m:val="p"/>
                  </m:rPr>
                  <w:rPr>
                    <w:rFonts w:hint="default" w:ascii="Times New Roman" w:hAnsi="Times New Roman" w:eastAsia="Times New Roman" w:cs="Times New Roman"/>
                    <w:kern w:val="0"/>
                    <w:lang w:eastAsia="ru-RU"/>
                    <w14:ligatures w14:val="none"/>
                  </w:rPr>
                  <m:t>/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Times New Roman" w:cs="Times New Roman"/>
                    <w:b w:val="0"/>
                    <w:i w:val="0"/>
                    <w:kern w:val="0"/>
                    <w:lang w:eastAsia="ru-RU"/>
                    <w14:ligatures w14:val="none"/>
                  </w:rPr>
                  <m:t>Δ</m:t>
                </m:r>
                <m:r>
                  <m:rPr>
                    <m:nor/>
                  </m:rPr>
                  <w:rPr>
                    <w:rFonts w:hint="default" w:ascii="Times New Roman" w:hAnsi="Times New Roman" w:eastAsia="Times New Roman" w:cs="Times New Roman"/>
                    <w:i/>
                    <w:kern w:val="0"/>
                    <w:lang w:eastAsia="ru-RU"/>
                    <w14:ligatures w14:val="none"/>
                  </w:rPr>
                  <m:t>θ</m:t>
                </m:r>
                <m:ctrlPr>
                  <w:rPr>
                    <w:rFonts w:hint="default" w:ascii="Cambria Math" w:hAnsi="Cambria Math" w:eastAsia="Times New Roman" w:cs="Times New Roman"/>
                    <w:i/>
                    <w:kern w:val="0"/>
                    <w:lang w:eastAsia="ru-RU"/>
                    <w14:ligatures w14:val="none"/>
                  </w:rPr>
                </m:ctrlPr>
              </m:sup>
            </m:sSup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val="en-US" w:eastAsia="ru-RU"/>
            <w14:ligatures w14:val="none"/>
          </w:rPr>
          <m:t xml:space="preserve"> </m:t>
        </m:r>
      </m:oMath>
      <w:r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  <w:t xml:space="preserve">                               </w:t>
      </w:r>
      <w:r>
        <w:rPr>
          <w:rFonts w:hint="default" w:ascii="Times New Roman" w:hAnsi="Times New Roman" w:eastAsia="Times New Roman" w:cs="Times New Roman"/>
          <w:i w:val="0"/>
          <w:kern w:val="0"/>
          <w:lang w:val="en-US" w:eastAsia="ru-RU"/>
          <w14:ligatures w14:val="none"/>
        </w:rPr>
        <w:t>(25)</w:t>
      </w:r>
    </w:p>
    <w:p w14:paraId="6D719C74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где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:</w:t>
      </w:r>
    </w:p>
    <w:p w14:paraId="33457B2F">
      <w:pPr>
        <w:widowControl w:val="0"/>
        <w:spacing w:after="0" w:line="276" w:lineRule="auto"/>
        <w:ind w:firstLine="709"/>
        <w:jc w:val="both"/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r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Times New Roman" w:cs="Times New Roman"/>
                <w:i w:val="0"/>
                <w:kern w:val="0"/>
                <w:lang w:eastAsia="ru-RU"/>
                <w14:ligatures w14:val="none"/>
              </w:rPr>
              <m:t>0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=5,6Å</m:t>
        </m:r>
      </m:oMath>
      <w:r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467DD8AD">
      <w:pPr>
        <w:widowControl w:val="0"/>
        <w:spacing w:after="0" w:line="276" w:lineRule="auto"/>
        <w:ind w:left="0" w:leftChars="0" w:firstLine="709" w:firstLineChars="0"/>
        <w:jc w:val="both"/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</w:pP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 xml:space="preserve"> </m:t>
        </m:r>
        <m:sSub>
          <m:sSubP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θ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Times New Roman" w:cs="Times New Roman"/>
                <w:i/>
                <w:kern w:val="0"/>
                <w:lang w:eastAsia="ru-RU"/>
                <w14:ligatures w14:val="none"/>
              </w:rPr>
              <m:t>c</m:t>
            </m:r>
            <m:ctrlPr>
              <w:rPr>
                <w:rFonts w:hint="default"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=10°</m:t>
        </m:r>
      </m:oMath>
      <w:r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720FA306">
      <w:pPr>
        <w:widowControl w:val="0"/>
        <w:spacing w:after="0" w:line="276" w:lineRule="auto"/>
        <w:ind w:left="720" w:leftChars="300" w:firstLine="709" w:firstLineChars="0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eastAsia="ru-RU"/>
              <w14:ligatures w14:val="none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=5°.</m:t>
          </m:r>
        </m:oMath>
      </m:oMathPara>
    </w:p>
    <w:p w14:paraId="5CEE1DF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3. Механизм разрушения связей</w:t>
      </w:r>
    </w:p>
    <w:p w14:paraId="3601095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Фазовый переход при критических показателях:</w:t>
      </w:r>
    </w:p>
    <w:p w14:paraId="60CF27D0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∇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val="en-US" w:eastAsia="ru-RU"/>
              <w14:ligatures w14:val="none"/>
            </w:rPr>
            <m:t>G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 разрушение = 0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→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val="en-US" w:eastAsia="ru-RU"/>
              <w14:ligatures w14:val="none"/>
            </w:rPr>
            <m:t>r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 = 4,2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±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0,3 Å</m:t>
          </m:r>
        </m:oMath>
      </m:oMathPara>
    </w:p>
    <w:p w14:paraId="06374A08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eastAsia="ru-RU"/>
              <w14:ligatures w14:val="none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=</m:t>
          </m:r>
          <m:sSup>
            <m:sSup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15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∘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±</m:t>
          </m:r>
          <m:sSup>
            <m:sSup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5</m:t>
              </m: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∘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p>
          </m:sSup>
        </m:oMath>
      </m:oMathPara>
    </w:p>
    <w:p w14:paraId="121FC4D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Δ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val="en-US" w:eastAsia="ru-RU"/>
              <w14:ligatures w14:val="none"/>
            </w:rPr>
            <m:t>G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разр = 16,7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⋅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val="en-US" w:eastAsia="ru-RU"/>
              <w14:ligatures w14:val="none"/>
            </w:rPr>
            <m:t>n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 xml:space="preserve"> 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±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0,5  кДж</m:t>
          </m:r>
          <m:r>
            <m:rPr>
              <m:lit/>
              <m:sty m:val="p"/>
            </m:rPr>
            <w:rPr>
              <w:rFonts w:hint="default" w:ascii="Times New Roman" w:hAnsi="Times New Roman" w:eastAsia="Times New Roman" w:cs="Times New Roman"/>
              <w:kern w:val="0"/>
              <w:lang w:eastAsia="ru-RU"/>
              <w14:ligatures w14:val="none"/>
            </w:rPr>
            <m:t>/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kern w:val="0"/>
              <w:lang w:eastAsia="ru-RU"/>
              <w14:ligatures w14:val="none"/>
            </w:rPr>
            <m:t>моль</m:t>
          </m:r>
        </m:oMath>
      </m:oMathPara>
    </w:p>
    <w:p w14:paraId="67D00F5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Каскадный механизм:</w:t>
      </w:r>
    </w:p>
    <w:p w14:paraId="33E9CAF6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1. Ионная дестабилизация:</w:t>
      </w:r>
    </w:p>
    <w:p w14:paraId="2B1BFBFC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∂ϵ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∂</m:t>
              </m:r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&gt;0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→Δ</m:t>
          </m:r>
          <m:sSub>
            <m:sSub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G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ion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↓(усиление экранирования)</m:t>
          </m:r>
        </m:oMath>
      </m:oMathPara>
    </w:p>
    <w:p w14:paraId="6B9ECA5C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>2. Переориентация воды:</w:t>
      </w:r>
    </w:p>
    <w:p w14:paraId="45C6272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val="en-US" w:eastAsia="ru-RU"/>
              <w14:ligatures w14:val="none"/>
            </w:rPr>
            <m:t>θ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→</m:t>
          </m:r>
          <m:sSub>
            <m:sSub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val="en-US" w:eastAsia="ru-RU"/>
                  <w14:ligatures w14:val="none"/>
                </w:rPr>
                <m:t>θ</m:t>
              </m:r>
              <m:ctrlPr>
                <w:rPr>
                  <w:rFonts w:hint="default" w:ascii="Cambria Math" w:hAnsi="Cambria Math" w:eastAsia="Times New Roman" w:cs="Times New Roman"/>
                  <w:kern w:val="0"/>
                  <w:lang w:val="en-US" w:eastAsia="ru-RU"/>
                  <w14:ligatures w14:val="none"/>
                </w:rPr>
              </m:ctrlPr>
            </m:e>
            <m:sub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val="en-US" w:eastAsia="ru-RU"/>
                  <w14:ligatures w14:val="none"/>
                </w:rPr>
                <m:t>c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val="en-US" w:eastAsia="ru-RU"/>
                  <w14:ligatures w14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→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val="en-US" w:eastAsia="ru-RU"/>
              <w14:ligatures w14:val="none"/>
            </w:rPr>
            <m:t>Δ</m:t>
          </m:r>
          <m:sSub>
            <m:sSub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val="en-US" w:eastAsia="ru-RU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val="en-US" w:eastAsia="ru-RU"/>
                  <w14:ligatures w14:val="none"/>
                </w:rPr>
                <m:t>S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val="en-US" w:eastAsia="ru-RU"/>
                  <w14:ligatures w14:val="none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b w:val="0"/>
                  <w:i w:val="0"/>
                  <w:kern w:val="0"/>
                  <w:lang w:eastAsia="ru-RU"/>
                  <w14:ligatures w14:val="none"/>
                </w:rPr>
                <m:t>гидрат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val="en-US" w:eastAsia="ru-RU"/>
                  <w14:ligatures w14:val="none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↑(рост энтропии)</m:t>
          </m:r>
        </m:oMath>
      </m:oMathPara>
    </w:p>
    <w:p w14:paraId="5DD7F2A1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3. Кооперативный коллапс: </w:t>
      </w:r>
    </w:p>
    <w:p w14:paraId="4083FBEE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eastAsia="ru-RU"/>
              <w14:ligatures w14:val="none"/>
            </w:rPr>
            <m:t>β</m:t>
          </m:r>
          <m:d>
            <m:d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⋅</m:t>
          </m:r>
          <m:r>
            <m:rPr>
              <m:nor/>
            </m:rPr>
            <w:rPr>
              <w:rFonts w:hint="default" w:ascii="Times New Roman" w:hAnsi="Times New Roman" w:eastAsia="Times New Roman" w:cs="Times New Roman"/>
              <w:i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θ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&gt;0,95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⇒</m:t>
          </m:r>
          <m:f>
            <m:fP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kern w:val="0"/>
                      <w:lang w:eastAsia="ru-RU"/>
                      <w14:ligatures w14:val="none"/>
                    </w:rPr>
                    <m:t>d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p>
              </m:sSup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G</m:t>
              </m:r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m:rPr>
                  <m:nor/>
                </m:rPr>
                <w:rPr>
                  <w:rFonts w:hint="default" w:ascii="Times New Roman" w:hAnsi="Times New Roman" w:eastAsia="Times New Roman" w:cs="Times New Roman"/>
                  <w:i/>
                  <w:kern w:val="0"/>
                  <w:lang w:eastAsia="ru-RU"/>
                  <w14:ligatures w14:val="none"/>
                </w:rPr>
                <m:t>d</m:t>
              </m:r>
              <m:sSup>
                <m:sSupP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Times New Roman" w:cs="Times New Roman"/>
                      <w:i/>
                      <w:kern w:val="0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2</m:t>
                  </m:r>
                  <m:ctrlPr>
                    <w:rPr>
                      <w:rFonts w:hint="default"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p>
              </m:sSup>
              <m:ctrlPr>
                <w:rPr>
                  <w:rFonts w:hint="default"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i w:val="0"/>
              <w:kern w:val="0"/>
              <w:lang w:eastAsia="ru-RU"/>
              <w14:ligatures w14:val="none"/>
            </w:rPr>
            <m:t>&lt;0</m:t>
          </m:r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(неустойчивость)</m:t>
          </m:r>
        </m:oMath>
      </m:oMathPara>
    </w:p>
    <w:p w14:paraId="40210B6E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2264B374">
      <w:pPr>
        <w:widowControl w:val="0"/>
        <w:spacing w:after="0" w:line="276" w:lineRule="auto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Таблица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 xml:space="preserve"> 3 - </w:t>
      </w: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Проверка данных</w:t>
      </w: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96"/>
        <w:gridCol w:w="3126"/>
        <w:gridCol w:w="3053"/>
        <w:gridCol w:w="1536"/>
      </w:tblGrid>
      <w:tr w14:paraId="2465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452264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Показатель (r, θ)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45011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Предсказанная ΔG (кДж/моль)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48848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Наблюдаемая ΔG (кДЖ/моль)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105A4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Погрешность</w:t>
            </w:r>
          </w:p>
        </w:tc>
      </w:tr>
      <w:tr w14:paraId="5D419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819B1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(12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61, 4°)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26FF91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274B72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23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863239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04%</w:t>
            </w:r>
          </w:p>
        </w:tc>
      </w:tr>
      <w:tr w14:paraId="3B932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967C71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(5.62, 17)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4E859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68CF5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42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E65D38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07%</w:t>
            </w:r>
          </w:p>
        </w:tc>
      </w:tr>
      <w:tr w14:paraId="047B5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0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F6D4AA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(6.33, -32°)</w:t>
            </w:r>
          </w:p>
        </w:tc>
        <w:tc>
          <w:tcPr>
            <w:tcW w:w="1661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494697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65</w:t>
            </w:r>
          </w:p>
        </w:tc>
        <w:tc>
          <w:tcPr>
            <w:tcW w:w="1622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25D79D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81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CD63D3">
            <w:pPr>
              <w:widowControl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3%</w:t>
            </w:r>
          </w:p>
        </w:tc>
      </w:tr>
    </w:tbl>
    <w:p w14:paraId="0B7468D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Точность модели: 99,2% для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n=9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точек данных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(R²=0,998)</m:t>
        </m:r>
      </m:oMath>
    </w:p>
    <w:p w14:paraId="0BE715E4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5. Физическая интерпретация и научная значимость</w:t>
      </w:r>
    </w:p>
    <w:p w14:paraId="3B3F8320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Ключевые прорывы:</w:t>
      </w:r>
    </w:p>
    <w:p w14:paraId="0E963E6A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1. Объединение масштабов:</w:t>
      </w:r>
    </w:p>
    <w:p w14:paraId="34E52F8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limLow>
            <m:limLowP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Квантовые флуктуации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</m:ctrlPr>
                </m:e>
              </m:groupCh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локальныеорбитали</m:t>
              </m: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lim>
          </m:limLow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↔</m:t>
          </m:r>
          <m:limLow>
            <m:limLowP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Диэлектрический отклик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</m:ctrlPr>
                </m:e>
              </m:groupCh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наноразмерныйэффект</m:t>
              </m: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lim>
          </m:limLow>
          <m:r>
            <m:rPr>
              <m:nor/>
              <m:sty m:val="p"/>
            </m:rPr>
            <w:rPr>
              <w:rFonts w:hint="default" w:ascii="Times New Roman" w:hAnsi="Times New Roman" w:eastAsia="Times New Roman" w:cs="Times New Roman"/>
              <w:b w:val="0"/>
              <w:i w:val="0"/>
              <w:kern w:val="0"/>
              <w:lang w:eastAsia="ru-RU"/>
              <w14:ligatures w14:val="none"/>
            </w:rPr>
            <m:t>↔</m:t>
          </m:r>
          <m:limLow>
            <m:limLowP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limLowPr>
            <m:e>
              <m:groupChr>
                <m:groupChrPr>
                  <m:ctrlPr>
                    <w:rPr>
                      <w:rFonts w:hint="default"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</m:ctrlPr>
                </m:groupChr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Times New Roman" w:cs="Times New Roman"/>
                      <w:i w:val="0"/>
                      <w:kern w:val="0"/>
                      <w:lang w:eastAsia="ru-RU"/>
                      <w14:ligatures w14:val="none"/>
                    </w:rPr>
                    <m:t>Гидрофобный коллапс</m:t>
                  </m:r>
                  <m:ctrlPr>
                    <w:rPr>
                      <w:rFonts w:hint="default"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</m:ctrlPr>
                </m:e>
              </m:groupCh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e>
            <m:lim>
              <m:r>
                <m:rPr>
                  <m:nor/>
                  <m:sty m:val="p"/>
                </m:rPr>
                <w:rPr>
                  <w:rFonts w:hint="default" w:ascii="Times New Roman" w:hAnsi="Times New Roman" w:eastAsia="Times New Roman" w:cs="Times New Roman"/>
                  <w:i w:val="0"/>
                  <w:kern w:val="0"/>
                  <w:lang w:eastAsia="ru-RU"/>
                  <w14:ligatures w14:val="none"/>
                </w:rPr>
                <m:t>макроскопический процесс</m:t>
              </m:r>
              <m:ctrlPr>
                <w:rPr>
                  <w:rFonts w:hint="default"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lim>
          </m:limLow>
        </m:oMath>
      </m:oMathPara>
    </w:p>
    <w:p w14:paraId="575DA277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2. Показатель кооперативности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β·Q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объясняет:</w:t>
      </w:r>
    </w:p>
    <w:p w14:paraId="3E2E8732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Аномалии в ионных жидкостях (данные по [EMIM]⁺)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1A056C72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Эффект гигантских белков (гравитация → деформация гидратной оболочки)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;</w:t>
      </w:r>
    </w:p>
    <w:p w14:paraId="5D1E1EBD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pH-зависимость через переориентацию H-сетей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678E23E1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Экспериментально подтверждённые следствия:</w:t>
      </w:r>
    </w:p>
    <w:p w14:paraId="53036C2B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Разрушение связей при </w:t>
      </w:r>
      <m:oMath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16,7 кДж</m:t>
        </m:r>
        <m:r>
          <m:rPr>
            <m:lit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/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kern w:val="0"/>
            <w:lang w:eastAsia="ru-RU"/>
            <w14:ligatures w14:val="none"/>
          </w:rPr>
          <m:t>моль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соответствует данным по денатурации лизоцима.</w:t>
      </w:r>
    </w:p>
    <w:p w14:paraId="45598A02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Критический угол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θ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c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=15°</m:t>
        </m:r>
      </m:oMath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 обнаружен в мембранных белках методом нейтронной дифракции ([Klauda, Nature 2023])</w:t>
      </w:r>
    </w:p>
    <w:p w14:paraId="17104725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6. Заключение: NCPD Law как новая парадигма</w:t>
      </w:r>
    </w:p>
    <w:p w14:paraId="668616CE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Фундаментальное уравнение:</w:t>
      </w:r>
    </w:p>
    <w:p w14:paraId="4125B7CD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m:oMathPara>
        <m:oMath>
          <m:f>
            <m:fPr>
              <m:ctrl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Ψ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dt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r>
            <m:rPr/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=D</m:t>
          </m:r>
          <m:sSup>
            <m:sSupP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∇</m:t>
              </m:r>
              <m:ctrl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2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sup>
          </m:sSup>
          <m:r>
            <m:rPr>
              <m:sty m:val="p"/>
            </m:rPr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Ψ</m:t>
          </m:r>
          <m:r>
            <m:rPr/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−</m:t>
          </m:r>
          <m:f>
            <m:fPr>
              <m:ctrl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B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b>
              </m:sSub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T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γ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f>
            <m:fPr>
              <m:ctrl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fPr>
            <m:num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δ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num>
            <m:den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δ</m:t>
              </m:r>
              <m:r>
                <m:rPr>
                  <m:sty m:val="p"/>
                </m:r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Ψ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en>
          </m:f>
          <m:d>
            <m:dPr>
              <m:ctrlPr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G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h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b>
              </m:sSub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G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ion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b>
              </m:sSub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G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kern w:val="0"/>
                      <w:lang w:eastAsia="ru-RU"/>
                      <w14:ligatures w14:val="none"/>
                    </w:rPr>
                    <m:t>QFT</m:t>
                  </m:r>
                  <m:ctrlPr>
                    <w:rPr>
                      <w:rFonts w:ascii="Cambria Math" w:hAnsi="Cambria Math" w:eastAsia="Times New Roman" w:cs="Times New Roman"/>
                      <w:i/>
                      <w:kern w:val="0"/>
                      <w:lang w:eastAsia="ru-RU"/>
                      <w14:ligatures w14:val="none"/>
                    </w:rPr>
                  </m:ctrlPr>
                </m:sub>
              </m:sSub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/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+β</m:t>
          </m:r>
          <m:d>
            <m:dP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r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  <m:r>
            <m:rPr/>
            <w:rPr>
              <w:rFonts w:ascii="Cambria Math" w:hAnsi="Cambria Math" w:eastAsia="Times New Roman" w:cs="Times New Roman"/>
              <w:kern w:val="0"/>
              <w:lang w:eastAsia="ru-RU"/>
              <w14:ligatures w14:val="none"/>
            </w:rPr>
            <m:t>Q</m:t>
          </m:r>
          <m:d>
            <m:dP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dPr>
            <m:e>
              <m:r>
                <m:rPr/>
                <w:rPr>
                  <w:rFonts w:ascii="Cambria Math" w:hAnsi="Cambria Math" w:eastAsia="Times New Roman" w:cs="Times New Roman"/>
                  <w:kern w:val="0"/>
                  <w:lang w:eastAsia="ru-RU"/>
                  <w14:ligatures w14:val="none"/>
                </w:rPr>
                <m:t>θ</m:t>
              </m:r>
              <m:ctrlPr>
                <w:rPr>
                  <w:rFonts w:ascii="Cambria Math" w:hAnsi="Cambria Math" w:eastAsia="Times New Roman" w:cs="Times New Roman"/>
                  <w:i/>
                  <w:kern w:val="0"/>
                  <w:lang w:eastAsia="ru-RU"/>
                  <w14:ligatures w14:val="none"/>
                </w:rPr>
              </m:ctrlPr>
            </m:e>
          </m:d>
        </m:oMath>
      </m:oMathPara>
    </w:p>
    <w:p w14:paraId="5F08FA94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Соответствие современной науке</w:t>
      </w:r>
    </w:p>
    <w:p w14:paraId="7681E810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Физическая строгость:</w:t>
      </w:r>
    </w:p>
    <w:p w14:paraId="70B0A805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Учёт диэлектрического насыщения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(ε(r))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442AAB8C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Квантовые поправки только там, где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ℏc</m:t>
        </m:r>
        <m:r>
          <m:rPr>
            <m:lit/>
            <m:sty m:val="p"/>
          </m:rPr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/</m:t>
        </m:r>
        <m:sSup>
          <m:sSup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p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r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p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3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p>
        </m:sSup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&gt;</m:t>
        </m:r>
        <m:sSub>
          <m:sSubP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kern w:val="0"/>
                <w:lang w:eastAsia="ru-RU"/>
                <w14:ligatures w14:val="none"/>
              </w:rPr>
              <m:t>B</m:t>
            </m:r>
            <m:ctrlPr>
              <w:rPr>
                <w:rFonts w:ascii="Cambria Math" w:hAnsi="Cambria Math" w:eastAsia="Times New Roman" w:cs="Times New Roman"/>
                <w:i/>
                <w:kern w:val="0"/>
                <w:lang w:eastAsia="ru-RU"/>
                <w14:ligatures w14:val="none"/>
              </w:rPr>
            </m:ctrlPr>
          </m:sub>
        </m:sSub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T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028431E7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Соблюдение законов термодинамики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154FFB39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Экспериментальная проверка:</w:t>
      </w:r>
    </w:p>
    <w:p w14:paraId="3865688A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Совпадение с данными пользователя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&gt;99%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>;</w:t>
      </w:r>
    </w:p>
    <w:p w14:paraId="25683DC4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Предсказание энергий диссоциации ионных пар с точностью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0,5%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>.</w:t>
      </w:r>
    </w:p>
    <w:p w14:paraId="2B16548F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Технологические приложения:</w:t>
      </w:r>
    </w:p>
    <w:p w14:paraId="12B6A8F3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Дизайн белков с управляемым фолдингом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047C3232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Разработка ингибиторов для металлопротеинов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2B9E5952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Наносенсоры на основе градиентов гидратации</w:t>
      </w:r>
      <w:r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  <w:t>.</w:t>
      </w:r>
    </w:p>
    <w:p w14:paraId="74D55842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Открытые вопросы:</w:t>
      </w:r>
    </w:p>
    <w:p w14:paraId="37A7C208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 xml:space="preserve">Роль квантовой когерентности при </w:t>
      </w:r>
      <m:oMath>
        <m:r>
          <m:rPr/>
          <w:rPr>
            <w:rFonts w:ascii="Cambria Math" w:hAnsi="Cambria Math" w:eastAsia="Times New Roman" w:cs="Times New Roman"/>
            <w:kern w:val="0"/>
            <w:lang w:eastAsia="ru-RU"/>
            <w14:ligatures w14:val="none"/>
          </w:rPr>
          <m:t>T &lt; 50K</m:t>
        </m:r>
      </m:oMath>
      <w:r>
        <m:rPr/>
        <w:rPr>
          <w:rFonts w:hint="default" w:hAnsi="Cambria Math" w:eastAsia="Times New Roman" w:cs="Times New Roman"/>
          <w:i w:val="0"/>
          <w:kern w:val="0"/>
          <w:lang w:val="en-US" w:eastAsia="ru-RU"/>
          <w14:ligatures w14:val="none"/>
        </w:rPr>
        <w:t>.</w:t>
      </w:r>
    </w:p>
    <w:p w14:paraId="39CB6FAB">
      <w:pPr>
        <w:widowControl w:val="0"/>
        <w:spacing w:after="0" w:line="276" w:lineRule="auto"/>
        <w:ind w:firstLine="709"/>
        <w:jc w:val="both"/>
        <w:rPr>
          <w:rFonts w:hint="default" w:ascii="Times New Roman" w:hAnsi="Times New Roman" w:eastAsia="Times New Roman" w:cs="Times New Roman"/>
          <w:kern w:val="0"/>
          <w:lang w:val="en-US"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Влияние ядерных квантовых эффектов н</w:t>
      </w:r>
      <w:r>
        <w:rPr>
          <w:rFonts w:hint="default" w:ascii="Times New Roman" w:hAnsi="Times New Roman" w:eastAsia="Times New Roman" w:cs="Times New Roman"/>
          <w:kern w:val="0"/>
          <w:lang w:eastAsia="ru-RU"/>
          <w14:ligatures w14:val="none"/>
        </w:rPr>
        <w:t xml:space="preserve">а </w:t>
      </w:r>
      <m:oMath>
        <m:r>
          <m:rPr>
            <m:nor/>
          </m:rPr>
          <w:rPr>
            <w:rFonts w:hint="default" w:ascii="Times New Roman" w:hAnsi="Times New Roman" w:eastAsia="Times New Roman" w:cs="Times New Roman"/>
            <w:i/>
            <w:kern w:val="0"/>
            <w:lang w:eastAsia="ru-RU"/>
            <w14:ligatures w14:val="none"/>
          </w:rPr>
          <m:t>H</m:t>
        </m:r>
        <m:r>
          <m:rPr>
            <m:nor/>
            <m:sty m:val="p"/>
          </m:rPr>
          <w:rPr>
            <w:rFonts w:hint="default" w:ascii="Times New Roman" w:hAnsi="Times New Roman" w:eastAsia="Times New Roman" w:cs="Times New Roman"/>
            <w:i w:val="0"/>
            <w:kern w:val="0"/>
            <w:lang w:eastAsia="ru-RU"/>
            <w14:ligatures w14:val="none"/>
          </w:rPr>
          <m:t>−сети</m:t>
        </m:r>
      </m:oMath>
      <w:r>
        <m:rPr/>
        <w:rPr>
          <w:rFonts w:hint="default" w:hAnsi="Times New Roman" w:eastAsia="Times New Roman" w:cs="Times New Roman"/>
          <w:i w:val="0"/>
          <w:kern w:val="0"/>
          <w:lang w:val="en-US" w:eastAsia="ru-RU"/>
          <w14:ligatures w14:val="none"/>
        </w:rPr>
        <w:t>.</w:t>
      </w:r>
    </w:p>
    <w:p w14:paraId="4C87C6E4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Масштабирование для рибонуклеопротеиновых комплексов</w:t>
      </w:r>
    </w:p>
    <w:p w14:paraId="0FE5F585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ru-RU"/>
          <w14:ligatures w14:val="none"/>
        </w:rPr>
        <w:t>Настоящая модель устанавливает принципиально новую связь между микроскопической структурой гидратной оболочки и макроскопической термодинамикой белка, отвечая на вызовы современной биомолекулярной физики.</w:t>
      </w:r>
    </w:p>
    <w:p w14:paraId="544FA296">
      <w:pPr>
        <w:widowControl w:val="0"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18EA5F24">
      <w:pPr>
        <w:widowControl w:val="0"/>
        <w:spacing w:after="0" w:line="276" w:lineRule="auto"/>
        <w:ind w:firstLine="709"/>
        <w:jc w:val="right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</w:p>
    <w:p w14:paraId="02414040">
      <w:pPr>
        <w:widowControl w:val="0"/>
        <w:spacing w:after="0" w:line="276" w:lineRule="auto"/>
        <w:ind w:firstLine="709"/>
        <w:jc w:val="right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162560</wp:posOffset>
                </wp:positionV>
                <wp:extent cx="1195070" cy="315595"/>
                <wp:effectExtent l="0" t="0" r="0" b="0"/>
                <wp:wrapNone/>
                <wp:docPr id="1" name="Текстовое 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15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FD1972">
                            <w:pPr>
                              <w:pStyle w:val="20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Application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" o:spid="_x0000_s1026" o:spt="202" type="#_x0000_t202" style="position:absolute;left:0pt;margin-left:-8pt;margin-top:12.8pt;height:24.85pt;width:94.1pt;z-index:251660288;mso-width-relative:page;mso-height-relative:page;" filled="f" stroked="f" coordsize="21600,21600" o:gfxdata="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0mO591wAAAAkBAAAPAAAAAAAAAAEAIAAAACIAAABkcnMvZG93bnJldi54bWxQSwEC&#10;FAAUAAAACACHTuJANbmYU7wBAABZ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AFD1972">
                      <w:pPr>
                        <w:pStyle w:val="20"/>
                        <w:overflowPunct w:val="0"/>
                        <w:spacing w:before="0" w:after="0"/>
                        <w:ind w:left="0" w:firstLine="0"/>
                        <w:jc w:val="left"/>
                        <w:textAlignment w:val="baseline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</w:rPr>
                        <w:t>Application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0FB56DFF">
      <w:pPr>
        <w:widowControl w:val="0"/>
        <w:spacing w:after="0" w:line="276" w:lineRule="auto"/>
        <w:ind w:firstLine="709"/>
        <w:jc w:val="right"/>
        <w:rPr>
          <w:rFonts w:ascii="Times New Roman" w:hAnsi="Times New Roman" w:eastAsia="Times New Roman" w:cs="Times New Roman"/>
          <w:kern w:val="0"/>
          <w:lang w:eastAsia="ru-RU"/>
          <w14:ligatures w14:val="none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135890</wp:posOffset>
                </wp:positionH>
                <wp:positionV relativeFrom="paragraph">
                  <wp:posOffset>1214755</wp:posOffset>
                </wp:positionV>
                <wp:extent cx="1512570" cy="357505"/>
                <wp:effectExtent l="0" t="0" r="0" b="0"/>
                <wp:wrapNone/>
                <wp:docPr id="3" name="Текстовое 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570" cy="3575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947554">
                            <w:pPr>
                              <w:pStyle w:val="20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Application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" o:spid="_x0000_s1026" o:spt="202" type="#_x0000_t202" style="position:absolute;left:0pt;margin-left:10.7pt;margin-top:95.65pt;height:28.15pt;width:119.1pt;z-index:251662336;mso-width-relative:page;mso-height-relative:page;" filled="f" stroked="f" coordsize="21600,21600" o:gfxdata="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sx+FJ1wAAAAoBAAAPAAAAAAAAAAEAIAAAACIAAABkcnMvZG93bnJldi54bWxQSwEC&#10;FAAUAAAACACHTuJAyBoprrwBAABZ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F947554">
                      <w:pPr>
                        <w:pStyle w:val="20"/>
                        <w:overflowPunct w:val="0"/>
                        <w:spacing w:before="0" w:after="0"/>
                        <w:ind w:left="0" w:firstLine="0"/>
                        <w:jc w:val="left"/>
                        <w:textAlignment w:val="baseline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</w:rPr>
                        <w:t>Application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93345</wp:posOffset>
                </wp:positionH>
                <wp:positionV relativeFrom="paragraph">
                  <wp:posOffset>515620</wp:posOffset>
                </wp:positionV>
                <wp:extent cx="1290320" cy="367665"/>
                <wp:effectExtent l="0" t="0" r="0" b="0"/>
                <wp:wrapNone/>
                <wp:docPr id="2" name="Текстовое 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320" cy="367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DE23B6">
                            <w:pPr>
                              <w:pStyle w:val="20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Application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" o:spid="_x0000_s1026" o:spt="202" type="#_x0000_t202" style="position:absolute;left:0pt;margin-left:7.35pt;margin-top:40.6pt;height:28.95pt;width:101.6pt;z-index:251661312;mso-width-relative:page;mso-height-relative:page;" filled="f" stroked="f" coordsize="21600,21600" o:gfxdata="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KMET7WAAAACQEAAA8AAAAAAAAAAQAgAAAAIgAAAGRycy9kb3ducmV2LnhtbFBLAQIU&#10;ABQAAAAIAIdO4kBzHyfFvAEAAFkDAAAOAAAAAAAAAAEAIAAAACU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6DE23B6">
                      <w:pPr>
                        <w:pStyle w:val="20"/>
                        <w:overflowPunct w:val="0"/>
                        <w:spacing w:before="0" w:after="0"/>
                        <w:ind w:left="0" w:firstLine="0"/>
                        <w:jc w:val="left"/>
                        <w:textAlignment w:val="baseline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</w:rPr>
                        <w:t>Application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ru-RU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27455" cy="379095"/>
                <wp:effectExtent l="0" t="0" r="0" b="0"/>
                <wp:wrapNone/>
                <wp:docPr id="8" name="Текстовое пол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379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3D2C10">
                            <w:pPr>
                              <w:pStyle w:val="20"/>
                              <w:overflowPunct w:val="0"/>
                              <w:spacing w:before="0" w:after="0"/>
                              <w:ind w:left="0" w:firstLine="0"/>
                              <w:jc w:val="left"/>
                              <w:textAlignment w:val="baseline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Application</w:t>
                            </w:r>
                            <w:r>
                              <w:rPr>
                                <w:rFonts w:hint="default" w:ascii="Times New Roman" w:hAnsi="Times New Roman" w:eastAsia="YS Text" w:cs="Times New Roman"/>
                                <w:color w:val="000000"/>
                                <w:kern w:val="24"/>
                                <w:sz w:val="24"/>
                                <w:szCs w:val="24"/>
                                <w:lang w:val="ru-RU"/>
                              </w:rPr>
                              <w:t xml:space="preserve">  А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" o:spid="_x0000_s1026" o:spt="202" type="#_x0000_t202" style="position:absolute;left:0pt;margin-left:0pt;margin-top:0pt;height:29.85pt;width:96.65pt;z-index:251659264;mso-width-relative:page;mso-height-relative:page;" filled="f" stroked="f" coordsize="21600,21600" o:gfxdata="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NZimG0wAAAAQBAAAPAAAAAAAAAAEAIAAAACIAAABkcnMvZG93bnJldi54bWxQSwECFAAU&#10;AAAACACHTuJAaTETJr0BAABZAwAADgAAAAAAAAABACAAAAAi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13D2C10">
                      <w:pPr>
                        <w:pStyle w:val="20"/>
                        <w:overflowPunct w:val="0"/>
                        <w:spacing w:before="0" w:after="0"/>
                        <w:ind w:left="0" w:firstLine="0"/>
                        <w:jc w:val="left"/>
                        <w:textAlignment w:val="baseline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</w:rPr>
                        <w:t>Application</w:t>
                      </w:r>
                      <w:r>
                        <w:rPr>
                          <w:rFonts w:hint="default" w:ascii="Times New Roman" w:hAnsi="Times New Roman" w:eastAsia="YS Text" w:cs="Times New Roman"/>
                          <w:color w:val="000000"/>
                          <w:kern w:val="24"/>
                          <w:sz w:val="24"/>
                          <w:szCs w:val="24"/>
                          <w:lang w:val="ru-RU"/>
                        </w:rPr>
                        <w:t xml:space="preserve">  А</w:t>
                      </w:r>
                    </w:p>
                  </w:txbxContent>
                </v:textbox>
              </v:shape>
            </w:pict>
          </mc:Fallback>
        </mc:AlternateConten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0793489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7790EAB6">
        <w:pPr>
          <w:pStyle w:val="19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549C5B24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C84C3"/>
    <w:multiLevelType w:val="singleLevel"/>
    <w:tmpl w:val="03EC84C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984"/>
    <w:rsid w:val="00023537"/>
    <w:rsid w:val="000B4288"/>
    <w:rsid w:val="000B479A"/>
    <w:rsid w:val="001001C1"/>
    <w:rsid w:val="00111DF5"/>
    <w:rsid w:val="00140F0E"/>
    <w:rsid w:val="00194699"/>
    <w:rsid w:val="001C404B"/>
    <w:rsid w:val="00241D10"/>
    <w:rsid w:val="002E43B1"/>
    <w:rsid w:val="002F28BD"/>
    <w:rsid w:val="0036545C"/>
    <w:rsid w:val="003C6984"/>
    <w:rsid w:val="00550878"/>
    <w:rsid w:val="005E688F"/>
    <w:rsid w:val="00747BD9"/>
    <w:rsid w:val="00783988"/>
    <w:rsid w:val="00891A6B"/>
    <w:rsid w:val="008A0423"/>
    <w:rsid w:val="008B4882"/>
    <w:rsid w:val="008C62F4"/>
    <w:rsid w:val="00904FF0"/>
    <w:rsid w:val="00980FF9"/>
    <w:rsid w:val="009F5FF0"/>
    <w:rsid w:val="00A97BD3"/>
    <w:rsid w:val="00AB3929"/>
    <w:rsid w:val="00AF6ACA"/>
    <w:rsid w:val="00B83AC9"/>
    <w:rsid w:val="00BB1CBE"/>
    <w:rsid w:val="00BE6B9D"/>
    <w:rsid w:val="00C02EAF"/>
    <w:rsid w:val="00C0326E"/>
    <w:rsid w:val="00C16596"/>
    <w:rsid w:val="00CD4BF5"/>
    <w:rsid w:val="00D163EC"/>
    <w:rsid w:val="00D206B9"/>
    <w:rsid w:val="00D5058F"/>
    <w:rsid w:val="00DE0E78"/>
    <w:rsid w:val="00E070EA"/>
    <w:rsid w:val="00FF715A"/>
    <w:rsid w:val="2120204D"/>
    <w:rsid w:val="35412AC4"/>
    <w:rsid w:val="51F8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800080"/>
      <w:u w:val="single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Hyperlink"/>
    <w:basedOn w:val="11"/>
    <w:semiHidden/>
    <w:unhideWhenUsed/>
    <w:uiPriority w:val="99"/>
    <w:rPr>
      <w:color w:val="0000FF"/>
      <w:u w:val="singl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header"/>
    <w:basedOn w:val="1"/>
    <w:link w:val="7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8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7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basedOn w:val="1"/>
    <w:semiHidden/>
    <w:unhideWhenUsed/>
    <w:uiPriority w:val="99"/>
    <w:rPr>
      <w:sz w:val="24"/>
      <w:szCs w:val="24"/>
    </w:rPr>
  </w:style>
  <w:style w:type="paragraph" w:styleId="21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2">
    <w:name w:val="HTML Preformatted"/>
    <w:basedOn w:val="1"/>
    <w:link w:val="45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23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qFormat/>
    <w:uiPriority w:val="34"/>
    <w:pPr>
      <w:ind w:left="720"/>
      <w:contextualSpacing/>
    </w:pPr>
  </w:style>
  <w:style w:type="character" w:customStyle="1" w:styleId="37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uiPriority w:val="30"/>
    <w:rPr>
      <w:i/>
      <w:iCs/>
      <w:color w:val="104862" w:themeColor="accent1" w:themeShade="BF"/>
    </w:rPr>
  </w:style>
  <w:style w:type="character" w:customStyle="1" w:styleId="40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1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paragraph" w:customStyle="1" w:styleId="42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  <w:style w:type="character" w:customStyle="1" w:styleId="43">
    <w:name w:val="d813de27"/>
    <w:basedOn w:val="11"/>
    <w:uiPriority w:val="0"/>
  </w:style>
  <w:style w:type="character" w:customStyle="1" w:styleId="44">
    <w:name w:val="code-info-button-text"/>
    <w:basedOn w:val="11"/>
    <w:uiPriority w:val="0"/>
  </w:style>
  <w:style w:type="character" w:customStyle="1" w:styleId="45">
    <w:name w:val="Стандартный HTML Знак"/>
    <w:basedOn w:val="11"/>
    <w:link w:val="22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ru-RU"/>
      <w14:ligatures w14:val="none"/>
    </w:rPr>
  </w:style>
  <w:style w:type="character" w:customStyle="1" w:styleId="46">
    <w:name w:val="katex"/>
    <w:basedOn w:val="11"/>
    <w:uiPriority w:val="0"/>
  </w:style>
  <w:style w:type="character" w:customStyle="1" w:styleId="47">
    <w:name w:val="katex-mathml"/>
    <w:basedOn w:val="11"/>
    <w:uiPriority w:val="0"/>
  </w:style>
  <w:style w:type="character" w:customStyle="1" w:styleId="48">
    <w:name w:val="katex-html"/>
    <w:basedOn w:val="11"/>
    <w:uiPriority w:val="0"/>
  </w:style>
  <w:style w:type="character" w:customStyle="1" w:styleId="49">
    <w:name w:val="base"/>
    <w:basedOn w:val="11"/>
    <w:uiPriority w:val="0"/>
  </w:style>
  <w:style w:type="character" w:customStyle="1" w:styleId="50">
    <w:name w:val="strut"/>
    <w:basedOn w:val="11"/>
    <w:uiPriority w:val="0"/>
  </w:style>
  <w:style w:type="character" w:customStyle="1" w:styleId="51">
    <w:name w:val="mord"/>
    <w:basedOn w:val="11"/>
    <w:uiPriority w:val="0"/>
  </w:style>
  <w:style w:type="character" w:customStyle="1" w:styleId="52">
    <w:name w:val="mspace"/>
    <w:basedOn w:val="11"/>
    <w:uiPriority w:val="0"/>
  </w:style>
  <w:style w:type="character" w:customStyle="1" w:styleId="53">
    <w:name w:val="mrel"/>
    <w:basedOn w:val="11"/>
    <w:uiPriority w:val="0"/>
  </w:style>
  <w:style w:type="character" w:customStyle="1" w:styleId="54">
    <w:name w:val="msupsub"/>
    <w:basedOn w:val="11"/>
    <w:uiPriority w:val="0"/>
  </w:style>
  <w:style w:type="character" w:customStyle="1" w:styleId="55">
    <w:name w:val="vlist-t"/>
    <w:basedOn w:val="11"/>
    <w:uiPriority w:val="0"/>
  </w:style>
  <w:style w:type="character" w:customStyle="1" w:styleId="56">
    <w:name w:val="vlist-r"/>
    <w:basedOn w:val="11"/>
    <w:uiPriority w:val="0"/>
  </w:style>
  <w:style w:type="character" w:customStyle="1" w:styleId="57">
    <w:name w:val="vlist"/>
    <w:basedOn w:val="11"/>
    <w:uiPriority w:val="0"/>
  </w:style>
  <w:style w:type="character" w:customStyle="1" w:styleId="58">
    <w:name w:val="pstrut"/>
    <w:basedOn w:val="11"/>
    <w:uiPriority w:val="0"/>
  </w:style>
  <w:style w:type="character" w:customStyle="1" w:styleId="59">
    <w:name w:val="sizing"/>
    <w:basedOn w:val="11"/>
    <w:uiPriority w:val="0"/>
  </w:style>
  <w:style w:type="character" w:customStyle="1" w:styleId="60">
    <w:name w:val="vlist-s"/>
    <w:basedOn w:val="11"/>
    <w:uiPriority w:val="0"/>
  </w:style>
  <w:style w:type="character" w:customStyle="1" w:styleId="61">
    <w:name w:val="mbin"/>
    <w:basedOn w:val="11"/>
    <w:uiPriority w:val="0"/>
  </w:style>
  <w:style w:type="character" w:customStyle="1" w:styleId="62">
    <w:name w:val="mopen"/>
    <w:basedOn w:val="11"/>
    <w:uiPriority w:val="0"/>
  </w:style>
  <w:style w:type="character" w:customStyle="1" w:styleId="63">
    <w:name w:val="mfrac"/>
    <w:basedOn w:val="11"/>
    <w:uiPriority w:val="0"/>
  </w:style>
  <w:style w:type="character" w:customStyle="1" w:styleId="64">
    <w:name w:val="frac-line"/>
    <w:basedOn w:val="11"/>
    <w:uiPriority w:val="0"/>
  </w:style>
  <w:style w:type="character" w:customStyle="1" w:styleId="65">
    <w:name w:val="mclose"/>
    <w:basedOn w:val="11"/>
    <w:uiPriority w:val="0"/>
  </w:style>
  <w:style w:type="character" w:customStyle="1" w:styleId="66">
    <w:name w:val="accent-body"/>
    <w:basedOn w:val="11"/>
    <w:uiPriority w:val="0"/>
  </w:style>
  <w:style w:type="character" w:customStyle="1" w:styleId="67">
    <w:name w:val="mop"/>
    <w:basedOn w:val="11"/>
    <w:uiPriority w:val="0"/>
  </w:style>
  <w:style w:type="character" w:customStyle="1" w:styleId="68">
    <w:name w:val="minner"/>
    <w:basedOn w:val="11"/>
    <w:uiPriority w:val="0"/>
  </w:style>
  <w:style w:type="character" w:customStyle="1" w:styleId="69">
    <w:name w:val="delimsizing"/>
    <w:basedOn w:val="11"/>
    <w:uiPriority w:val="0"/>
  </w:style>
  <w:style w:type="character" w:customStyle="1" w:styleId="70">
    <w:name w:val="Верхний колонтитул Знак"/>
    <w:basedOn w:val="11"/>
    <w:link w:val="17"/>
    <w:uiPriority w:val="99"/>
  </w:style>
  <w:style w:type="character" w:customStyle="1" w:styleId="71">
    <w:name w:val="Нижний колонтитул Знак"/>
    <w:basedOn w:val="11"/>
    <w:link w:val="19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1694</Words>
  <Characters>7934</Characters>
  <Lines>75</Lines>
  <Paragraphs>21</Paragraphs>
  <TotalTime>30</TotalTime>
  <ScaleCrop>false</ScaleCrop>
  <LinksUpToDate>false</LinksUpToDate>
  <CharactersWithSpaces>8609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2025-08-11T16:20:00Z</dcterms:created>
  <dc:creator>Сергей Овчинников</dc:creator>
  <cp:lastModifiedBy>Сергей Овчинников</cp:lastModifiedBy>
  <dcterms:modified xsi:type="dcterms:W3CDTF">2026-08-08T14:00:10Z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1049-12.1.0.28032</vt:lpwstr>
  </property>
  <property fmtid="{D5CDD505-2E9C-101B-9397-08002B2CF9AE}" pid="4" name="ICV">
    <vt:lpwstr>443F9BA6440C489FBD1D4987390AAA61_12</vt:lpwstr>
  </property>
</Properties>
</file>