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 w:val="false"/>
          <w:iCs w:val="false"/>
        </w:rPr>
        <w:t xml:space="preserve">1. Fijalkow  ‪Nathanaël, ed. Introduction. In: </w:t>
      </w:r>
      <w:r>
        <w:rPr>
          <w:i/>
          <w:iCs/>
        </w:rPr>
        <w:t xml:space="preserve">Games on Graphs: From Logic and Automata to Algorithms</w:t>
      </w:r>
      <w:r>
        <w:rPr>
          <w:i w:val="false"/>
          <w:iCs w:val="false"/>
        </w:rPr>
        <w:t xml:space="preserve">. Cambridge University Press; 2026:1-50. &lt;div&gt;&lt;/div&gt;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2026-06-28T09:46:31.583Z</dcterms:created>
  <dcterms:modified xsi:type="dcterms:W3CDTF">2026-06-28T09:46:31.583Z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