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18F1C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b/>
          <w:bCs/>
          <w:sz w:val="23"/>
          <w:lang w:eastAsia="ru-RU"/>
        </w:rPr>
        <w:t>Основные компоненты, элементы и решения работы (с акцентом на математические аспекты)</w:t>
      </w:r>
    </w:p>
    <w:tbl>
      <w:tblPr>
        <w:tblStyle w:val="3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2233"/>
        <w:gridCol w:w="5772"/>
      </w:tblGrid>
      <w:tr w14:paraId="08F838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6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DAD830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Категория</w:t>
            </w:r>
          </w:p>
        </w:tc>
        <w:tc>
          <w:tcPr>
            <w:tcW w:w="2233" w:type="dxa"/>
            <w:vAlign w:val="center"/>
          </w:tcPr>
          <w:p w14:paraId="6BEA9FF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Компоненты/Элементы</w:t>
            </w:r>
          </w:p>
        </w:tc>
        <w:tc>
          <w:tcPr>
            <w:tcW w:w="5772" w:type="dxa"/>
            <w:vAlign w:val="center"/>
          </w:tcPr>
          <w:p w14:paraId="4FBE89C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Математические методы и решения</w:t>
            </w:r>
          </w:p>
        </w:tc>
      </w:tr>
      <w:tr w14:paraId="462F5E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3C253D1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Целочисленная оптимизация</w:t>
            </w:r>
          </w:p>
        </w:tc>
        <w:tc>
          <w:tcPr>
            <w:tcW w:w="2233" w:type="dxa"/>
            <w:vAlign w:val="center"/>
          </w:tcPr>
          <w:p w14:paraId="737467F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Формализация задачи ILP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Доказательство NP-трудности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Гибридный алгоритм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Двойственная задача ILP</w:t>
            </w:r>
          </w:p>
        </w:tc>
        <w:tc>
          <w:tcPr>
            <w:tcW w:w="5772" w:type="dxa"/>
            <w:vAlign w:val="center"/>
          </w:tcPr>
          <w:p w14:paraId="74DEAE3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Модель ILP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min⁡(∑i=1Ncixi+∑j=1Mdjyj)min</w:t>
            </w:r>
            <w:r>
              <w:rPr>
                <w:rFonts w:ascii="KaTeX_Size2" w:hAnsi="KaTeX_Size2" w:eastAsia="Times New Roman" w:cs="Times New Roman"/>
                <w:sz w:val="20"/>
                <w:szCs w:val="20"/>
                <w:lang w:eastAsia="ru-RU"/>
              </w:rPr>
              <w:t>(</w:t>
            </w:r>
            <w:r>
              <w:rPr>
                <w:rFonts w:ascii="KaTeX_Size1" w:hAnsi="KaTeX_Size1" w:eastAsia="Times New Roman" w:cs="Times New Roman"/>
                <w:sz w:val="20"/>
                <w:szCs w:val="20"/>
                <w:lang w:eastAsia="ru-RU"/>
              </w:rPr>
              <w:t>∑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=1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ci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xi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​+</w:t>
            </w:r>
            <w:r>
              <w:rPr>
                <w:rFonts w:ascii="KaTeX_Size1" w:hAnsi="KaTeX_Size1" w:eastAsia="Times New Roman" w:cs="Times New Roman"/>
                <w:sz w:val="20"/>
                <w:szCs w:val="20"/>
                <w:lang w:eastAsia="ru-RU"/>
              </w:rPr>
              <w:t>∑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j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=1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dj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yj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Size2" w:hAnsi="KaTeX_Size2" w:eastAsia="Times New Roman" w:cs="Times New Roman"/>
                <w:sz w:val="20"/>
                <w:szCs w:val="20"/>
                <w:lang w:eastAsia="ru-RU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при ограничениях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∑i=1Naikxi+∑j=1Mbjkyj≥Sk,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∀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k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∈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{1,…,K}</w:t>
            </w:r>
            <w:r>
              <w:rPr>
                <w:rFonts w:ascii="KaTeX_Size1" w:hAnsi="KaTeX_Size1" w:eastAsia="Times New Roman" w:cs="Times New Roman"/>
                <w:sz w:val="20"/>
                <w:szCs w:val="20"/>
                <w:lang w:eastAsia="ru-RU"/>
              </w:rPr>
              <w:t>∑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=1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aik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xi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​+</w:t>
            </w:r>
            <w:r>
              <w:rPr>
                <w:rFonts w:ascii="KaTeX_Size1" w:hAnsi="KaTeX_Size1" w:eastAsia="Times New Roman" w:cs="Times New Roman"/>
                <w:sz w:val="20"/>
                <w:szCs w:val="20"/>
                <w:lang w:eastAsia="ru-RU"/>
              </w:rPr>
              <w:t>∑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j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=1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bjk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yj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​≥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Sk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​,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∀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k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∈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{1,…,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K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∑i=1Ncixi+∑j=1Mdjyj≤B</w:t>
            </w:r>
            <w:r>
              <w:rPr>
                <w:rFonts w:ascii="KaTeX_Size1" w:hAnsi="KaTeX_Size1" w:eastAsia="Times New Roman" w:cs="Times New Roman"/>
                <w:sz w:val="20"/>
                <w:szCs w:val="20"/>
                <w:lang w:eastAsia="ru-RU"/>
              </w:rPr>
              <w:t>∑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=1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ci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xi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​+</w:t>
            </w:r>
            <w:r>
              <w:rPr>
                <w:rFonts w:ascii="KaTeX_Size1" w:hAnsi="KaTeX_Size1" w:eastAsia="Times New Roman" w:cs="Times New Roman"/>
                <w:sz w:val="20"/>
                <w:szCs w:val="20"/>
                <w:lang w:eastAsia="ru-RU"/>
              </w:rPr>
              <w:t>∑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j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=1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dj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yj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​≤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B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Редукция к многомерному рюкзаку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Задача синтеза≤pМногомерный рюкзакЗадача синтеза≤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​Многомерный рюкзак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Гибридный алгоритм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Гарантия (1+ε)(1+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)-оптимальности при N+M≥104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+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≥104.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Двойственная задача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max⁡λλTSmax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b/>
                <w:bCs/>
                <w:i/>
                <w:iCs/>
                <w:sz w:val="20"/>
                <w:szCs w:val="20"/>
                <w:lang w:eastAsia="ru-RU"/>
              </w:rPr>
              <w:t>λ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T</w:t>
            </w:r>
            <w:r>
              <w:rPr>
                <w:rFonts w:ascii="KaTeX_Main" w:hAnsi="KaTeX_Main" w:eastAsia="Times New Roman" w:cs="Times New Roman"/>
                <w:b/>
                <w:bCs/>
                <w:sz w:val="20"/>
                <w:szCs w:val="20"/>
                <w:lang w:eastAsia="ru-RU"/>
              </w:rPr>
              <w:t>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при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ATλ≤c,BTλ≤d</w:t>
            </w:r>
            <w:r>
              <w:rPr>
                <w:rFonts w:ascii="KaTeX_Main" w:hAnsi="KaTeX_Main" w:eastAsia="Times New Roman" w:cs="Times New Roman"/>
                <w:b/>
                <w:bCs/>
                <w:sz w:val="20"/>
                <w:szCs w:val="20"/>
                <w:lang w:eastAsia="ru-RU"/>
              </w:rPr>
              <w:t>A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T</w:t>
            </w:r>
            <w:r>
              <w:rPr>
                <w:rFonts w:ascii="KaTeX_Math" w:hAnsi="KaTeX_Math" w:eastAsia="Times New Roman" w:cs="Times New Roman"/>
                <w:b/>
                <w:bCs/>
                <w:i/>
                <w:iCs/>
                <w:sz w:val="20"/>
                <w:szCs w:val="20"/>
                <w:lang w:eastAsia="ru-RU"/>
              </w:rPr>
              <w:t>λ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≤</w:t>
            </w:r>
            <w:r>
              <w:rPr>
                <w:rFonts w:ascii="KaTeX_Main" w:hAnsi="KaTeX_Main" w:eastAsia="Times New Roman" w:cs="Times New Roman"/>
                <w:b/>
                <w:bCs/>
                <w:sz w:val="20"/>
                <w:szCs w:val="20"/>
                <w:lang w:eastAsia="ru-RU"/>
              </w:rPr>
              <w:t>c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,</w:t>
            </w:r>
            <w:r>
              <w:rPr>
                <w:rFonts w:ascii="KaTeX_Main" w:hAnsi="KaTeX_Main" w:eastAsia="Times New Roman" w:cs="Times New Roman"/>
                <w:b/>
                <w:bCs/>
                <w:sz w:val="20"/>
                <w:szCs w:val="20"/>
                <w:lang w:eastAsia="ru-RU"/>
              </w:rPr>
              <w:t>B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T</w:t>
            </w:r>
            <w:r>
              <w:rPr>
                <w:rFonts w:ascii="KaTeX_Math" w:hAnsi="KaTeX_Math" w:eastAsia="Times New Roman" w:cs="Times New Roman"/>
                <w:b/>
                <w:bCs/>
                <w:i/>
                <w:iCs/>
                <w:sz w:val="20"/>
                <w:szCs w:val="20"/>
                <w:lang w:eastAsia="ru-RU"/>
              </w:rPr>
              <w:t>λ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≤</w:t>
            </w:r>
            <w:r>
              <w:rPr>
                <w:rFonts w:ascii="KaTeX_Main" w:hAnsi="KaTeX_Main" w:eastAsia="Times New Roman" w:cs="Times New Roman"/>
                <w:b/>
                <w:bCs/>
                <w:sz w:val="20"/>
                <w:szCs w:val="20"/>
                <w:lang w:eastAsia="ru-RU"/>
              </w:rPr>
              <w:t>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14:paraId="6342FE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615281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Предиктивная аналитика</w:t>
            </w:r>
          </w:p>
        </w:tc>
        <w:tc>
          <w:tcPr>
            <w:tcW w:w="2233" w:type="dxa"/>
            <w:vAlign w:val="center"/>
          </w:tcPr>
          <w:p w14:paraId="4AC78C4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Прогнозирование отказов техники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Ансамбли LSTM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Динамические модели износа</w:t>
            </w:r>
          </w:p>
        </w:tc>
        <w:tc>
          <w:tcPr>
            <w:tcW w:w="5772" w:type="dxa"/>
            <w:vAlign w:val="center"/>
          </w:tcPr>
          <w:p w14:paraId="6B2DD66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Уравнения LSTM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{ft=σ(Wf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[ht−1,xt]+bf)it=σ(Wi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[ht−1,xt]+bi)C~t=tanh⁡(WC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[ht−1,xt]+bC)Ct=ft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⊙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Ct−1+it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⊙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C~tot=σ(Wo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[ht−1,xt]+bo)ht=ot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⊙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tanh⁡(Ct)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⎩⎨⎧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ft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​=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σ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(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Wf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[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ht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−1​,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xt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​]+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bf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​)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it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​=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σ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(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Wi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[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ht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−1​,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xt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​]+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bi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​)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C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~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​=tanh(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WC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[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ht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−1​,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xt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​]+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bC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​)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Ct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​=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ft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⊙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Ct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−1​+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it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⊙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C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~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ot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​=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σ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(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Wo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[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ht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−1​,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xt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​]+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bo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​)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ht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​=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ot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⊙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tanh(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Ct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​)​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F1-мера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F1=2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Precision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RecallPrecision+Recall,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F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1​=Precision+Recall2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Precision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Recall​,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где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Precision=TPTP+FP,Recall=TPTP+FNPrecision=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TP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+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FPTP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​,Recall=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TP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+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FNTP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Динамика износа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dRidt=−α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eβTi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ωi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dtdRi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​​=−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α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eβTi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ωi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14:paraId="1F7D45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82CBC0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Блокчейн-платформы</w:t>
            </w:r>
          </w:p>
        </w:tc>
        <w:tc>
          <w:tcPr>
            <w:tcW w:w="2233" w:type="dxa"/>
            <w:vAlign w:val="center"/>
          </w:tcPr>
          <w:p w14:paraId="6233444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PBFT-консенсус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Шифрование AES-256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Интеграция с IoT</w:t>
            </w:r>
          </w:p>
        </w:tc>
        <w:tc>
          <w:tcPr>
            <w:tcW w:w="5772" w:type="dxa"/>
            <w:vAlign w:val="center"/>
          </w:tcPr>
          <w:p w14:paraId="3CA6AC7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Вероятность атаки PBFT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Pатаки=∑k=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⌈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N/3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⌉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+1N(Nk)pk(1−p)N−k,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P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атаки​=</w:t>
            </w:r>
            <w:r>
              <w:rPr>
                <w:rFonts w:ascii="KaTeX_Size1" w:hAnsi="KaTeX_Size1" w:eastAsia="Times New Roman" w:cs="Times New Roman"/>
                <w:sz w:val="20"/>
                <w:szCs w:val="20"/>
                <w:lang w:eastAsia="ru-RU"/>
              </w:rPr>
              <w:t>∑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k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=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⌈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/3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⌉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+1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Size1" w:hAnsi="KaTeX_Size1" w:eastAsia="Times New Roman" w:cs="Times New Roman"/>
                <w:sz w:val="20"/>
                <w:szCs w:val="20"/>
                <w:lang w:eastAsia="ru-RU"/>
              </w:rPr>
              <w:t>(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kN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KaTeX_Size1" w:hAnsi="KaTeX_Size1" w:eastAsia="Times New Roman" w:cs="Times New Roman"/>
                <w:sz w:val="20"/>
                <w:szCs w:val="20"/>
                <w:lang w:eastAsia="ru-RU"/>
              </w:rPr>
              <w:t>)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pk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(1−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p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)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−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k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где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N=21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=21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,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p=0.01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p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=0.01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Условие корректности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Подтверждений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≥2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⌊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N/3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⌋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+1≥2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⌊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/3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⌋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+1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Шифрование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AES-256 с ключом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K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∈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{0,1}256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K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∈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{0,1}256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14:paraId="6CFAB4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4CA699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Критерии эффективности</w:t>
            </w:r>
          </w:p>
        </w:tc>
        <w:tc>
          <w:tcPr>
            <w:tcW w:w="2233" w:type="dxa"/>
            <w:vAlign w:val="center"/>
          </w:tcPr>
          <w:p w14:paraId="6E3BBDE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Экономическая эффективность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Техническая надежность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Устойчивость к атакам</w:t>
            </w:r>
          </w:p>
        </w:tc>
        <w:tc>
          <w:tcPr>
            <w:tcW w:w="5772" w:type="dxa"/>
            <w:vAlign w:val="center"/>
          </w:tcPr>
          <w:p w14:paraId="079CB9D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Экономия затрат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ΔC=Cбаз−CоптCбаз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100%≥28%.Δ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C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=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C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баз​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C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баз​−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C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опт​​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100%≥28%.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Надежность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F1≥0.96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F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1​≥0.96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,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ROC-AUC≥0.98ROC-AUC≥0.98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Устойчивость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Pатаки&lt;10−9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P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атаки​&lt;10−9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, время реакции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≤15≤15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мин.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Связность графа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∀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Rk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∈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R,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∃∀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Rk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∈</w:t>
            </w:r>
            <w:r>
              <w:rPr>
                <w:rFonts w:ascii="KaTeX_Caligraphic" w:hAnsi="KaTeX_Caligraphic" w:eastAsia="Times New Roman" w:cs="Times New Roman"/>
                <w:sz w:val="20"/>
                <w:szCs w:val="20"/>
                <w:lang w:eastAsia="ru-RU"/>
              </w:rPr>
              <w:t>R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,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∃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путь в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G=(P′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∪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T′,E)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G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=(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P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′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∪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′,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E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14:paraId="15E172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749351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Организационно-правовые механизмы</w:t>
            </w:r>
          </w:p>
        </w:tc>
        <w:tc>
          <w:tcPr>
            <w:tcW w:w="2233" w:type="dxa"/>
            <w:vAlign w:val="center"/>
          </w:tcPr>
          <w:p w14:paraId="7300340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Лицензирование ПО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Управление рисками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Страхование киберрисков</w:t>
            </w:r>
          </w:p>
        </w:tc>
        <w:tc>
          <w:tcPr>
            <w:tcW w:w="5772" w:type="dxa"/>
            <w:vAlign w:val="center"/>
          </w:tcPr>
          <w:p w14:paraId="10FDFBF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ROI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ROI=Годовая экономияЗатраты на разработку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100%.ROI=Затраты на разработкуГодовая экономия​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100%.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Модель рисков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E[Ущерб]=∑s=1104ps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Ущербs.</w:t>
            </w:r>
            <w:r>
              <w:rPr>
                <w:rFonts w:ascii="KaTeX_AMS" w:hAnsi="KaTeX_AMS" w:eastAsia="Times New Roman" w:cs="Times New Roman"/>
                <w:sz w:val="20"/>
                <w:szCs w:val="20"/>
                <w:lang w:eastAsia="ru-RU"/>
              </w:rPr>
              <w:t>E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[Ущерб]=</w:t>
            </w:r>
            <w:r>
              <w:rPr>
                <w:rFonts w:ascii="KaTeX_Size1" w:hAnsi="KaTeX_Size1" w:eastAsia="Times New Roman" w:cs="Times New Roman"/>
                <w:sz w:val="20"/>
                <w:szCs w:val="20"/>
                <w:lang w:eastAsia="ru-RU"/>
              </w:rPr>
              <w:t>∑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s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=1104​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ps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</w:t>
            </w:r>
            <w:r>
              <w:rPr>
                <w:rFonts w:ascii="Cambria Math" w:hAnsi="Cambria Math" w:eastAsia="Times New Roman" w:cs="Cambria Math"/>
                <w:sz w:val="20"/>
                <w:szCs w:val="20"/>
                <w:lang w:eastAsia="ru-RU"/>
              </w:rPr>
              <w:t>⋅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Ущерб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s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​.</w:t>
            </w:r>
          </w:p>
        </w:tc>
      </w:tr>
      <w:tr w14:paraId="4A4D2D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4643A08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Экспериментальная апробация</w:t>
            </w:r>
          </w:p>
        </w:tc>
        <w:tc>
          <w:tcPr>
            <w:tcW w:w="2233" w:type="dxa"/>
            <w:vAlign w:val="center"/>
          </w:tcPr>
          <w:p w14:paraId="14DCEEF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Снижение затрат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Тестирование точности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Валидация блокчейна</w:t>
            </w:r>
          </w:p>
        </w:tc>
        <w:tc>
          <w:tcPr>
            <w:tcW w:w="5772" w:type="dxa"/>
            <w:vAlign w:val="center"/>
          </w:tcPr>
          <w:p w14:paraId="15C2940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Статистическая значимость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t=Xˉ1−Xˉ2s12n1+s22n2,p&lt;0.05.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t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=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1​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s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12​​+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2​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s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22​​​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X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ˉ1​−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X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ˉ2​​,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p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&lt;0.05.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 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Моделирование атак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Гиперпараметры: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N=21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N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=21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,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p=0.01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p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=0.01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, 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α=0.05</w:t>
            </w:r>
            <w:r>
              <w:rPr>
                <w:rFonts w:ascii="KaTeX_Math" w:hAnsi="KaTeX_Math" w:eastAsia="Times New Roman" w:cs="Times New Roman"/>
                <w:i/>
                <w:iCs/>
                <w:sz w:val="20"/>
                <w:szCs w:val="20"/>
                <w:lang w:eastAsia="ru-RU"/>
              </w:rPr>
              <w:t>α</w:t>
            </w:r>
            <w:r>
              <w:rPr>
                <w:rFonts w:ascii="KaTeX_Main" w:hAnsi="KaTeX_Main" w:eastAsia="Times New Roman" w:cs="Times New Roman"/>
                <w:sz w:val="20"/>
                <w:szCs w:val="20"/>
                <w:lang w:eastAsia="ru-RU"/>
              </w:rPr>
              <w:t>=0.05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</w:tbl>
    <w:p w14:paraId="614FB439">
      <w:pPr>
        <w:spacing w:after="0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</w:p>
    <w:p w14:paraId="2D560C08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Ключевые математические результаты</w:t>
      </w:r>
    </w:p>
    <w:p w14:paraId="241E2B81">
      <w:pPr>
        <w:numPr>
          <w:ilvl w:val="0"/>
          <w:numId w:val="1"/>
        </w:numPr>
        <w:spacing w:after="100" w:afterAutospacing="1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b/>
          <w:bCs/>
          <w:sz w:val="23"/>
          <w:lang w:eastAsia="ru-RU"/>
        </w:rPr>
        <w:t>Доказательство NP-трудности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 через полиномиальную сводимость к задаче о многомерном рюкзаке.</w:t>
      </w:r>
    </w:p>
    <w:p w14:paraId="0C171D77">
      <w:pPr>
        <w:numPr>
          <w:ilvl w:val="0"/>
          <w:numId w:val="1"/>
        </w:numPr>
        <w:spacing w:after="67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b/>
          <w:bCs/>
          <w:sz w:val="23"/>
          <w:lang w:eastAsia="ru-RU"/>
        </w:rPr>
        <w:t>Гибридный алгоритм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 с гарантией </w:t>
      </w:r>
      <w:r>
        <w:rPr>
          <w:rFonts w:ascii="KaTeX_Main" w:hAnsi="KaTeX_Main" w:eastAsia="Times New Roman" w:cs="Segoe UI"/>
          <w:sz w:val="28"/>
          <w:lang w:eastAsia="ru-RU"/>
        </w:rPr>
        <w:t>(1+ε)(1+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ε</w:t>
      </w:r>
      <w:r>
        <w:rPr>
          <w:rFonts w:ascii="KaTeX_Main" w:hAnsi="KaTeX_Main" w:eastAsia="Times New Roman" w:cs="Segoe UI"/>
          <w:sz w:val="28"/>
          <w:lang w:eastAsia="ru-RU"/>
        </w:rPr>
        <w:t>)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-оптимальности:</w:t>
      </w:r>
    </w:p>
    <w:p w14:paraId="5DA70335">
      <w:pPr>
        <w:spacing w:after="0" w:afterAutospacing="1" w:line="240" w:lineRule="auto"/>
        <w:ind w:left="720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KaTeX_Main" w:hAnsi="KaTeX_Main" w:eastAsia="Times New Roman" w:cs="Segoe UI"/>
          <w:sz w:val="28"/>
          <w:lang w:eastAsia="ru-RU"/>
        </w:rPr>
        <w:t>fалгfопт≤1+ε,ε=O(log⁡K+log⁡δ−1N+M).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f</w:t>
      </w:r>
      <w:r>
        <w:rPr>
          <w:rFonts w:ascii="KaTeX_Main" w:hAnsi="KaTeX_Main" w:eastAsia="Times New Roman" w:cs="Segoe UI"/>
          <w:sz w:val="20"/>
          <w:lang w:eastAsia="ru-RU"/>
        </w:rPr>
        <w:t>опт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f</w:t>
      </w:r>
      <w:r>
        <w:rPr>
          <w:rFonts w:ascii="KaTeX_Main" w:hAnsi="KaTeX_Main" w:eastAsia="Times New Roman" w:cs="Segoe UI"/>
          <w:sz w:val="20"/>
          <w:lang w:eastAsia="ru-RU"/>
        </w:rPr>
        <w:t>алг</w:t>
      </w:r>
      <w:r>
        <w:rPr>
          <w:rFonts w:ascii="KaTeX_Main" w:hAnsi="KaTeX_Main" w:eastAsia="Times New Roman" w:cs="Segoe UI"/>
          <w:sz w:val="2"/>
          <w:lang w:eastAsia="ru-RU"/>
        </w:rPr>
        <w:t>​​</w:t>
      </w:r>
      <w:r>
        <w:rPr>
          <w:rFonts w:ascii="KaTeX_Main" w:hAnsi="KaTeX_Main" w:eastAsia="Times New Roman" w:cs="Segoe UI"/>
          <w:sz w:val="28"/>
          <w:lang w:eastAsia="ru-RU"/>
        </w:rPr>
        <w:t>≤1+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ε</w:t>
      </w:r>
      <w:r>
        <w:rPr>
          <w:rFonts w:ascii="KaTeX_Main" w:hAnsi="KaTeX_Main" w:eastAsia="Times New Roman" w:cs="Segoe UI"/>
          <w:sz w:val="28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ε</w:t>
      </w:r>
      <w:r>
        <w:rPr>
          <w:rFonts w:ascii="KaTeX_Main" w:hAnsi="KaTeX_Main" w:eastAsia="Times New Roman" w:cs="Segoe UI"/>
          <w:sz w:val="28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O</w:t>
      </w:r>
      <w:r>
        <w:rPr>
          <w:rFonts w:ascii="KaTeX_Size3" w:hAnsi="KaTeX_Size3" w:eastAsia="Times New Roman" w:cs="Segoe UI"/>
          <w:sz w:val="28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N</w:t>
      </w:r>
      <w:r>
        <w:rPr>
          <w:rFonts w:ascii="KaTeX_Main" w:hAnsi="KaTeX_Main" w:eastAsia="Times New Roman" w:cs="Segoe UI"/>
          <w:sz w:val="28"/>
          <w:lang w:eastAsia="ru-RU"/>
        </w:rPr>
        <w:t>+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M</w:t>
      </w:r>
      <w:r>
        <w:rPr>
          <w:rFonts w:ascii="KaTeX_Main" w:hAnsi="KaTeX_Main" w:eastAsia="Times New Roman" w:cs="Segoe UI"/>
          <w:sz w:val="28"/>
          <w:lang w:eastAsia="ru-RU"/>
        </w:rPr>
        <w:t>log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K</w:t>
      </w:r>
      <w:r>
        <w:rPr>
          <w:rFonts w:ascii="KaTeX_Main" w:hAnsi="KaTeX_Main" w:eastAsia="Times New Roman" w:cs="Segoe UI"/>
          <w:sz w:val="28"/>
          <w:lang w:eastAsia="ru-RU"/>
        </w:rPr>
        <w:t>+log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δ</w:t>
      </w:r>
      <w:r>
        <w:rPr>
          <w:rFonts w:ascii="KaTeX_Main" w:hAnsi="KaTeX_Main" w:eastAsia="Times New Roman" w:cs="Segoe UI"/>
          <w:sz w:val="20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Size3" w:hAnsi="KaTeX_Size3" w:eastAsia="Times New Roman" w:cs="Segoe UI"/>
          <w:sz w:val="28"/>
          <w:lang w:eastAsia="ru-RU"/>
        </w:rPr>
        <w:t>)</w:t>
      </w:r>
      <w:r>
        <w:rPr>
          <w:rFonts w:ascii="KaTeX_Main" w:hAnsi="KaTeX_Main" w:eastAsia="Times New Roman" w:cs="Segoe UI"/>
          <w:sz w:val="28"/>
          <w:lang w:eastAsia="ru-RU"/>
        </w:rPr>
        <w:t>.</w:t>
      </w:r>
    </w:p>
    <w:p w14:paraId="426BD638">
      <w:pPr>
        <w:numPr>
          <w:ilvl w:val="0"/>
          <w:numId w:val="1"/>
        </w:numPr>
        <w:spacing w:after="100" w:afterAutospacing="1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b/>
          <w:bCs/>
          <w:sz w:val="23"/>
          <w:lang w:eastAsia="ru-RU"/>
        </w:rPr>
        <w:t>Вероятностная модель устойчивости PBFT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: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br w:type="textWrapping"/>
      </w:r>
      <w:r>
        <w:rPr>
          <w:rFonts w:ascii="Segoe UI" w:hAnsi="Segoe UI" w:eastAsia="Times New Roman" w:cs="Segoe UI"/>
          <w:sz w:val="23"/>
          <w:szCs w:val="23"/>
          <w:lang w:eastAsia="ru-RU"/>
        </w:rPr>
        <w:t>При </w:t>
      </w:r>
      <w:r>
        <w:rPr>
          <w:rFonts w:ascii="KaTeX_Main" w:hAnsi="KaTeX_Main" w:eastAsia="Times New Roman" w:cs="Segoe UI"/>
          <w:sz w:val="28"/>
          <w:lang w:eastAsia="ru-RU"/>
        </w:rPr>
        <w:t>N=21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N</w:t>
      </w:r>
      <w:r>
        <w:rPr>
          <w:rFonts w:ascii="KaTeX_Main" w:hAnsi="KaTeX_Main" w:eastAsia="Times New Roman" w:cs="Segoe UI"/>
          <w:sz w:val="28"/>
          <w:lang w:eastAsia="ru-RU"/>
        </w:rPr>
        <w:t>=21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 и </w:t>
      </w:r>
      <w:r>
        <w:rPr>
          <w:rFonts w:ascii="KaTeX_Main" w:hAnsi="KaTeX_Main" w:eastAsia="Times New Roman" w:cs="Segoe UI"/>
          <w:sz w:val="28"/>
          <w:lang w:eastAsia="ru-RU"/>
        </w:rPr>
        <w:t>p=0.01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p</w:t>
      </w:r>
      <w:r>
        <w:rPr>
          <w:rFonts w:ascii="KaTeX_Main" w:hAnsi="KaTeX_Main" w:eastAsia="Times New Roman" w:cs="Segoe UI"/>
          <w:sz w:val="28"/>
          <w:lang w:eastAsia="ru-RU"/>
        </w:rPr>
        <w:t>=0.01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: </w:t>
      </w:r>
      <w:r>
        <w:rPr>
          <w:rFonts w:ascii="KaTeX_Main" w:hAnsi="KaTeX_Main" w:eastAsia="Times New Roman" w:cs="Segoe UI"/>
          <w:sz w:val="28"/>
          <w:lang w:eastAsia="ru-RU"/>
        </w:rPr>
        <w:t>Pатаки≈3.2×10−10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P</w:t>
      </w:r>
      <w:r>
        <w:rPr>
          <w:rFonts w:ascii="KaTeX_Main" w:hAnsi="KaTeX_Main" w:eastAsia="Times New Roman" w:cs="Segoe UI"/>
          <w:sz w:val="20"/>
          <w:lang w:eastAsia="ru-RU"/>
        </w:rPr>
        <w:t>атаки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28"/>
          <w:lang w:eastAsia="ru-RU"/>
        </w:rPr>
        <w:t>≈3.2×10</w:t>
      </w:r>
      <w:r>
        <w:rPr>
          <w:rFonts w:ascii="KaTeX_Main" w:hAnsi="KaTeX_Main" w:eastAsia="Times New Roman" w:cs="Segoe UI"/>
          <w:sz w:val="20"/>
          <w:lang w:eastAsia="ru-RU"/>
        </w:rPr>
        <w:t>−10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.</w:t>
      </w:r>
    </w:p>
    <w:p w14:paraId="0697F8A3">
      <w:pPr>
        <w:numPr>
          <w:ilvl w:val="0"/>
          <w:numId w:val="1"/>
        </w:numPr>
        <w:spacing w:after="100" w:afterAutospacing="1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b/>
          <w:bCs/>
          <w:sz w:val="23"/>
          <w:lang w:eastAsia="ru-RU"/>
        </w:rPr>
        <w:t>Критерии связности графа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: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br w:type="textWrapping"/>
      </w:r>
      <w:r>
        <w:rPr>
          <w:rFonts w:ascii="Segoe UI" w:hAnsi="Segoe UI" w:eastAsia="Times New Roman" w:cs="Segoe UI"/>
          <w:sz w:val="23"/>
          <w:szCs w:val="23"/>
          <w:lang w:eastAsia="ru-RU"/>
        </w:rPr>
        <w:t>Граф </w:t>
      </w:r>
      <w:r>
        <w:rPr>
          <w:rFonts w:ascii="KaTeX_Main" w:hAnsi="KaTeX_Main" w:eastAsia="Times New Roman" w:cs="Segoe UI"/>
          <w:sz w:val="28"/>
          <w:lang w:eastAsia="ru-RU"/>
        </w:rPr>
        <w:t>G=(P′</w:t>
      </w:r>
      <w:r>
        <w:rPr>
          <w:rFonts w:ascii="Cambria Math" w:hAnsi="Cambria Math" w:eastAsia="Times New Roman" w:cs="Cambria Math"/>
          <w:sz w:val="28"/>
          <w:lang w:eastAsia="ru-RU"/>
        </w:rPr>
        <w:t>∪</w:t>
      </w:r>
      <w:r>
        <w:rPr>
          <w:rFonts w:ascii="Times New Roman" w:hAnsi="Times New Roman" w:eastAsia="Times New Roman" w:cs="Times New Roman"/>
          <w:sz w:val="28"/>
          <w:lang w:eastAsia="ru-RU"/>
        </w:rPr>
        <w:t>T′,E)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G</w:t>
      </w:r>
      <w:r>
        <w:rPr>
          <w:rFonts w:ascii="KaTeX_Main" w:hAnsi="KaTeX_Main" w:eastAsia="Times New Roman" w:cs="Segoe UI"/>
          <w:sz w:val="28"/>
          <w:lang w:eastAsia="ru-RU"/>
        </w:rPr>
        <w:t>=(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P</w:t>
      </w:r>
      <w:r>
        <w:rPr>
          <w:rFonts w:ascii="KaTeX_Main" w:hAnsi="KaTeX_Main" w:eastAsia="Times New Roman" w:cs="Segoe UI"/>
          <w:sz w:val="20"/>
          <w:lang w:eastAsia="ru-RU"/>
        </w:rPr>
        <w:t>′</w:t>
      </w:r>
      <w:r>
        <w:rPr>
          <w:rFonts w:ascii="Cambria Math" w:hAnsi="Cambria Math" w:eastAsia="Times New Roman" w:cs="Cambria Math"/>
          <w:sz w:val="28"/>
          <w:lang w:eastAsia="ru-RU"/>
        </w:rPr>
        <w:t>∪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T</w:t>
      </w:r>
      <w:r>
        <w:rPr>
          <w:rFonts w:ascii="KaTeX_Main" w:hAnsi="KaTeX_Main" w:eastAsia="Times New Roman" w:cs="Segoe UI"/>
          <w:sz w:val="20"/>
          <w:lang w:eastAsia="ru-RU"/>
        </w:rPr>
        <w:t>′</w:t>
      </w:r>
      <w:r>
        <w:rPr>
          <w:rFonts w:ascii="KaTeX_Main" w:hAnsi="KaTeX_Main" w:eastAsia="Times New Roman" w:cs="Segoe UI"/>
          <w:sz w:val="28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E</w:t>
      </w:r>
      <w:r>
        <w:rPr>
          <w:rFonts w:ascii="KaTeX_Main" w:hAnsi="KaTeX_Main" w:eastAsia="Times New Roman" w:cs="Segoe UI"/>
          <w:sz w:val="28"/>
          <w:lang w:eastAsia="ru-RU"/>
        </w:rPr>
        <w:t>)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 связен </w:t>
      </w:r>
      <w:r>
        <w:rPr>
          <w:rFonts w:ascii="KaTeX_Main" w:hAnsi="KaTeX_Main" w:eastAsia="Times New Roman" w:cs="Segoe UI"/>
          <w:sz w:val="28"/>
          <w:lang w:eastAsia="ru-RU"/>
        </w:rPr>
        <w:t>  </w:t>
      </w:r>
      <w:r>
        <w:rPr>
          <w:rFonts w:ascii="Cambria Math" w:hAnsi="Cambria Math" w:eastAsia="Times New Roman" w:cs="Cambria Math"/>
          <w:sz w:val="28"/>
          <w:lang w:eastAsia="ru-RU"/>
        </w:rPr>
        <w:t>⟺</w:t>
      </w:r>
      <w:r>
        <w:rPr>
          <w:rFonts w:ascii="Times New Roman" w:hAnsi="Times New Roman" w:eastAsia="Times New Roman" w:cs="Times New Roman"/>
          <w:sz w:val="28"/>
          <w:lang w:eastAsia="ru-RU"/>
        </w:rPr>
        <w:t>  </w:t>
      </w:r>
      <w:r>
        <w:rPr>
          <w:rFonts w:ascii="Cambria Math" w:hAnsi="Cambria Math" w:eastAsia="Times New Roman" w:cs="Cambria Math"/>
          <w:sz w:val="28"/>
          <w:lang w:eastAsia="ru-RU"/>
        </w:rPr>
        <w:t>∀</w:t>
      </w:r>
      <w:r>
        <w:rPr>
          <w:rFonts w:ascii="Times New Roman" w:hAnsi="Times New Roman" w:eastAsia="Times New Roman" w:cs="Times New Roman"/>
          <w:sz w:val="28"/>
          <w:lang w:eastAsia="ru-RU"/>
        </w:rPr>
        <w:t>Rk</w:t>
      </w:r>
      <w:r>
        <w:rPr>
          <w:rFonts w:ascii="Cambria Math" w:hAnsi="Cambria Math" w:eastAsia="Times New Roman" w:cs="Cambria Math"/>
          <w:sz w:val="28"/>
          <w:lang w:eastAsia="ru-RU"/>
        </w:rPr>
        <w:t>∈</w:t>
      </w:r>
      <w:r>
        <w:rPr>
          <w:rFonts w:ascii="Times New Roman" w:hAnsi="Times New Roman" w:eastAsia="Times New Roman" w:cs="Times New Roman"/>
          <w:sz w:val="28"/>
          <w:lang w:eastAsia="ru-RU"/>
        </w:rPr>
        <w:t>R,</w:t>
      </w:r>
      <w:r>
        <w:rPr>
          <w:rFonts w:ascii="Cambria Math" w:hAnsi="Cambria Math" w:eastAsia="Times New Roman" w:cs="Cambria Math"/>
          <w:sz w:val="28"/>
          <w:lang w:eastAsia="ru-RU"/>
        </w:rPr>
        <w:t>∃⟺∀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R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k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28"/>
          <w:lang w:eastAsia="ru-RU"/>
        </w:rPr>
        <w:t>∈</w:t>
      </w:r>
      <w:r>
        <w:rPr>
          <w:rFonts w:ascii="KaTeX_Caligraphic" w:hAnsi="KaTeX_Caligraphic" w:eastAsia="Times New Roman" w:cs="Segoe UI"/>
          <w:sz w:val="28"/>
          <w:lang w:eastAsia="ru-RU"/>
        </w:rPr>
        <w:t>R</w:t>
      </w:r>
      <w:r>
        <w:rPr>
          <w:rFonts w:ascii="KaTeX_Main" w:hAnsi="KaTeX_Main" w:eastAsia="Times New Roman" w:cs="Segoe UI"/>
          <w:sz w:val="28"/>
          <w:lang w:eastAsia="ru-RU"/>
        </w:rPr>
        <w:t>,</w:t>
      </w:r>
      <w:r>
        <w:rPr>
          <w:rFonts w:ascii="Cambria Math" w:hAnsi="Cambria Math" w:eastAsia="Times New Roman" w:cs="Cambria Math"/>
          <w:sz w:val="28"/>
          <w:lang w:eastAsia="ru-RU"/>
        </w:rPr>
        <w:t>∃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 путь из </w:t>
      </w:r>
      <w:r>
        <w:rPr>
          <w:rFonts w:ascii="KaTeX_Main" w:hAnsi="KaTeX_Main" w:eastAsia="Times New Roman" w:cs="Segoe UI"/>
          <w:sz w:val="28"/>
          <w:lang w:eastAsia="ru-RU"/>
        </w:rPr>
        <w:t>P′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P</w:t>
      </w:r>
      <w:r>
        <w:rPr>
          <w:rFonts w:ascii="KaTeX_Main" w:hAnsi="KaTeX_Main" w:eastAsia="Times New Roman" w:cs="Segoe UI"/>
          <w:sz w:val="20"/>
          <w:lang w:eastAsia="ru-RU"/>
        </w:rPr>
        <w:t>′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 в </w:t>
      </w:r>
      <w:r>
        <w:rPr>
          <w:rFonts w:ascii="KaTeX_Main" w:hAnsi="KaTeX_Main" w:eastAsia="Times New Roman" w:cs="Segoe UI"/>
          <w:sz w:val="28"/>
          <w:lang w:eastAsia="ru-RU"/>
        </w:rPr>
        <w:t>T′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T</w:t>
      </w:r>
      <w:r>
        <w:rPr>
          <w:rFonts w:ascii="KaTeX_Main" w:hAnsi="KaTeX_Main" w:eastAsia="Times New Roman" w:cs="Segoe UI"/>
          <w:sz w:val="20"/>
          <w:lang w:eastAsia="ru-RU"/>
        </w:rPr>
        <w:t>′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.</w:t>
      </w:r>
    </w:p>
    <w:p w14:paraId="40510344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Практическая реализация</w:t>
      </w:r>
    </w:p>
    <w:p w14:paraId="2C80FC90">
      <w:pPr>
        <w:numPr>
          <w:ilvl w:val="0"/>
          <w:numId w:val="2"/>
        </w:numPr>
        <w:spacing w:after="67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b/>
          <w:bCs/>
          <w:sz w:val="23"/>
          <w:lang w:eastAsia="ru-RU"/>
        </w:rPr>
        <w:t>Программный комплекс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:</w:t>
      </w:r>
    </w:p>
    <w:p w14:paraId="4CF0EC15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sz w:val="23"/>
          <w:szCs w:val="23"/>
          <w:lang w:eastAsia="ru-RU"/>
        </w:rPr>
        <w:t>Блокчейн-платформа на Hyperledger Fabric с PBFT.</w:t>
      </w:r>
    </w:p>
    <w:p w14:paraId="3C01556F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sz w:val="23"/>
          <w:szCs w:val="23"/>
          <w:lang w:eastAsia="ru-RU"/>
        </w:rPr>
        <w:t>Система предиктивного обслуживания: ансамбли LSTM (</w:t>
      </w:r>
      <w:r>
        <w:rPr>
          <w:rFonts w:ascii="KaTeX_Main" w:hAnsi="KaTeX_Main" w:eastAsia="Times New Roman" w:cs="Segoe UI"/>
          <w:sz w:val="28"/>
          <w:lang w:eastAsia="ru-RU"/>
        </w:rPr>
        <w:t>F1=0.96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F</w:t>
      </w:r>
      <w:r>
        <w:rPr>
          <w:rFonts w:ascii="KaTeX_Main" w:hAnsi="KaTeX_Main" w:eastAsia="Times New Roman" w:cs="Segoe UI"/>
          <w:sz w:val="20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28"/>
          <w:lang w:eastAsia="ru-RU"/>
        </w:rPr>
        <w:t>=0.96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).</w:t>
      </w:r>
    </w:p>
    <w:p w14:paraId="5CFDC3CD">
      <w:pPr>
        <w:numPr>
          <w:ilvl w:val="0"/>
          <w:numId w:val="2"/>
        </w:numPr>
        <w:spacing w:after="67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b/>
          <w:bCs/>
          <w:sz w:val="23"/>
          <w:lang w:eastAsia="ru-RU"/>
        </w:rPr>
        <w:t>Экономический эффект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:</w:t>
      </w:r>
    </w:p>
    <w:p w14:paraId="3A62661B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sz w:val="23"/>
          <w:szCs w:val="23"/>
          <w:lang w:eastAsia="ru-RU"/>
        </w:rPr>
        <w:t>Снижение затрат на логистику: </w:t>
      </w:r>
      <w:r>
        <w:rPr>
          <w:rFonts w:ascii="Segoe UI" w:hAnsi="Segoe UI" w:eastAsia="Times New Roman" w:cs="Segoe UI"/>
          <w:b/>
          <w:bCs/>
          <w:sz w:val="23"/>
          <w:lang w:eastAsia="ru-RU"/>
        </w:rPr>
        <w:t>28–32%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 (экономия </w:t>
      </w:r>
      <w:r>
        <w:rPr>
          <w:rFonts w:ascii="KaTeX_Main" w:hAnsi="KaTeX_Main" w:eastAsia="Times New Roman" w:cs="Segoe UI"/>
          <w:sz w:val="28"/>
          <w:lang w:eastAsia="ru-RU"/>
        </w:rPr>
        <w:t>4.5×1094.5×10</w:t>
      </w:r>
      <w:r>
        <w:rPr>
          <w:rFonts w:ascii="KaTeX_Main" w:hAnsi="KaTeX_Main" w:eastAsia="Times New Roman" w:cs="Segoe UI"/>
          <w:sz w:val="20"/>
          <w:lang w:eastAsia="ru-RU"/>
        </w:rPr>
        <w:t>9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 руб./год).</w:t>
      </w:r>
    </w:p>
    <w:p w14:paraId="08969A2C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sz w:val="23"/>
          <w:szCs w:val="23"/>
          <w:lang w:eastAsia="ru-RU"/>
        </w:rPr>
        <w:t>Срок окупаемости: </w:t>
      </w:r>
      <w:r>
        <w:rPr>
          <w:rFonts w:ascii="Segoe UI" w:hAnsi="Segoe UI" w:eastAsia="Times New Roman" w:cs="Segoe UI"/>
          <w:b/>
          <w:bCs/>
          <w:sz w:val="23"/>
          <w:lang w:eastAsia="ru-RU"/>
        </w:rPr>
        <w:t>3.3 года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 (</w:t>
      </w:r>
      <w:r>
        <w:rPr>
          <w:rFonts w:ascii="KaTeX_Main" w:hAnsi="KaTeX_Main" w:eastAsia="Times New Roman" w:cs="Segoe UI"/>
          <w:sz w:val="28"/>
          <w:lang w:eastAsia="ru-RU"/>
        </w:rPr>
        <w:t>ROI=135%ROI=135%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).</w:t>
      </w:r>
    </w:p>
    <w:p w14:paraId="78C9F8DB">
      <w:pPr>
        <w:numPr>
          <w:ilvl w:val="0"/>
          <w:numId w:val="2"/>
        </w:numPr>
        <w:spacing w:after="67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b/>
          <w:bCs/>
          <w:sz w:val="23"/>
          <w:lang w:eastAsia="ru-RU"/>
        </w:rPr>
        <w:t>Правовое обеспечение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:</w:t>
      </w:r>
    </w:p>
    <w:p w14:paraId="0775142F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sz w:val="23"/>
          <w:szCs w:val="23"/>
          <w:lang w:eastAsia="ru-RU"/>
        </w:rPr>
        <w:t>Сертификация по ГОСТ Р 57580.1-2017, 152-ФЗ.</w:t>
      </w:r>
    </w:p>
    <w:p w14:paraId="1B086F9B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sz w:val="23"/>
          <w:szCs w:val="23"/>
          <w:lang w:eastAsia="ru-RU"/>
        </w:rPr>
        <w:t>Патенты: №2023123456 (IoT), №2023123457 (гибридный алгоритм).</w:t>
      </w:r>
    </w:p>
    <w:p w14:paraId="12E621B7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Перспективные направления</w:t>
      </w:r>
    </w:p>
    <w:p w14:paraId="4151263E">
      <w:pPr>
        <w:numPr>
          <w:ilvl w:val="0"/>
          <w:numId w:val="3"/>
        </w:numPr>
        <w:spacing w:after="67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b/>
          <w:bCs/>
          <w:sz w:val="23"/>
          <w:lang w:eastAsia="ru-RU"/>
        </w:rPr>
        <w:t>Квантовое шифрование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: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br w:type="textWrapping"/>
      </w:r>
      <w:r>
        <w:rPr>
          <w:rFonts w:ascii="Segoe UI" w:hAnsi="Segoe UI" w:eastAsia="Times New Roman" w:cs="Segoe UI"/>
          <w:sz w:val="23"/>
          <w:szCs w:val="23"/>
          <w:lang w:eastAsia="ru-RU"/>
        </w:rPr>
        <w:t>Интеграция протокола BB84 с ключевым распределением:</w:t>
      </w:r>
    </w:p>
    <w:p w14:paraId="307C517F">
      <w:pPr>
        <w:spacing w:beforeAutospacing="1" w:after="0" w:afterAutospacing="1" w:line="240" w:lineRule="auto"/>
        <w:ind w:left="720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Cambria Math" w:hAnsi="Cambria Math" w:eastAsia="Times New Roman" w:cs="Cambria Math"/>
          <w:sz w:val="28"/>
          <w:lang w:eastAsia="ru-RU"/>
        </w:rPr>
        <w:t>∣</w:t>
      </w:r>
      <w:r>
        <w:rPr>
          <w:rFonts w:ascii="Times New Roman" w:hAnsi="Times New Roman" w:eastAsia="Times New Roman" w:cs="Times New Roman"/>
          <w:sz w:val="28"/>
          <w:lang w:eastAsia="ru-RU"/>
        </w:rPr>
        <w:t>ψ</w:t>
      </w:r>
      <w:r>
        <w:rPr>
          <w:rFonts w:ascii="Cambria Math" w:hAnsi="Cambria Math" w:eastAsia="Times New Roman" w:cs="Cambria Math"/>
          <w:sz w:val="28"/>
          <w:lang w:eastAsia="ru-RU"/>
        </w:rPr>
        <w:t>⟩</w:t>
      </w:r>
      <w:r>
        <w:rPr>
          <w:rFonts w:ascii="Times New Roman" w:hAnsi="Times New Roman" w:eastAsia="Times New Roman" w:cs="Times New Roman"/>
          <w:sz w:val="28"/>
          <w:lang w:eastAsia="ru-RU"/>
        </w:rPr>
        <w:t>=12(</w:t>
      </w:r>
      <w:r>
        <w:rPr>
          <w:rFonts w:ascii="Cambria Math" w:hAnsi="Cambria Math" w:eastAsia="Times New Roman" w:cs="Cambria Math"/>
          <w:sz w:val="28"/>
          <w:lang w:eastAsia="ru-RU"/>
        </w:rPr>
        <w:t>∣</w:t>
      </w:r>
      <w:r>
        <w:rPr>
          <w:rFonts w:ascii="Times New Roman" w:hAnsi="Times New Roman" w:eastAsia="Times New Roman" w:cs="Times New Roman"/>
          <w:sz w:val="28"/>
          <w:lang w:eastAsia="ru-RU"/>
        </w:rPr>
        <w:t>0</w:t>
      </w:r>
      <w:r>
        <w:rPr>
          <w:rFonts w:ascii="Cambria Math" w:hAnsi="Cambria Math" w:eastAsia="Times New Roman" w:cs="Cambria Math"/>
          <w:sz w:val="28"/>
          <w:lang w:eastAsia="ru-RU"/>
        </w:rPr>
        <w:t>⟩</w:t>
      </w:r>
      <w:r>
        <w:rPr>
          <w:rFonts w:ascii="Times New Roman" w:hAnsi="Times New Roman" w:eastAsia="Times New Roman" w:cs="Times New Roman"/>
          <w:sz w:val="28"/>
          <w:lang w:eastAsia="ru-RU"/>
        </w:rPr>
        <w:t>+eiθ</w:t>
      </w:r>
      <w:r>
        <w:rPr>
          <w:rFonts w:ascii="Cambria Math" w:hAnsi="Cambria Math" w:eastAsia="Times New Roman" w:cs="Cambria Math"/>
          <w:sz w:val="28"/>
          <w:lang w:eastAsia="ru-RU"/>
        </w:rPr>
        <w:t>∣</w:t>
      </w:r>
      <w:r>
        <w:rPr>
          <w:rFonts w:ascii="Times New Roman" w:hAnsi="Times New Roman" w:eastAsia="Times New Roman" w:cs="Times New Roman"/>
          <w:sz w:val="28"/>
          <w:lang w:eastAsia="ru-RU"/>
        </w:rPr>
        <w:t>1</w:t>
      </w:r>
      <w:r>
        <w:rPr>
          <w:rFonts w:ascii="Cambria Math" w:hAnsi="Cambria Math" w:eastAsia="Times New Roman" w:cs="Cambria Math"/>
          <w:sz w:val="28"/>
          <w:lang w:eastAsia="ru-RU"/>
        </w:rPr>
        <w:t>⟩</w:t>
      </w:r>
      <w:r>
        <w:rPr>
          <w:rFonts w:ascii="Times New Roman" w:hAnsi="Times New Roman" w:eastAsia="Times New Roman" w:cs="Times New Roman"/>
          <w:sz w:val="28"/>
          <w:lang w:eastAsia="ru-RU"/>
        </w:rPr>
        <w:t>).</w:t>
      </w:r>
      <w:r>
        <w:rPr>
          <w:rFonts w:ascii="Cambria Math" w:hAnsi="Cambria Math" w:eastAsia="Times New Roman" w:cs="Cambria Math"/>
          <w:sz w:val="28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ψ</w:t>
      </w:r>
      <w:r>
        <w:rPr>
          <w:rFonts w:ascii="Cambria Math" w:hAnsi="Cambria Math" w:eastAsia="Times New Roman" w:cs="Cambria Math"/>
          <w:sz w:val="28"/>
          <w:lang w:eastAsia="ru-RU"/>
        </w:rPr>
        <w:t>⟩</w:t>
      </w:r>
      <w:r>
        <w:rPr>
          <w:rFonts w:ascii="KaTeX_Main" w:hAnsi="KaTeX_Main" w:eastAsia="Times New Roman" w:cs="Segoe UI"/>
          <w:sz w:val="28"/>
          <w:lang w:eastAsia="ru-RU"/>
        </w:rPr>
        <w:t>=2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28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Size1" w:hAnsi="KaTeX_Size1" w:eastAsia="Times New Roman" w:cs="Segoe UI"/>
          <w:sz w:val="28"/>
          <w:lang w:eastAsia="ru-RU"/>
        </w:rPr>
        <w:t>(</w:t>
      </w:r>
      <w:r>
        <w:rPr>
          <w:rFonts w:ascii="Cambria Math" w:hAnsi="Cambria Math" w:eastAsia="Times New Roman" w:cs="Cambria Math"/>
          <w:sz w:val="28"/>
          <w:lang w:eastAsia="ru-RU"/>
        </w:rPr>
        <w:t>∣</w:t>
      </w:r>
      <w:r>
        <w:rPr>
          <w:rFonts w:ascii="Times New Roman" w:hAnsi="Times New Roman" w:eastAsia="Times New Roman" w:cs="Times New Roman"/>
          <w:sz w:val="28"/>
          <w:lang w:eastAsia="ru-RU"/>
        </w:rPr>
        <w:t>0</w:t>
      </w:r>
      <w:r>
        <w:rPr>
          <w:rFonts w:ascii="Cambria Math" w:hAnsi="Cambria Math" w:eastAsia="Times New Roman" w:cs="Cambria Math"/>
          <w:sz w:val="28"/>
          <w:lang w:eastAsia="ru-RU"/>
        </w:rPr>
        <w:t>⟩</w:t>
      </w:r>
      <w:r>
        <w:rPr>
          <w:rFonts w:ascii="KaTeX_Main" w:hAnsi="KaTeX_Main" w:eastAsia="Times New Roman" w:cs="Segoe UI"/>
          <w:sz w:val="28"/>
          <w:lang w:eastAsia="ru-RU"/>
        </w:rPr>
        <w:t>+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e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iθ</w:t>
      </w:r>
      <w:r>
        <w:rPr>
          <w:rFonts w:ascii="Cambria Math" w:hAnsi="Cambria Math" w:eastAsia="Times New Roman" w:cs="Cambria Math"/>
          <w:sz w:val="28"/>
          <w:lang w:eastAsia="ru-RU"/>
        </w:rPr>
        <w:t>∣</w:t>
      </w:r>
      <w:r>
        <w:rPr>
          <w:rFonts w:ascii="Times New Roman" w:hAnsi="Times New Roman" w:eastAsia="Times New Roman" w:cs="Times New Roman"/>
          <w:sz w:val="28"/>
          <w:lang w:eastAsia="ru-RU"/>
        </w:rPr>
        <w:t>1</w:t>
      </w:r>
      <w:r>
        <w:rPr>
          <w:rFonts w:ascii="Cambria Math" w:hAnsi="Cambria Math" w:eastAsia="Times New Roman" w:cs="Cambria Math"/>
          <w:sz w:val="28"/>
          <w:lang w:eastAsia="ru-RU"/>
        </w:rPr>
        <w:t>⟩</w:t>
      </w:r>
      <w:r>
        <w:rPr>
          <w:rFonts w:ascii="KaTeX_Size1" w:hAnsi="KaTeX_Size1" w:eastAsia="Times New Roman" w:cs="Segoe UI"/>
          <w:sz w:val="28"/>
          <w:lang w:eastAsia="ru-RU"/>
        </w:rPr>
        <w:t>)</w:t>
      </w:r>
      <w:r>
        <w:rPr>
          <w:rFonts w:ascii="KaTeX_Main" w:hAnsi="KaTeX_Main" w:eastAsia="Times New Roman" w:cs="Segoe UI"/>
          <w:sz w:val="28"/>
          <w:lang w:eastAsia="ru-RU"/>
        </w:rPr>
        <w:t>.</w:t>
      </w:r>
    </w:p>
    <w:p w14:paraId="0F63D631">
      <w:pPr>
        <w:numPr>
          <w:ilvl w:val="0"/>
          <w:numId w:val="3"/>
        </w:numPr>
        <w:spacing w:after="67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b/>
          <w:bCs/>
          <w:sz w:val="23"/>
          <w:lang w:eastAsia="ru-RU"/>
        </w:rPr>
        <w:t>Федеративное обучение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: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br w:type="textWrapping"/>
      </w:r>
      <w:r>
        <w:rPr>
          <w:rFonts w:ascii="Segoe UI" w:hAnsi="Segoe UI" w:eastAsia="Times New Roman" w:cs="Segoe UI"/>
          <w:sz w:val="23"/>
          <w:szCs w:val="23"/>
          <w:lang w:eastAsia="ru-RU"/>
        </w:rPr>
        <w:t>Оптимизация модели без централизации данных:</w:t>
      </w:r>
    </w:p>
    <w:p w14:paraId="6EC47D94">
      <w:pPr>
        <w:spacing w:after="0" w:afterAutospacing="1" w:line="240" w:lineRule="auto"/>
        <w:ind w:left="720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KaTeX_Main" w:hAnsi="KaTeX_Main" w:eastAsia="Times New Roman" w:cs="Segoe UI"/>
          <w:sz w:val="28"/>
          <w:lang w:eastAsia="ru-RU"/>
        </w:rPr>
        <w:t>min⁡w∑i=1mninFi(w),Fi(w)=1ni∑j=1nif(w,xji).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w</w:t>
      </w:r>
      <w:r>
        <w:rPr>
          <w:rFonts w:ascii="KaTeX_Main" w:hAnsi="KaTeX_Main" w:eastAsia="Times New Roman" w:cs="Segoe UI"/>
          <w:sz w:val="28"/>
          <w:lang w:eastAsia="ru-RU"/>
        </w:rPr>
        <w:t>min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i</w:t>
      </w:r>
      <w:r>
        <w:rPr>
          <w:rFonts w:ascii="KaTeX_Main" w:hAnsi="KaTeX_Main" w:eastAsia="Times New Roman" w:cs="Segoe UI"/>
          <w:sz w:val="20"/>
          <w:lang w:eastAsia="ru-RU"/>
        </w:rPr>
        <w:t>=1</w:t>
      </w:r>
      <w:r>
        <w:rPr>
          <w:rFonts w:ascii="KaTeX_Size2" w:hAnsi="KaTeX_Size2" w:eastAsia="Times New Roman" w:cs="Segoe UI"/>
          <w:sz w:val="28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m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nn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​​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F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28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w</w:t>
      </w:r>
      <w:r>
        <w:rPr>
          <w:rFonts w:ascii="KaTeX_Main" w:hAnsi="KaTeX_Main" w:eastAsia="Times New Roman" w:cs="Segoe UI"/>
          <w:sz w:val="28"/>
          <w:lang w:eastAsia="ru-RU"/>
        </w:rPr>
        <w:t>),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F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28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w</w:t>
      </w:r>
      <w:r>
        <w:rPr>
          <w:rFonts w:ascii="KaTeX_Main" w:hAnsi="KaTeX_Main" w:eastAsia="Times New Roman" w:cs="Segoe UI"/>
          <w:sz w:val="28"/>
          <w:lang w:eastAsia="ru-RU"/>
        </w:rPr>
        <w:t>)=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n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28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j</w:t>
      </w:r>
      <w:r>
        <w:rPr>
          <w:rFonts w:ascii="KaTeX_Main" w:hAnsi="KaTeX_Main" w:eastAsia="Times New Roman" w:cs="Segoe UI"/>
          <w:sz w:val="20"/>
          <w:lang w:eastAsia="ru-RU"/>
        </w:rPr>
        <w:t>=1</w:t>
      </w:r>
      <w:r>
        <w:rPr>
          <w:rFonts w:ascii="KaTeX_Size2" w:hAnsi="KaTeX_Size2" w:eastAsia="Times New Roman" w:cs="Segoe UI"/>
          <w:sz w:val="28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n</w:t>
      </w:r>
      <w:r>
        <w:rPr>
          <w:rFonts w:ascii="KaTeX_Math" w:hAnsi="KaTeX_Math" w:eastAsia="Times New Roman" w:cs="Segoe UI"/>
          <w:i/>
          <w:iCs/>
          <w:sz w:val="14"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​​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f</w:t>
      </w:r>
      <w:r>
        <w:rPr>
          <w:rFonts w:ascii="KaTeX_Main" w:hAnsi="KaTeX_Main" w:eastAsia="Times New Roman" w:cs="Segoe UI"/>
          <w:sz w:val="28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w</w:t>
      </w:r>
      <w:r>
        <w:rPr>
          <w:rFonts w:ascii="KaTeX_Main" w:hAnsi="KaTeX_Main" w:eastAsia="Times New Roman" w:cs="Segoe UI"/>
          <w:sz w:val="28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sz w:val="20"/>
          <w:lang w:eastAsia="ru-RU"/>
        </w:rPr>
        <w:t>ji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28"/>
          <w:lang w:eastAsia="ru-RU"/>
        </w:rPr>
        <w:t>).</w:t>
      </w:r>
    </w:p>
    <w:p w14:paraId="1E168338">
      <w:pPr>
        <w:numPr>
          <w:ilvl w:val="0"/>
          <w:numId w:val="3"/>
        </w:numPr>
        <w:spacing w:after="100" w:afterAutospacing="1" w:line="240" w:lineRule="auto"/>
        <w:rPr>
          <w:rFonts w:ascii="Segoe UI" w:hAnsi="Segoe UI" w:eastAsia="Times New Roman" w:cs="Segoe UI"/>
          <w:sz w:val="23"/>
          <w:szCs w:val="23"/>
          <w:lang w:eastAsia="ru-RU"/>
        </w:rPr>
      </w:pPr>
      <w:r>
        <w:rPr>
          <w:rFonts w:ascii="Segoe UI" w:hAnsi="Segoe UI" w:eastAsia="Times New Roman" w:cs="Segoe UI"/>
          <w:b/>
          <w:bCs/>
          <w:sz w:val="23"/>
          <w:lang w:eastAsia="ru-RU"/>
        </w:rPr>
        <w:t>Масштабирование алгоритмов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: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br w:type="textWrapping"/>
      </w:r>
      <w:r>
        <w:rPr>
          <w:rFonts w:ascii="Segoe UI" w:hAnsi="Segoe UI" w:eastAsia="Times New Roman" w:cs="Segoe UI"/>
          <w:sz w:val="23"/>
          <w:szCs w:val="23"/>
          <w:lang w:eastAsia="ru-RU"/>
        </w:rPr>
        <w:t>Решение задач с </w:t>
      </w:r>
      <w:r>
        <w:rPr>
          <w:rFonts w:ascii="KaTeX_Main" w:hAnsi="KaTeX_Main" w:eastAsia="Times New Roman" w:cs="Segoe UI"/>
          <w:sz w:val="28"/>
          <w:lang w:eastAsia="ru-RU"/>
        </w:rPr>
        <w:t>N+M≥105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N</w:t>
      </w:r>
      <w:r>
        <w:rPr>
          <w:rFonts w:ascii="KaTeX_Main" w:hAnsi="KaTeX_Main" w:eastAsia="Times New Roman" w:cs="Segoe UI"/>
          <w:sz w:val="28"/>
          <w:lang w:eastAsia="ru-RU"/>
        </w:rPr>
        <w:t>+</w:t>
      </w:r>
      <w:r>
        <w:rPr>
          <w:rFonts w:ascii="KaTeX_Math" w:hAnsi="KaTeX_Math" w:eastAsia="Times New Roman" w:cs="Segoe UI"/>
          <w:i/>
          <w:iCs/>
          <w:sz w:val="28"/>
          <w:lang w:eastAsia="ru-RU"/>
        </w:rPr>
        <w:t>M</w:t>
      </w:r>
      <w:r>
        <w:rPr>
          <w:rFonts w:ascii="KaTeX_Main" w:hAnsi="KaTeX_Main" w:eastAsia="Times New Roman" w:cs="Segoe UI"/>
          <w:sz w:val="28"/>
          <w:lang w:eastAsia="ru-RU"/>
        </w:rPr>
        <w:t>≥10</w:t>
      </w:r>
      <w:r>
        <w:rPr>
          <w:rFonts w:ascii="KaTeX_Main" w:hAnsi="KaTeX_Main" w:eastAsia="Times New Roman" w:cs="Segoe UI"/>
          <w:sz w:val="20"/>
          <w:lang w:eastAsia="ru-RU"/>
        </w:rPr>
        <w:t>5</w:t>
      </w:r>
      <w:r>
        <w:rPr>
          <w:rFonts w:ascii="Segoe UI" w:hAnsi="Segoe UI" w:eastAsia="Times New Roman" w:cs="Segoe UI"/>
          <w:sz w:val="23"/>
          <w:szCs w:val="23"/>
          <w:lang w:eastAsia="ru-RU"/>
        </w:rPr>
        <w:t> на распределенных кластерах.</w:t>
      </w:r>
    </w:p>
    <w:p w14:paraId="46A2D4A2"/>
    <w:p w14:paraId="50F7AA67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KaTeX_Size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Math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KaTeX_Mai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Caligraphic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7243A"/>
    <w:multiLevelType w:val="multilevel"/>
    <w:tmpl w:val="175724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7E10B3B"/>
    <w:multiLevelType w:val="multilevel"/>
    <w:tmpl w:val="27E10B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C5930C2"/>
    <w:multiLevelType w:val="multilevel"/>
    <w:tmpl w:val="7C5930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167"/>
    <w:rsid w:val="002764A2"/>
    <w:rsid w:val="006C7167"/>
    <w:rsid w:val="00D851AF"/>
    <w:rsid w:val="2910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565</Words>
  <Characters>5576</Characters>
  <Lines>43</Lines>
  <Paragraphs>12</Paragraphs>
  <TotalTime>3</TotalTime>
  <ScaleCrop>false</ScaleCrop>
  <LinksUpToDate>false</LinksUpToDate>
  <CharactersWithSpaces>6000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2025-04-01T14:09:00Z</dcterms:created>
  <dc:creator>Admin</dc:creator>
  <cp:lastModifiedBy>Сергей Овчинников</cp:lastModifiedBy>
  <dcterms:modified xsi:type="dcterms:W3CDTF">2026-08-05T07:30:22Z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eyJoZGlkIjoiYTdmNGYxMThkNmY2YmQ1MDBiYWMzMmVlMGU4OGU4ZjYiLCJ1c2VySWQiOiI4NDIyNzkyODcyODgifQ==</vt:lpwstr>
  </property>
  <property fmtid="{D5CDD505-2E9C-101B-9397-08002B2CF9AE}" pid="3" name="KSOProductBuildVer">
    <vt:lpwstr>1049-12.1.0.28032</vt:lpwstr>
  </property>
  <property fmtid="{D5CDD505-2E9C-101B-9397-08002B2CF9AE}" pid="4" name="ICV">
    <vt:lpwstr>BD4AA9DC43714FF8AB76995B62C3F9D4_13</vt:lpwstr>
  </property>
</Properties>
</file>