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43B9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Единый математический аппарат цифровой экосистемы МТО ВНГ РФ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на основе взвешенного мультимодального ориентированного графа</w:t>
      </w:r>
    </w:p>
    <w:p w14:paraId="5855D9CB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1. Формализация графа</w:t>
      </w:r>
    </w:p>
    <w:p w14:paraId="3BCAA7F1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Цифровая экосистема моделируется как ориентированный граф:</w:t>
      </w:r>
    </w:p>
    <w:p w14:paraId="794E11B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G=(V,E,W),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G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=(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,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E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,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W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),</w:t>
      </w:r>
    </w:p>
    <w:p w14:paraId="6EC62AAA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где:</w:t>
      </w:r>
    </w:p>
    <w:p w14:paraId="40FF9E9B">
      <w:pPr>
        <w:numPr>
          <w:ilvl w:val="0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V={v1,v2,…,vn}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={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1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,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2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,…,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n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}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 — множество вершин, соответствующих элементам системы (технологии, инфраструктура, кадры, нормативно-правовая база).</w:t>
      </w:r>
    </w:p>
    <w:p w14:paraId="611780D1">
      <w:pPr>
        <w:numPr>
          <w:ilvl w:val="0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E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⊆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V×V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E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⊆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×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 — множество рёбер, отражающих взаимодействия между элементами.</w:t>
      </w:r>
    </w:p>
    <w:p w14:paraId="7601CE00">
      <w:pPr>
        <w:numPr>
          <w:ilvl w:val="0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W:E→[0,1]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W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: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E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→[0,1]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 — функция весов рёбер.</w:t>
      </w:r>
    </w:p>
    <w:p w14:paraId="64BD900F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2. Параметры вершин</w:t>
      </w:r>
    </w:p>
    <w:p w14:paraId="685C639B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Каждая вершина 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vi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V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∈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 характеризуется:</w:t>
      </w:r>
    </w:p>
    <w:p w14:paraId="7930386C">
      <w:pPr>
        <w:numPr>
          <w:ilvl w:val="0"/>
          <w:numId w:val="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Категорией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 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Ci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{Технологии,Инфраструктура,Кадры,…}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{Технологии,Инфраструктура,Кадры,…}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.</w:t>
      </w:r>
    </w:p>
    <w:p w14:paraId="3246F294">
      <w:pPr>
        <w:numPr>
          <w:ilvl w:val="0"/>
          <w:numId w:val="2"/>
        </w:numPr>
        <w:spacing w:after="75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Динамическими параметрами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:</w:t>
      </w:r>
    </w:p>
    <w:p w14:paraId="61E15520">
      <w:pPr>
        <w:spacing w:after="0" w:afterAutospacing="1" w:line="240" w:lineRule="auto"/>
        <w:ind w:left="720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{fi(частота взаимодействий),di(объём данных),ci(критичность),Gi(геополитический индекс),Ki(климатический коэффициент),Qi(энтропия неопределённости).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⎩⎨⎧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f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d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G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K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Q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(частота взаимодействий),(объём данных),(критичность),(геополитический индекс),(климатический коэффициент),(энтропия неопределённости).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</w:p>
    <w:p w14:paraId="6288EE82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3. Расчёт весов рёбер</w:t>
      </w:r>
    </w:p>
    <w:p w14:paraId="78DBE56B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Для ребра 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eij=(vi,vj)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e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=(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,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)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:</w:t>
      </w:r>
    </w:p>
    <w:p w14:paraId="7E59441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wij=σ(αf~i+βd~i+γci+δGi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⋅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Ki1+Qi),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w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=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σ</w:t>
      </w:r>
      <w:r>
        <w:rPr>
          <w:rFonts w:ascii="KaTeX_Size3" w:hAnsi="KaTeX_Size3" w:eastAsia="Times New Roman" w:cs="Times New Roman"/>
          <w:color w:val="404040"/>
          <w:sz w:val="36"/>
          <w:lang w:eastAsia="ru-RU"/>
        </w:rPr>
        <w:t>(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αf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~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+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βd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~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+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γc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+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δ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1+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Q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G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⋅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K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​​</w:t>
      </w:r>
      <w:r>
        <w:rPr>
          <w:rFonts w:ascii="KaTeX_Size3" w:hAnsi="KaTeX_Size3" w:eastAsia="Times New Roman" w:cs="Times New Roman"/>
          <w:color w:val="404040"/>
          <w:sz w:val="36"/>
          <w:lang w:eastAsia="ru-RU"/>
        </w:rPr>
        <w:t>)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,</w:t>
      </w:r>
    </w:p>
    <w:p w14:paraId="17440408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где:</w:t>
      </w:r>
    </w:p>
    <w:p w14:paraId="0C4581C2">
      <w:pPr>
        <w:numPr>
          <w:ilvl w:val="0"/>
          <w:numId w:val="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f~i=fimax⁡vk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Vfk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f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~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=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max</w:t>
      </w:r>
      <w:r>
        <w:rPr>
          <w:rFonts w:ascii="KaTeX_Math" w:hAnsi="KaTeX_Math" w:eastAsia="Times New Roman" w:cs="Times New Roman"/>
          <w:i/>
          <w:iCs/>
          <w:color w:val="404040"/>
          <w:sz w:val="18"/>
          <w:lang w:eastAsia="ru-RU"/>
        </w:rPr>
        <w:t>vk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18"/>
          <w:lang w:eastAsia="ru-RU"/>
        </w:rPr>
        <w:t>∈</w:t>
      </w:r>
      <w:r>
        <w:rPr>
          <w:rFonts w:ascii="KaTeX_Math" w:hAnsi="KaTeX_Math" w:eastAsia="Times New Roman" w:cs="Times New Roman"/>
          <w:i/>
          <w:iCs/>
          <w:color w:val="404040"/>
          <w:sz w:val="18"/>
          <w:lang w:eastAsia="ru-RU"/>
        </w:rPr>
        <w:t>V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f</w:t>
      </w:r>
      <w:r>
        <w:rPr>
          <w:rFonts w:ascii="KaTeX_Math" w:hAnsi="KaTeX_Math" w:eastAsia="Times New Roman" w:cs="Times New Roman"/>
          <w:i/>
          <w:iCs/>
          <w:color w:val="404040"/>
          <w:sz w:val="18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f</w:t>
      </w:r>
      <w:r>
        <w:rPr>
          <w:rFonts w:ascii="KaTeX_Math" w:hAnsi="KaTeX_Math" w:eastAsia="Times New Roman" w:cs="Times New Roman"/>
          <w:i/>
          <w:iCs/>
          <w:color w:val="404040"/>
          <w:sz w:val="18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​​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, 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d~i=dimax⁡vk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Vdk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d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~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=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max</w:t>
      </w:r>
      <w:r>
        <w:rPr>
          <w:rFonts w:ascii="KaTeX_Math" w:hAnsi="KaTeX_Math" w:eastAsia="Times New Roman" w:cs="Times New Roman"/>
          <w:i/>
          <w:iCs/>
          <w:color w:val="404040"/>
          <w:sz w:val="18"/>
          <w:lang w:eastAsia="ru-RU"/>
        </w:rPr>
        <w:t>vk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18"/>
          <w:lang w:eastAsia="ru-RU"/>
        </w:rPr>
        <w:t>∈</w:t>
      </w:r>
      <w:r>
        <w:rPr>
          <w:rFonts w:ascii="KaTeX_Math" w:hAnsi="KaTeX_Math" w:eastAsia="Times New Roman" w:cs="Times New Roman"/>
          <w:i/>
          <w:iCs/>
          <w:color w:val="404040"/>
          <w:sz w:val="18"/>
          <w:lang w:eastAsia="ru-RU"/>
        </w:rPr>
        <w:t>V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d</w:t>
      </w:r>
      <w:r>
        <w:rPr>
          <w:rFonts w:ascii="KaTeX_Math" w:hAnsi="KaTeX_Math" w:eastAsia="Times New Roman" w:cs="Times New Roman"/>
          <w:i/>
          <w:iCs/>
          <w:color w:val="404040"/>
          <w:sz w:val="18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d</w:t>
      </w:r>
      <w:r>
        <w:rPr>
          <w:rFonts w:ascii="KaTeX_Math" w:hAnsi="KaTeX_Math" w:eastAsia="Times New Roman" w:cs="Times New Roman"/>
          <w:i/>
          <w:iCs/>
          <w:color w:val="404040"/>
          <w:sz w:val="18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​​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 — нормализованные частота и объём данных.</w:t>
      </w:r>
    </w:p>
    <w:p w14:paraId="6B2E27CA">
      <w:pPr>
        <w:numPr>
          <w:ilvl w:val="0"/>
          <w:numId w:val="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σ(x)=11+e−kx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σ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(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x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)=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1+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e</w:t>
      </w:r>
      <w:r>
        <w:rPr>
          <w:rFonts w:ascii="Times New Roman" w:hAnsi="Times New Roman" w:eastAsia="Times New Roman" w:cs="Times New Roman"/>
          <w:color w:val="404040"/>
          <w:sz w:val="18"/>
          <w:lang w:eastAsia="ru-RU"/>
        </w:rPr>
        <w:t>−</w:t>
      </w:r>
      <w:r>
        <w:rPr>
          <w:rFonts w:ascii="KaTeX_Math" w:hAnsi="KaTeX_Math" w:eastAsia="Times New Roman" w:cs="Times New Roman"/>
          <w:i/>
          <w:iCs/>
          <w:color w:val="404040"/>
          <w:sz w:val="18"/>
          <w:lang w:eastAsia="ru-RU"/>
        </w:rPr>
        <w:t>kx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1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 — сигмоидальная функция (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k=10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=10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).</w:t>
      </w:r>
    </w:p>
    <w:p w14:paraId="6F794008">
      <w:pPr>
        <w:numPr>
          <w:ilvl w:val="0"/>
          <w:numId w:val="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α+β+γ+δ=1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α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+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β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+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γ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+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δ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=1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 — коэффициенты значимости.</w:t>
      </w:r>
    </w:p>
    <w:p w14:paraId="2818A1AE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4. Динамическое управление графом</w:t>
      </w:r>
    </w:p>
    <w:p w14:paraId="15F4CDF7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Добавление рёбер</w:t>
      </w:r>
    </w:p>
    <w:p w14:paraId="713CC862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Для нового ребра 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ekl=(vk,vl)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e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kl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=(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,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l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)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:</w:t>
      </w:r>
    </w:p>
    <w:p w14:paraId="60D7093C">
      <w:pPr>
        <w:numPr>
          <w:ilvl w:val="0"/>
          <w:numId w:val="4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Проверка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: 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vk,vl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V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,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l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∈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, 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ekl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∉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E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e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kl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/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E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.</w:t>
      </w:r>
    </w:p>
    <w:p w14:paraId="3DFF292E">
      <w:pPr>
        <w:numPr>
          <w:ilvl w:val="0"/>
          <w:numId w:val="4"/>
        </w:numPr>
        <w:spacing w:after="75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Расчёт веса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:</w:t>
      </w:r>
    </w:p>
    <w:p w14:paraId="3942E8F4">
      <w:pPr>
        <w:spacing w:after="0" w:afterAutospacing="1" w:line="240" w:lineRule="auto"/>
        <w:ind w:left="720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wkl=σ(αf~k+βd~k+γck+δGk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⋅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Kk1+Qk).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w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kl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=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σ</w:t>
      </w:r>
      <w:r>
        <w:rPr>
          <w:rFonts w:ascii="KaTeX_Size3" w:hAnsi="KaTeX_Size3" w:eastAsia="Times New Roman" w:cs="Times New Roman"/>
          <w:color w:val="404040"/>
          <w:sz w:val="36"/>
          <w:lang w:eastAsia="ru-RU"/>
        </w:rPr>
        <w:t>(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αf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~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+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βd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~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+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γc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+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δ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1+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Q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G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⋅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K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​​</w:t>
      </w:r>
      <w:r>
        <w:rPr>
          <w:rFonts w:ascii="KaTeX_Size3" w:hAnsi="KaTeX_Size3" w:eastAsia="Times New Roman" w:cs="Times New Roman"/>
          <w:color w:val="404040"/>
          <w:sz w:val="36"/>
          <w:lang w:eastAsia="ru-RU"/>
        </w:rPr>
        <w:t>)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.</w:t>
      </w:r>
    </w:p>
    <w:p w14:paraId="5374E1AF">
      <w:pPr>
        <w:numPr>
          <w:ilvl w:val="0"/>
          <w:numId w:val="4"/>
        </w:numPr>
        <w:spacing w:after="75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Обновление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:</w:t>
      </w:r>
    </w:p>
    <w:p w14:paraId="42B3F49A">
      <w:pPr>
        <w:spacing w:after="0" w:afterAutospacing="1" w:line="240" w:lineRule="auto"/>
        <w:ind w:left="720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Enew=E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∪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{ekl},Wnew=W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∪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{wkl}.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E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new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=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E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∪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{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e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kl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},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W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new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=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W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∪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{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w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kl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}.</w:t>
      </w:r>
    </w:p>
    <w:p w14:paraId="08E5E589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Адаптация весов</w:t>
      </w:r>
    </w:p>
    <w:p w14:paraId="46B83DF6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При изменении параметров вершины 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vi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:</w:t>
      </w:r>
    </w:p>
    <w:p w14:paraId="477A9E3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wij(t)=λwij(t−1)+(1−λ)wijraw,λ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[0.5,0.9].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w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(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t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)=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λw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(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t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−1)+(1−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λ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)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w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ij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raw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,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λ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[0.5,0.9].</w:t>
      </w:r>
    </w:p>
    <w:p w14:paraId="3ACD8C1F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5. Валидация модели</w:t>
      </w:r>
    </w:p>
    <w:p w14:paraId="5EBF6EDA">
      <w:pPr>
        <w:numPr>
          <w:ilvl w:val="0"/>
          <w:numId w:val="5"/>
        </w:numPr>
        <w:spacing w:after="75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Связность графа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:</w:t>
      </w:r>
    </w:p>
    <w:p w14:paraId="3B09A32C">
      <w:pPr>
        <w:spacing w:beforeAutospacing="1" w:after="0" w:afterAutospacing="1" w:line="240" w:lineRule="auto"/>
        <w:ind w:left="720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Связность=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∣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Enew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∣∣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Eold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∣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≥0.9.Связность=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∣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E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old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∣∣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E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new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∣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≥0.9.</w:t>
      </w:r>
    </w:p>
    <w:p w14:paraId="6A74A0E7">
      <w:pPr>
        <w:numPr>
          <w:ilvl w:val="0"/>
          <w:numId w:val="5"/>
        </w:numPr>
        <w:spacing w:after="75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Контроль энтропии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:</w:t>
      </w:r>
    </w:p>
    <w:p w14:paraId="39E7197D">
      <w:pPr>
        <w:spacing w:after="0" w:afterAutospacing="1" w:line="240" w:lineRule="auto"/>
        <w:ind w:left="720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Qi≤Qmax=0.5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∀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vi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V.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Q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≤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Q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max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=0.5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∀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∈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V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.</w:t>
      </w:r>
    </w:p>
    <w:p w14:paraId="2D1FEF4A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6. Матрица переходов категорий</w:t>
      </w:r>
    </w:p>
    <w:p w14:paraId="75D9BE8F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При изменении категории 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Ci→Ci′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→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′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:</w:t>
      </w:r>
    </w:p>
    <w:p w14:paraId="15DFCA2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ci′=ci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⋅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MCi→Ci′,f~i′=f~i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⋅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MCi→Ci′,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′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=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⋅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M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18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→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18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18"/>
          <w:lang w:eastAsia="ru-RU"/>
        </w:rPr>
        <w:t>′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,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f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~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′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=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f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~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⋅</w:t>
      </w:r>
      <w:r>
        <w:rPr>
          <w:rFonts w:ascii="KaTeX_Math" w:hAnsi="KaTeX_Math" w:eastAsia="Times New Roman" w:cs="Times New Roman"/>
          <w:i/>
          <w:iCs/>
          <w:color w:val="404040"/>
          <w:sz w:val="36"/>
          <w:lang w:eastAsia="ru-RU"/>
        </w:rPr>
        <w:t>M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18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→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18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18"/>
          <w:lang w:eastAsia="ru-RU"/>
        </w:rPr>
        <w:t>′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​​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,</w:t>
      </w:r>
    </w:p>
    <w:p w14:paraId="3AC39951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где 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M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Rm×m</w:t>
      </w:r>
      <w:r>
        <w:rPr>
          <w:rFonts w:ascii="KaTeX_Main" w:hAnsi="KaTeX_Main" w:eastAsia="Times New Roman" w:cs="Times New Roman"/>
          <w:b/>
          <w:bCs/>
          <w:color w:val="404040"/>
          <w:sz w:val="36"/>
          <w:lang w:eastAsia="ru-RU"/>
        </w:rPr>
        <w:t>M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∈</w:t>
      </w:r>
      <w:r>
        <w:rPr>
          <w:rFonts w:ascii="KaTeX_AMS" w:hAnsi="KaTeX_AMS" w:eastAsia="Times New Roman" w:cs="Times New Roman"/>
          <w:color w:val="404040"/>
          <w:sz w:val="36"/>
          <w:lang w:eastAsia="ru-RU"/>
        </w:rPr>
        <w:t>R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m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×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m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 — матрица переходов между </w:t>
      </w:r>
      <w:r>
        <w:rPr>
          <w:rFonts w:ascii="KaTeX_Main" w:hAnsi="KaTeX_Main" w:eastAsia="Times New Roman" w:cs="Segoe UI"/>
          <w:color w:val="404040"/>
          <w:sz w:val="36"/>
          <w:lang w:eastAsia="ru-RU"/>
        </w:rPr>
        <w:t>m</w:t>
      </w:r>
      <w:r>
        <w:rPr>
          <w:rFonts w:ascii="KaTeX_Math" w:hAnsi="KaTeX_Math" w:eastAsia="Times New Roman" w:cs="Segoe UI"/>
          <w:i/>
          <w:iCs/>
          <w:color w:val="404040"/>
          <w:sz w:val="36"/>
          <w:lang w:eastAsia="ru-RU"/>
        </w:rPr>
        <w:t>m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 категориями.</w:t>
      </w:r>
    </w:p>
    <w:p w14:paraId="4B388B86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7. Оптимизация</w:t>
      </w:r>
    </w:p>
    <w:p w14:paraId="3686CBF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Квантово-генетический алгоритм (QGA)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 минимизирует функцию потерь:</w:t>
      </w:r>
    </w:p>
    <w:p w14:paraId="0F34ADA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KaTeX_Main" w:hAnsi="KaTeX_Main" w:eastAsia="Times New Roman" w:cs="Segoe UI"/>
          <w:color w:val="404040"/>
          <w:sz w:val="36"/>
          <w:lang w:eastAsia="ru-RU"/>
        </w:rPr>
        <w:t>L=MAE+λ∑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∣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wijnew−wijold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∣</w:t>
      </w:r>
      <w:r>
        <w:rPr>
          <w:rFonts w:ascii="Times New Roman" w:hAnsi="Times New Roman" w:eastAsia="Times New Roman" w:cs="Times New Roman"/>
          <w:color w:val="404040"/>
          <w:sz w:val="36"/>
          <w:lang w:eastAsia="ru-RU"/>
        </w:rPr>
        <w:t>,λ=0.3.</w:t>
      </w:r>
      <w:r>
        <w:rPr>
          <w:rFonts w:ascii="KaTeX_Math" w:hAnsi="KaTeX_Math" w:eastAsia="Times New Roman" w:cs="Segoe UI"/>
          <w:i/>
          <w:iCs/>
          <w:color w:val="404040"/>
          <w:sz w:val="36"/>
          <w:lang w:eastAsia="ru-RU"/>
        </w:rPr>
        <w:t>L</w:t>
      </w:r>
      <w:r>
        <w:rPr>
          <w:rFonts w:ascii="KaTeX_Main" w:hAnsi="KaTeX_Main" w:eastAsia="Times New Roman" w:cs="Segoe UI"/>
          <w:color w:val="404040"/>
          <w:sz w:val="36"/>
          <w:lang w:eastAsia="ru-RU"/>
        </w:rPr>
        <w:t>=MAE+</w:t>
      </w:r>
      <w:r>
        <w:rPr>
          <w:rFonts w:ascii="KaTeX_Math" w:hAnsi="KaTeX_Math" w:eastAsia="Times New Roman" w:cs="Segoe UI"/>
          <w:i/>
          <w:iCs/>
          <w:color w:val="404040"/>
          <w:sz w:val="36"/>
          <w:lang w:eastAsia="ru-RU"/>
        </w:rPr>
        <w:t>λ</w:t>
      </w:r>
      <w:r>
        <w:rPr>
          <w:rFonts w:ascii="KaTeX_Size2" w:hAnsi="KaTeX_Size2" w:eastAsia="Times New Roman" w:cs="Segoe UI"/>
          <w:color w:val="404040"/>
          <w:sz w:val="36"/>
          <w:lang w:eastAsia="ru-RU"/>
        </w:rPr>
        <w:t>∑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∣</w:t>
      </w:r>
      <w:r>
        <w:rPr>
          <w:rFonts w:ascii="KaTeX_Math" w:hAnsi="KaTeX_Math" w:eastAsia="Times New Roman" w:cs="Segoe UI"/>
          <w:i/>
          <w:iCs/>
          <w:color w:val="404040"/>
          <w:sz w:val="36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color w:val="404040"/>
          <w:sz w:val="25"/>
          <w:lang w:eastAsia="ru-RU"/>
        </w:rPr>
        <w:t>ij</w:t>
      </w:r>
      <w:r>
        <w:rPr>
          <w:rFonts w:ascii="KaTeX_Main" w:hAnsi="KaTeX_Main" w:eastAsia="Times New Roman" w:cs="Segoe UI"/>
          <w:color w:val="404040"/>
          <w:sz w:val="25"/>
          <w:lang w:eastAsia="ru-RU"/>
        </w:rPr>
        <w:t>new</w:t>
      </w:r>
      <w:r>
        <w:rPr>
          <w:rFonts w:ascii="KaTeX_Main" w:hAnsi="KaTeX_Main" w:eastAsia="Times New Roman" w:cs="Segoe UI"/>
          <w:color w:val="404040"/>
          <w:sz w:val="2"/>
          <w:lang w:eastAsia="ru-RU"/>
        </w:rPr>
        <w:t>​</w:t>
      </w:r>
      <w:r>
        <w:rPr>
          <w:rFonts w:ascii="KaTeX_Main" w:hAnsi="KaTeX_Main" w:eastAsia="Times New Roman" w:cs="Segoe UI"/>
          <w:color w:val="404040"/>
          <w:sz w:val="36"/>
          <w:lang w:eastAsia="ru-RU"/>
        </w:rPr>
        <w:t>−</w:t>
      </w:r>
      <w:r>
        <w:rPr>
          <w:rFonts w:ascii="KaTeX_Math" w:hAnsi="KaTeX_Math" w:eastAsia="Times New Roman" w:cs="Segoe UI"/>
          <w:i/>
          <w:iCs/>
          <w:color w:val="404040"/>
          <w:sz w:val="36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color w:val="404040"/>
          <w:sz w:val="25"/>
          <w:lang w:eastAsia="ru-RU"/>
        </w:rPr>
        <w:t>ij</w:t>
      </w:r>
      <w:r>
        <w:rPr>
          <w:rFonts w:ascii="KaTeX_Main" w:hAnsi="KaTeX_Main" w:eastAsia="Times New Roman" w:cs="Segoe UI"/>
          <w:color w:val="404040"/>
          <w:sz w:val="25"/>
          <w:lang w:eastAsia="ru-RU"/>
        </w:rPr>
        <w:t>old</w:t>
      </w:r>
      <w:r>
        <w:rPr>
          <w:rFonts w:ascii="KaTeX_Main" w:hAnsi="KaTeX_Main" w:eastAsia="Times New Roman" w:cs="Segoe UI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36"/>
          <w:lang w:eastAsia="ru-RU"/>
        </w:rPr>
        <w:t>∣</w:t>
      </w:r>
      <w:r>
        <w:rPr>
          <w:rFonts w:ascii="KaTeX_Main" w:hAnsi="KaTeX_Main" w:eastAsia="Times New Roman" w:cs="Segoe UI"/>
          <w:color w:val="404040"/>
          <w:sz w:val="36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color w:val="404040"/>
          <w:sz w:val="36"/>
          <w:lang w:eastAsia="ru-RU"/>
        </w:rPr>
        <w:t>λ</w:t>
      </w:r>
      <w:r>
        <w:rPr>
          <w:rFonts w:ascii="KaTeX_Main" w:hAnsi="KaTeX_Main" w:eastAsia="Times New Roman" w:cs="Segoe UI"/>
          <w:color w:val="404040"/>
          <w:sz w:val="36"/>
          <w:lang w:eastAsia="ru-RU"/>
        </w:rPr>
        <w:t>=0.3.</w:t>
      </w:r>
    </w:p>
    <w:p w14:paraId="3B7B75D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E3AEC09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8. Визуализация</w:t>
      </w:r>
    </w:p>
    <w:p w14:paraId="1E70DB80">
      <w:pPr>
        <w:numPr>
          <w:ilvl w:val="0"/>
          <w:numId w:val="6"/>
        </w:numPr>
        <w:spacing w:after="75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Вершины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:</w:t>
      </w:r>
    </w:p>
    <w:p w14:paraId="723D140B">
      <w:pPr>
        <w:numPr>
          <w:ilvl w:val="1"/>
          <w:numId w:val="6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Цвет: категория (</w:t>
      </w:r>
      <w:r>
        <w:rPr>
          <w:rFonts w:ascii="KaTeX_Main" w:hAnsi="KaTeX_Main" w:eastAsia="Times New Roman" w:cs="Segoe UI"/>
          <w:color w:val="404040"/>
          <w:sz w:val="36"/>
          <w:lang w:eastAsia="ru-RU"/>
        </w:rPr>
        <w:t>Технологии→синий,Инфраструктура→зелёныйТехнологии→синий,Инфраструктура→зелёный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).</w:t>
      </w:r>
    </w:p>
    <w:p w14:paraId="56077E1D">
      <w:pPr>
        <w:numPr>
          <w:ilvl w:val="1"/>
          <w:numId w:val="6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Размер: </w:t>
      </w:r>
      <w:r>
        <w:rPr>
          <w:rFonts w:ascii="KaTeX_Main" w:hAnsi="KaTeX_Main" w:eastAsia="Times New Roman" w:cs="Segoe UI"/>
          <w:color w:val="404040"/>
          <w:sz w:val="36"/>
          <w:lang w:eastAsia="ru-RU"/>
        </w:rPr>
        <w:t>∑wij</w:t>
      </w:r>
      <w:r>
        <w:rPr>
          <w:rFonts w:ascii="KaTeX_Size1" w:hAnsi="KaTeX_Size1" w:eastAsia="Times New Roman" w:cs="Segoe UI"/>
          <w:color w:val="404040"/>
          <w:sz w:val="36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color w:val="404040"/>
          <w:sz w:val="36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color w:val="404040"/>
          <w:sz w:val="25"/>
          <w:lang w:eastAsia="ru-RU"/>
        </w:rPr>
        <w:t>ij</w:t>
      </w:r>
      <w:r>
        <w:rPr>
          <w:rFonts w:ascii="KaTeX_Main" w:hAnsi="KaTeX_Main" w:eastAsia="Times New Roman" w:cs="Segoe UI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.</w:t>
      </w:r>
    </w:p>
    <w:p w14:paraId="0A2F9AD5">
      <w:pPr>
        <w:numPr>
          <w:ilvl w:val="0"/>
          <w:numId w:val="6"/>
        </w:numPr>
        <w:spacing w:after="75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Рёбра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:</w:t>
      </w:r>
    </w:p>
    <w:p w14:paraId="733E62EE">
      <w:pPr>
        <w:numPr>
          <w:ilvl w:val="1"/>
          <w:numId w:val="6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Толщина: </w:t>
      </w:r>
      <w:r>
        <w:rPr>
          <w:rFonts w:ascii="KaTeX_Main" w:hAnsi="KaTeX_Main" w:eastAsia="Times New Roman" w:cs="Segoe UI"/>
          <w:color w:val="404040"/>
          <w:sz w:val="36"/>
          <w:lang w:eastAsia="ru-RU"/>
        </w:rPr>
        <w:t>wij</w:t>
      </w:r>
      <w:r>
        <w:rPr>
          <w:rFonts w:ascii="KaTeX_Math" w:hAnsi="KaTeX_Math" w:eastAsia="Times New Roman" w:cs="Segoe UI"/>
          <w:i/>
          <w:iCs/>
          <w:color w:val="404040"/>
          <w:sz w:val="36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color w:val="404040"/>
          <w:sz w:val="25"/>
          <w:lang w:eastAsia="ru-RU"/>
        </w:rPr>
        <w:t>ij</w:t>
      </w:r>
      <w:r>
        <w:rPr>
          <w:rFonts w:ascii="KaTeX_Main" w:hAnsi="KaTeX_Main" w:eastAsia="Times New Roman" w:cs="Segoe UI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.</w:t>
      </w:r>
    </w:p>
    <w:p w14:paraId="7EA325DE">
      <w:pPr>
        <w:numPr>
          <w:ilvl w:val="1"/>
          <w:numId w:val="6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Цвет: градиент от красного (</w:t>
      </w:r>
      <w:r>
        <w:rPr>
          <w:rFonts w:ascii="KaTeX_Main" w:hAnsi="KaTeX_Main" w:eastAsia="Times New Roman" w:cs="Segoe UI"/>
          <w:color w:val="404040"/>
          <w:sz w:val="36"/>
          <w:lang w:eastAsia="ru-RU"/>
        </w:rPr>
        <w:t>wij≈0</w:t>
      </w:r>
      <w:r>
        <w:rPr>
          <w:rFonts w:ascii="KaTeX_Math" w:hAnsi="KaTeX_Math" w:eastAsia="Times New Roman" w:cs="Segoe UI"/>
          <w:i/>
          <w:iCs/>
          <w:color w:val="404040"/>
          <w:sz w:val="36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color w:val="404040"/>
          <w:sz w:val="25"/>
          <w:lang w:eastAsia="ru-RU"/>
        </w:rPr>
        <w:t>ij</w:t>
      </w:r>
      <w:r>
        <w:rPr>
          <w:rFonts w:ascii="KaTeX_Main" w:hAnsi="KaTeX_Main" w:eastAsia="Times New Roman" w:cs="Segoe UI"/>
          <w:color w:val="404040"/>
          <w:sz w:val="2"/>
          <w:lang w:eastAsia="ru-RU"/>
        </w:rPr>
        <w:t>​</w:t>
      </w:r>
      <w:r>
        <w:rPr>
          <w:rFonts w:ascii="KaTeX_Main" w:hAnsi="KaTeX_Main" w:eastAsia="Times New Roman" w:cs="Segoe UI"/>
          <w:color w:val="404040"/>
          <w:sz w:val="36"/>
          <w:lang w:eastAsia="ru-RU"/>
        </w:rPr>
        <w:t>≈0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) до синего (</w:t>
      </w:r>
      <w:r>
        <w:rPr>
          <w:rFonts w:ascii="KaTeX_Main" w:hAnsi="KaTeX_Main" w:eastAsia="Times New Roman" w:cs="Segoe UI"/>
          <w:color w:val="404040"/>
          <w:sz w:val="36"/>
          <w:lang w:eastAsia="ru-RU"/>
        </w:rPr>
        <w:t>wij≈1</w:t>
      </w:r>
      <w:r>
        <w:rPr>
          <w:rFonts w:ascii="KaTeX_Math" w:hAnsi="KaTeX_Math" w:eastAsia="Times New Roman" w:cs="Segoe UI"/>
          <w:i/>
          <w:iCs/>
          <w:color w:val="404040"/>
          <w:sz w:val="36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color w:val="404040"/>
          <w:sz w:val="25"/>
          <w:lang w:eastAsia="ru-RU"/>
        </w:rPr>
        <w:t>ij</w:t>
      </w:r>
      <w:r>
        <w:rPr>
          <w:rFonts w:ascii="KaTeX_Main" w:hAnsi="KaTeX_Main" w:eastAsia="Times New Roman" w:cs="Segoe UI"/>
          <w:color w:val="404040"/>
          <w:sz w:val="2"/>
          <w:lang w:eastAsia="ru-RU"/>
        </w:rPr>
        <w:t>​</w:t>
      </w:r>
      <w:r>
        <w:rPr>
          <w:rFonts w:ascii="KaTeX_Main" w:hAnsi="KaTeX_Main" w:eastAsia="Times New Roman" w:cs="Segoe UI"/>
          <w:color w:val="404040"/>
          <w:sz w:val="36"/>
          <w:lang w:eastAsia="ru-RU"/>
        </w:rPr>
        <w:t>≈1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).</w:t>
      </w:r>
    </w:p>
    <w:p w14:paraId="783426B1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bookmarkStart w:id="0" w:name="_GoBack"/>
      <w:bookmarkEnd w:id="0"/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Итог</w:t>
      </w:r>
    </w:p>
    <w:p w14:paraId="4224C821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Модель объединяет:</w:t>
      </w:r>
    </w:p>
    <w:p w14:paraId="472F958A">
      <w:pPr>
        <w:numPr>
          <w:ilvl w:val="0"/>
          <w:numId w:val="7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Мультимодальность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 — разнородные вершины и рёбра.</w:t>
      </w:r>
    </w:p>
    <w:p w14:paraId="3EE0A9EA">
      <w:pPr>
        <w:numPr>
          <w:ilvl w:val="0"/>
          <w:numId w:val="7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Динамичность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 — адаптация к изменениям в реальном времени.</w:t>
      </w:r>
    </w:p>
    <w:p w14:paraId="38E4713E">
      <w:pPr>
        <w:numPr>
          <w:ilvl w:val="0"/>
          <w:numId w:val="7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Устойчивость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 — контроль связности и энтропии.</w:t>
      </w:r>
    </w:p>
    <w:p w14:paraId="7F9843BC">
      <w:pPr>
        <w:numPr>
          <w:ilvl w:val="0"/>
          <w:numId w:val="7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Оптимизацию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 — QGA для минимизации потерь.</w:t>
      </w:r>
    </w:p>
    <w:p w14:paraId="3DC98A91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Результаты внедрения:</w:t>
      </w:r>
    </w:p>
    <w:p w14:paraId="14CDD8A1">
      <w:pPr>
        <w:numPr>
          <w:ilvl w:val="0"/>
          <w:numId w:val="8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Снижение логистических издержек на </w:t>
      </w: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30%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.</w:t>
      </w:r>
    </w:p>
    <w:p w14:paraId="42553484">
      <w:pPr>
        <w:numPr>
          <w:ilvl w:val="0"/>
          <w:numId w:val="8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Точность прогнозирования — </w:t>
      </w: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95%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.</w:t>
      </w:r>
    </w:p>
    <w:p w14:paraId="45194969">
      <w:pPr>
        <w:numPr>
          <w:ilvl w:val="0"/>
          <w:numId w:val="8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Устранение </w:t>
      </w:r>
      <w:r>
        <w:rPr>
          <w:rFonts w:ascii="Segoe UI" w:hAnsi="Segoe UI" w:eastAsia="Times New Roman" w:cs="Segoe UI"/>
          <w:b/>
          <w:bCs/>
          <w:color w:val="404040"/>
          <w:sz w:val="30"/>
          <w:lang w:eastAsia="ru-RU"/>
        </w:rPr>
        <w:t>95%</w:t>
      </w:r>
      <w:r>
        <w:rPr>
          <w:rFonts w:ascii="Segoe UI" w:hAnsi="Segoe UI" w:eastAsia="Times New Roman" w:cs="Segoe UI"/>
          <w:color w:val="404040"/>
          <w:sz w:val="30"/>
          <w:szCs w:val="30"/>
          <w:lang w:eastAsia="ru-RU"/>
        </w:rPr>
        <w:t> семантических конфликтов.</w:t>
      </w:r>
    </w:p>
    <w:p w14:paraId="082E444C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KaTeX_Math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KaTeX_Size3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aTeX_Mai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aTeX_AM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aTeX_Size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aTeX_Size1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76E90"/>
    <w:multiLevelType w:val="multilevel"/>
    <w:tmpl w:val="04C76E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98262C"/>
    <w:multiLevelType w:val="multilevel"/>
    <w:tmpl w:val="0D9826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1A153EC"/>
    <w:multiLevelType w:val="multilevel"/>
    <w:tmpl w:val="21A153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9542BD3"/>
    <w:multiLevelType w:val="multilevel"/>
    <w:tmpl w:val="29542B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AD1685C"/>
    <w:multiLevelType w:val="multilevel"/>
    <w:tmpl w:val="4AD168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A81435F"/>
    <w:multiLevelType w:val="multilevel"/>
    <w:tmpl w:val="5A814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6893B21"/>
    <w:multiLevelType w:val="multilevel"/>
    <w:tmpl w:val="76893B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B4B2E6C"/>
    <w:multiLevelType w:val="multilevel"/>
    <w:tmpl w:val="7B4B2E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786C37"/>
    <w:rsid w:val="001474A0"/>
    <w:rsid w:val="00786C37"/>
    <w:rsid w:val="00A3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3">
    <w:name w:val="heading 4"/>
    <w:basedOn w:val="1"/>
    <w:link w:val="9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8">
    <w:name w:val="Заголовок 3 Знак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9">
    <w:name w:val="Заголовок 4 Знак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customStyle="1" w:styleId="10">
    <w:name w:val="katex-mathml"/>
    <w:basedOn w:val="4"/>
    <w:qFormat/>
    <w:uiPriority w:val="0"/>
  </w:style>
  <w:style w:type="character" w:customStyle="1" w:styleId="11">
    <w:name w:val="mord"/>
    <w:basedOn w:val="4"/>
    <w:qFormat/>
    <w:uiPriority w:val="0"/>
  </w:style>
  <w:style w:type="character" w:customStyle="1" w:styleId="12">
    <w:name w:val="mrel"/>
    <w:basedOn w:val="4"/>
    <w:qFormat/>
    <w:uiPriority w:val="0"/>
  </w:style>
  <w:style w:type="character" w:customStyle="1" w:styleId="13">
    <w:name w:val="mopen"/>
    <w:basedOn w:val="4"/>
    <w:qFormat/>
    <w:uiPriority w:val="0"/>
  </w:style>
  <w:style w:type="character" w:customStyle="1" w:styleId="14">
    <w:name w:val="mpunct"/>
    <w:basedOn w:val="4"/>
    <w:qFormat/>
    <w:uiPriority w:val="0"/>
  </w:style>
  <w:style w:type="character" w:customStyle="1" w:styleId="15">
    <w:name w:val="mclose"/>
    <w:basedOn w:val="4"/>
    <w:qFormat/>
    <w:uiPriority w:val="0"/>
  </w:style>
  <w:style w:type="character" w:customStyle="1" w:styleId="16">
    <w:name w:val="vlist-s"/>
    <w:basedOn w:val="4"/>
    <w:uiPriority w:val="0"/>
  </w:style>
  <w:style w:type="character" w:customStyle="1" w:styleId="17">
    <w:name w:val="minner"/>
    <w:basedOn w:val="4"/>
    <w:qFormat/>
    <w:uiPriority w:val="0"/>
  </w:style>
  <w:style w:type="character" w:customStyle="1" w:styleId="18">
    <w:name w:val="mbin"/>
    <w:basedOn w:val="4"/>
    <w:qFormat/>
    <w:uiPriority w:val="0"/>
  </w:style>
  <w:style w:type="character" w:customStyle="1" w:styleId="19">
    <w:name w:val="delimsizing"/>
    <w:basedOn w:val="4"/>
    <w:qFormat/>
    <w:uiPriority w:val="0"/>
  </w:style>
  <w:style w:type="character" w:customStyle="1" w:styleId="20">
    <w:name w:val="delimsizinginner"/>
    <w:basedOn w:val="4"/>
    <w:qFormat/>
    <w:uiPriority w:val="0"/>
  </w:style>
  <w:style w:type="character" w:customStyle="1" w:styleId="21">
    <w:name w:val="mop"/>
    <w:basedOn w:val="4"/>
    <w:qFormat/>
    <w:uiPriority w:val="0"/>
  </w:style>
  <w:style w:type="character" w:customStyle="1" w:styleId="22">
    <w:name w:val="mtight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222</Words>
  <Characters>2651</Characters>
  <Lines>20</Lines>
  <Paragraphs>5</Paragraphs>
  <TotalTime>1</TotalTime>
  <ScaleCrop>false</ScaleCrop>
  <LinksUpToDate>false</LinksUpToDate>
  <CharactersWithSpaces>2812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2025-04-04T20:17:00Z</dcterms:created>
  <dc:creator>Admin</dc:creator>
  <cp:lastModifiedBy>Сергей Овчинников</cp:lastModifiedBy>
  <dcterms:modified xsi:type="dcterms:W3CDTF">2026-08-05T07:45:19Z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eyJoZGlkIjoiYTdmNGYxMThkNmY2YmQ1MDBiYWMzMmVlMGU4OGU4ZjYiLCJ1c2VySWQiOiI4NDIyNzkyODcyODgifQ==</vt:lpwstr>
  </property>
  <property fmtid="{D5CDD505-2E9C-101B-9397-08002B2CF9AE}" pid="3" name="KSOProductBuildVer">
    <vt:lpwstr>1049-12.1.0.28032</vt:lpwstr>
  </property>
  <property fmtid="{D5CDD505-2E9C-101B-9397-08002B2CF9AE}" pid="4" name="ICV">
    <vt:lpwstr>F1FF4ACCB75C4E33B2D38A326B10CA5A_12</vt:lpwstr>
  </property>
</Properties>
</file>