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84A72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Единый математический аппарат диссертационного исследования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br w:type="textWrapping"/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Объединяет методы целочисленной оптимизации, машинного обучения и анализа устойчивости распределенных систем.</w:t>
      </w:r>
    </w:p>
    <w:p w14:paraId="617029F6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1. Формализация задачи целочисленного линейного программирования (ILP)</w:t>
      </w:r>
    </w:p>
    <w:p w14:paraId="12C56B7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Переменные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1DE6DDC6">
      <w:pPr>
        <w:numPr>
          <w:ilvl w:val="0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xi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{0,1}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x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{0,1}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выбор программы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Pi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P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.</w:t>
      </w:r>
    </w:p>
    <w:p w14:paraId="3B58A4D5">
      <w:pPr>
        <w:numPr>
          <w:ilvl w:val="0"/>
          <w:numId w:val="1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yj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{0,1}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y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{0,1}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выбор технологии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Tj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T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.</w:t>
      </w:r>
    </w:p>
    <w:p w14:paraId="2CF578AA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Параметры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0CED22BA">
      <w:pPr>
        <w:numPr>
          <w:ilvl w:val="0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ci,dj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стоимости компонентов.</w:t>
      </w:r>
    </w:p>
    <w:p w14:paraId="6CA5DF91">
      <w:pPr>
        <w:numPr>
          <w:ilvl w:val="0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aik,bjk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a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b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jk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вклад в требование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Rk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R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.</w:t>
      </w:r>
    </w:p>
    <w:p w14:paraId="71A141FC">
      <w:pPr>
        <w:numPr>
          <w:ilvl w:val="0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Sk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S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минимальный уровень требования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Rk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R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.</w:t>
      </w:r>
    </w:p>
    <w:p w14:paraId="79D14F06">
      <w:pPr>
        <w:numPr>
          <w:ilvl w:val="0"/>
          <w:numId w:val="2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B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B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бюджет.</w:t>
      </w:r>
    </w:p>
    <w:p w14:paraId="01083E8E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Целевая функция (минимизация стоимости)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44DDBB4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min⁡(∑i=1Ncixi+∑j=1Mdjyj)min</w:t>
      </w:r>
      <w:r>
        <w:rPr>
          <w:rFonts w:ascii="KaTeX_Size4" w:hAnsi="KaTeX_Size4" w:eastAsia="Times New Roman" w:cs="Times New Roman"/>
          <w:color w:val="404040"/>
          <w:sz w:val="33"/>
          <w:lang w:eastAsia="ru-RU"/>
        </w:rPr>
        <w:t>(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=1</w:t>
      </w:r>
      <w:r>
        <w:rPr>
          <w:rFonts w:ascii="KaTeX_Size2" w:hAnsi="KaTeX_Size2" w:eastAsia="Times New Roman" w:cs="Times New Roman"/>
          <w:color w:val="404040"/>
          <w:sz w:val="33"/>
          <w:lang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N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x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=1</w:t>
      </w:r>
      <w:r>
        <w:rPr>
          <w:rFonts w:ascii="KaTeX_Size2" w:hAnsi="KaTeX_Size2" w:eastAsia="Times New Roman" w:cs="Times New Roman"/>
          <w:color w:val="404040"/>
          <w:sz w:val="33"/>
          <w:lang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M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y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Size4" w:hAnsi="KaTeX_Size4" w:eastAsia="Times New Roman" w:cs="Times New Roman"/>
          <w:color w:val="404040"/>
          <w:sz w:val="33"/>
          <w:lang w:eastAsia="ru-RU"/>
        </w:rPr>
        <w:t>)</w:t>
      </w:r>
    </w:p>
    <w:p w14:paraId="619C4C81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Ограничения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1D489903">
      <w:pPr>
        <w:numPr>
          <w:ilvl w:val="0"/>
          <w:numId w:val="3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Выполнение требований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19F54360">
      <w:pPr>
        <w:spacing w:beforeAutospacing="1" w:after="0" w:afterAutospacing="1" w:line="240" w:lineRule="auto"/>
        <w:ind w:left="720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∑i=1Naikxi+∑j=1Mbjkyj≥Sk,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∀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k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{1,…,K}.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=1</w:t>
      </w:r>
      <w:r>
        <w:rPr>
          <w:rFonts w:ascii="KaTeX_Size2" w:hAnsi="KaTeX_Size2" w:eastAsia="Times New Roman" w:cs="Times New Roman"/>
          <w:color w:val="404040"/>
          <w:sz w:val="33"/>
          <w:lang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N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a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x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=1</w:t>
      </w:r>
      <w:r>
        <w:rPr>
          <w:rFonts w:ascii="KaTeX_Size2" w:hAnsi="KaTeX_Size2" w:eastAsia="Times New Roman" w:cs="Times New Roman"/>
          <w:color w:val="404040"/>
          <w:sz w:val="33"/>
          <w:lang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M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b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jk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y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≥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S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,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∀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k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{1,…,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}.</w:t>
      </w:r>
    </w:p>
    <w:p w14:paraId="0B43C674">
      <w:pPr>
        <w:numPr>
          <w:ilvl w:val="0"/>
          <w:numId w:val="3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Совместимость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13D39820">
      <w:pPr>
        <w:spacing w:after="0" w:afterAutospacing="1" w:line="240" w:lineRule="auto"/>
        <w:ind w:left="720"/>
        <w:rPr>
          <w:rFonts w:ascii="Segoe UI" w:hAnsi="Segoe UI" w:eastAsia="Times New Roman" w:cs="Segoe UI"/>
          <w:color w:val="404040"/>
          <w:sz w:val="27"/>
          <w:szCs w:val="27"/>
          <w:lang w:val="en-US"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xi+yj≤1,</w:t>
      </w:r>
      <w:r>
        <w:rPr>
          <w:rFonts w:ascii="Cambria Math" w:hAnsi="Cambria Math" w:eastAsia="Times New Roman" w:cs="Cambria Math"/>
          <w:color w:val="404040"/>
          <w:sz w:val="33"/>
          <w:lang w:val="en-US" w:eastAsia="ru-RU"/>
        </w:rPr>
        <w:t>∀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(i,j):Cij=0.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val="en-US" w:eastAsia="ru-RU"/>
        </w:rPr>
        <w:t>x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val="en-US"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val="en-US"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val="en-US" w:eastAsia="ru-RU"/>
        </w:rPr>
        <w:t>y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val="en-US"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val="en-US"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≤1,</w:t>
      </w:r>
      <w:r>
        <w:rPr>
          <w:rFonts w:ascii="Cambria Math" w:hAnsi="Cambria Math" w:eastAsia="Times New Roman" w:cs="Cambria Math"/>
          <w:color w:val="404040"/>
          <w:sz w:val="33"/>
          <w:lang w:val="en-US" w:eastAsia="ru-RU"/>
        </w:rPr>
        <w:t>∀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(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val="en-US"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val="en-US"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):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val="en-US"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val="en-US" w:eastAsia="ru-RU"/>
        </w:rPr>
        <w:t>ij</w:t>
      </w:r>
      <w:r>
        <w:rPr>
          <w:rFonts w:ascii="Times New Roman" w:hAnsi="Times New Roman" w:eastAsia="Times New Roman" w:cs="Times New Roman"/>
          <w:color w:val="404040"/>
          <w:sz w:val="2"/>
          <w:lang w:val="en-US"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=0.</w:t>
      </w:r>
    </w:p>
    <w:p w14:paraId="44595F4C">
      <w:pPr>
        <w:numPr>
          <w:ilvl w:val="0"/>
          <w:numId w:val="3"/>
        </w:numPr>
        <w:spacing w:after="67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Бюджет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3939BB27">
      <w:pPr>
        <w:spacing w:after="0" w:afterAutospacing="1" w:line="240" w:lineRule="auto"/>
        <w:ind w:left="720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∑i=1Ncixi+∑j=1Mdjyj≤B.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=1</w:t>
      </w:r>
      <w:r>
        <w:rPr>
          <w:rFonts w:ascii="KaTeX_Size2" w:hAnsi="KaTeX_Size2" w:eastAsia="Times New Roman" w:cs="Times New Roman"/>
          <w:color w:val="404040"/>
          <w:sz w:val="33"/>
          <w:lang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N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c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x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=1</w:t>
      </w:r>
      <w:r>
        <w:rPr>
          <w:rFonts w:ascii="KaTeX_Size2" w:hAnsi="KaTeX_Size2" w:eastAsia="Times New Roman" w:cs="Times New Roman"/>
          <w:color w:val="404040"/>
          <w:sz w:val="33"/>
          <w:lang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M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y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j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≤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B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.</w:t>
      </w:r>
    </w:p>
    <w:p w14:paraId="0971B8FC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2. Модели машинного обучения для прогнозирования отказов</w:t>
      </w:r>
    </w:p>
    <w:p w14:paraId="3497B151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val="en-US" w:eastAsia="ru-RU"/>
        </w:rPr>
        <w:t>LSTM-</w:t>
      </w: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сеть</w:t>
      </w:r>
      <w:r>
        <w:rPr>
          <w:rFonts w:ascii="Segoe UI" w:hAnsi="Segoe UI" w:eastAsia="Times New Roman" w:cs="Segoe UI"/>
          <w:color w:val="404040"/>
          <w:sz w:val="27"/>
          <w:szCs w:val="27"/>
          <w:lang w:val="en-US" w:eastAsia="ru-RU"/>
        </w:rPr>
        <w:t>:</w:t>
      </w:r>
    </w:p>
    <w:p w14:paraId="1AF36E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t^failure=∑k=1Kwk</w:t>
      </w:r>
      <w:r>
        <w:rPr>
          <w:rFonts w:ascii="Cambria Math" w:hAnsi="Cambria Math" w:eastAsia="Times New Roman" w:cs="Cambria Math"/>
          <w:color w:val="404040"/>
          <w:sz w:val="33"/>
          <w:lang w:val="en-US"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LSTMk(Xhistory),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val="en-US" w:eastAsia="ru-RU"/>
        </w:rPr>
        <w:t>t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^</w:t>
      </w:r>
      <w:r>
        <w:rPr>
          <w:rFonts w:ascii="Times New Roman" w:hAnsi="Times New Roman" w:eastAsia="Times New Roman" w:cs="Times New Roman"/>
          <w:color w:val="404040"/>
          <w:sz w:val="23"/>
          <w:lang w:val="en-US" w:eastAsia="ru-RU"/>
        </w:rPr>
        <w:t>failure</w:t>
      </w:r>
      <w:r>
        <w:rPr>
          <w:rFonts w:ascii="Times New Roman" w:hAnsi="Times New Roman" w:eastAsia="Times New Roman" w:cs="Times New Roman"/>
          <w:color w:val="404040"/>
          <w:sz w:val="2"/>
          <w:lang w:val="en-US"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=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val="en-US"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3"/>
          <w:lang w:val="en-US" w:eastAsia="ru-RU"/>
        </w:rPr>
        <w:t>=1</w:t>
      </w:r>
      <w:r>
        <w:rPr>
          <w:rFonts w:ascii="KaTeX_Size2" w:hAnsi="KaTeX_Size2" w:eastAsia="Times New Roman" w:cs="Times New Roman"/>
          <w:color w:val="404040"/>
          <w:sz w:val="33"/>
          <w:lang w:val="en-US"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val="en-US"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val="en-US" w:eastAsia="ru-RU"/>
        </w:rPr>
        <w:t>​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val="en-US"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val="en-US"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val="en-US"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3"/>
          <w:lang w:val="en-US"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LSTM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val="en-US"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val="en-US"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(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val="en-US" w:eastAsia="ru-RU"/>
        </w:rPr>
        <w:t>X</w:t>
      </w:r>
      <w:r>
        <w:rPr>
          <w:rFonts w:ascii="Times New Roman" w:hAnsi="Times New Roman" w:eastAsia="Times New Roman" w:cs="Times New Roman"/>
          <w:color w:val="404040"/>
          <w:sz w:val="23"/>
          <w:lang w:val="en-US" w:eastAsia="ru-RU"/>
        </w:rPr>
        <w:t>history</w:t>
      </w:r>
      <w:r>
        <w:rPr>
          <w:rFonts w:ascii="Times New Roman" w:hAnsi="Times New Roman" w:eastAsia="Times New Roman" w:cs="Times New Roman"/>
          <w:color w:val="404040"/>
          <w:sz w:val="2"/>
          <w:lang w:val="en-US"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),</w:t>
      </w:r>
    </w:p>
    <w:p w14:paraId="24E6D619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где:</w:t>
      </w:r>
    </w:p>
    <w:p w14:paraId="07CCE406">
      <w:pPr>
        <w:numPr>
          <w:ilvl w:val="0"/>
          <w:numId w:val="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Xhistory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X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history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исторические данные (вибрация, температура, нагрузка).</w:t>
      </w:r>
    </w:p>
    <w:p w14:paraId="3FC8BBDB">
      <w:pPr>
        <w:numPr>
          <w:ilvl w:val="0"/>
          <w:numId w:val="4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wk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w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веса ансамбля моделей.</w:t>
      </w:r>
    </w:p>
    <w:p w14:paraId="3BE82EC0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Оценка точности (F1-мера)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3E9A423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F1=2</w:t>
      </w:r>
      <w:r>
        <w:rPr>
          <w:rFonts w:ascii="Cambria Math" w:hAnsi="Cambria Math" w:eastAsia="Times New Roman" w:cs="Cambria Math"/>
          <w:color w:val="404040"/>
          <w:sz w:val="33"/>
          <w:lang w:val="en-US"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Precision</w:t>
      </w:r>
      <w:r>
        <w:rPr>
          <w:rFonts w:ascii="Cambria Math" w:hAnsi="Cambria Math" w:eastAsia="Times New Roman" w:cs="Cambria Math"/>
          <w:color w:val="404040"/>
          <w:sz w:val="33"/>
          <w:lang w:val="en-US"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RecallPrecision+Recall,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где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 Precision=TPTP+FP,Recall=TPTP+FN.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val="en-US" w:eastAsia="ru-RU"/>
        </w:rPr>
        <w:t>F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1=2</w:t>
      </w:r>
      <w:r>
        <w:rPr>
          <w:rFonts w:ascii="Cambria Math" w:hAnsi="Cambria Math" w:eastAsia="Times New Roman" w:cs="Cambria Math"/>
          <w:color w:val="404040"/>
          <w:sz w:val="33"/>
          <w:lang w:val="en-US"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Precision+RecallPrecision</w:t>
      </w:r>
      <w:r>
        <w:rPr>
          <w:rFonts w:ascii="Cambria Math" w:hAnsi="Cambria Math" w:eastAsia="Times New Roman" w:cs="Cambria Math"/>
          <w:color w:val="404040"/>
          <w:sz w:val="33"/>
          <w:lang w:val="en-US"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Recall</w:t>
      </w:r>
      <w:r>
        <w:rPr>
          <w:rFonts w:ascii="Times New Roman" w:hAnsi="Times New Roman" w:eastAsia="Times New Roman" w:cs="Times New Roman"/>
          <w:color w:val="404040"/>
          <w:sz w:val="2"/>
          <w:lang w:val="en-US"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,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где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 Precision=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val="en-US" w:eastAsia="ru-RU"/>
        </w:rPr>
        <w:t>TP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val="en-US" w:eastAsia="ru-RU"/>
        </w:rPr>
        <w:t>FPTP</w:t>
      </w:r>
      <w:r>
        <w:rPr>
          <w:rFonts w:ascii="Times New Roman" w:hAnsi="Times New Roman" w:eastAsia="Times New Roman" w:cs="Times New Roman"/>
          <w:color w:val="404040"/>
          <w:sz w:val="2"/>
          <w:lang w:val="en-US"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,Recall=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val="en-US" w:eastAsia="ru-RU"/>
        </w:rPr>
        <w:t>TP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val="en-US" w:eastAsia="ru-RU"/>
        </w:rPr>
        <w:t>FNTP</w:t>
      </w:r>
      <w:r>
        <w:rPr>
          <w:rFonts w:ascii="Times New Roman" w:hAnsi="Times New Roman" w:eastAsia="Times New Roman" w:cs="Times New Roman"/>
          <w:color w:val="404040"/>
          <w:sz w:val="2"/>
          <w:lang w:val="en-US"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val="en-US" w:eastAsia="ru-RU"/>
        </w:rPr>
        <w:t>.</w:t>
      </w:r>
    </w:p>
    <w:p w14:paraId="70C22E17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3. Модель устойчивости блокчейн-платформы</w:t>
      </w:r>
    </w:p>
    <w:p w14:paraId="135E475D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Вероятность успешной атаки на PBFT-консенсус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6CEDB2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Pатаки=∑k=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⌈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N3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⌉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+1N(Nk)pk(1−p)N−k,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P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атаки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=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=</w:t>
      </w:r>
      <w:r>
        <w:rPr>
          <w:rFonts w:ascii="Cambria Math" w:hAnsi="Cambria Math" w:eastAsia="Times New Roman" w:cs="Cambria Math"/>
          <w:color w:val="404040"/>
          <w:sz w:val="23"/>
          <w:lang w:eastAsia="ru-RU"/>
        </w:rPr>
        <w:t>⌈</w:t>
      </w:r>
      <w:r>
        <w:rPr>
          <w:rFonts w:ascii="Times New Roman" w:hAnsi="Times New Roman" w:eastAsia="Times New Roman" w:cs="Times New Roman"/>
          <w:color w:val="404040"/>
          <w:sz w:val="16"/>
          <w:lang w:eastAsia="ru-RU"/>
        </w:rPr>
        <w:t>3</w:t>
      </w:r>
      <w:r>
        <w:rPr>
          <w:rFonts w:ascii="KaTeX_Math" w:hAnsi="KaTeX_Math" w:eastAsia="Times New Roman" w:cs="Times New Roman"/>
          <w:i/>
          <w:iCs/>
          <w:color w:val="404040"/>
          <w:sz w:val="16"/>
          <w:lang w:eastAsia="ru-RU"/>
        </w:rPr>
        <w:t>N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23"/>
          <w:lang w:eastAsia="ru-RU"/>
        </w:rPr>
        <w:t>⌉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+1</w:t>
      </w:r>
      <w:r>
        <w:rPr>
          <w:rFonts w:ascii="KaTeX_Size2" w:hAnsi="KaTeX_Size2" w:eastAsia="Times New Roman" w:cs="Times New Roman"/>
          <w:color w:val="404040"/>
          <w:sz w:val="33"/>
          <w:lang w:eastAsia="ru-RU"/>
        </w:rPr>
        <w:t>∑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N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Size3" w:hAnsi="KaTeX_Size3" w:eastAsia="Times New Roman" w:cs="Times New Roman"/>
          <w:color w:val="404040"/>
          <w:sz w:val="33"/>
          <w:lang w:eastAsia="ru-RU"/>
        </w:rPr>
        <w:t>(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kN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KaTeX_Size3" w:hAnsi="KaTeX_Size3" w:eastAsia="Times New Roman" w:cs="Times New Roman"/>
          <w:color w:val="404040"/>
          <w:sz w:val="33"/>
          <w:lang w:eastAsia="ru-RU"/>
        </w:rPr>
        <w:t>)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p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(1−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p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)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N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−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,</w:t>
      </w:r>
    </w:p>
    <w:p w14:paraId="6E9549B6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где:</w:t>
      </w:r>
    </w:p>
    <w:p w14:paraId="6139106D">
      <w:pPr>
        <w:numPr>
          <w:ilvl w:val="0"/>
          <w:numId w:val="5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N=21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N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=21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число узлов.</w:t>
      </w:r>
    </w:p>
    <w:p w14:paraId="201D6AEB">
      <w:pPr>
        <w:numPr>
          <w:ilvl w:val="0"/>
          <w:numId w:val="5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p=0.01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p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=0.01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вероятность компрометации узла.</w:t>
      </w:r>
    </w:p>
    <w:p w14:paraId="216082CA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Уравнение износа цифрового двойника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578F85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dRidt=−α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exp⁡(βTi)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ωi,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dtdR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=−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α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exp(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βT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)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⋅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ω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,</w:t>
      </w:r>
    </w:p>
    <w:p w14:paraId="0BC7797A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где:</w:t>
      </w:r>
    </w:p>
    <w:p w14:paraId="09A4D5BE">
      <w:pPr>
        <w:numPr>
          <w:ilvl w:val="0"/>
          <w:numId w:val="6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Ri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R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остаточный ресурс узла 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i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i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.</w:t>
      </w:r>
    </w:p>
    <w:p w14:paraId="712C56B7">
      <w:pPr>
        <w:numPr>
          <w:ilvl w:val="0"/>
          <w:numId w:val="6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Ti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T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температура.</w:t>
      </w:r>
    </w:p>
    <w:p w14:paraId="0ACE25FB">
      <w:pPr>
        <w:numPr>
          <w:ilvl w:val="0"/>
          <w:numId w:val="6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ωi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ω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i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нагрузка.</w:t>
      </w:r>
    </w:p>
    <w:p w14:paraId="21B7BF4A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4. Организационно-экономические модели</w:t>
      </w:r>
    </w:p>
    <w:p w14:paraId="27414BC9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Расчет ROI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528D2F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ROI=Годовая экономияЗатраты на разработку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100%,Годовая экономия=Cбаз−Cопт.ROI=Затраты на разработкуГодовая экономия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100%,Годовая экономия=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C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баз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−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C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опт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.</w:t>
      </w:r>
    </w:p>
    <w:p w14:paraId="0BCB076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Управление запасами (уравнение Беллмана)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6C4AF9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V(Q,t)=min⁡u{C(Q,u)+γ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⋅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E[V(Q+u−D,t+1)]},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V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(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Q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t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)=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u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min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{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C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(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Q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u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)+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γ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⋅</w:t>
      </w:r>
      <w:r>
        <w:rPr>
          <w:rFonts w:ascii="KaTeX_AMS" w:hAnsi="KaTeX_AMS" w:eastAsia="Times New Roman" w:cs="Times New Roman"/>
          <w:color w:val="404040"/>
          <w:sz w:val="33"/>
          <w:lang w:eastAsia="ru-RU"/>
        </w:rPr>
        <w:t>E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[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V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(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Q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+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u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−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t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+1)]},</w:t>
      </w:r>
    </w:p>
    <w:p w14:paraId="678AAC47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где:</w:t>
      </w:r>
    </w:p>
    <w:p w14:paraId="49F44BF3">
      <w:pPr>
        <w:numPr>
          <w:ilvl w:val="0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Q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Q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уровень запасов.</w:t>
      </w:r>
    </w:p>
    <w:p w14:paraId="3FAE5DD2">
      <w:pPr>
        <w:numPr>
          <w:ilvl w:val="0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D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D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спрос (пуассоновский процесс).</w:t>
      </w:r>
    </w:p>
    <w:p w14:paraId="0B15968D">
      <w:pPr>
        <w:numPr>
          <w:ilvl w:val="0"/>
          <w:numId w:val="7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γ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γ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 коэффициент дисконтирования.</w:t>
      </w:r>
    </w:p>
    <w:p w14:paraId="2CBC8B94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5. Критерии связности графов</w:t>
      </w:r>
    </w:p>
    <w:p w14:paraId="13D76397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Условие корректности системы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:</w:t>
      </w:r>
    </w:p>
    <w:p w14:paraId="4C86A8C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∀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Rk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∈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R,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∃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 путь в двудольном графе G=(P′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∪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T′,E),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∀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R</w:t>
      </w:r>
      <w:r>
        <w:rPr>
          <w:rFonts w:ascii="KaTeX_Math" w:hAnsi="KaTeX_Math" w:eastAsia="Times New Roman" w:cs="Times New Roman"/>
          <w:i/>
          <w:iCs/>
          <w:color w:val="404040"/>
          <w:sz w:val="23"/>
          <w:lang w:eastAsia="ru-RU"/>
        </w:rPr>
        <w:t>k</w:t>
      </w:r>
      <w:r>
        <w:rPr>
          <w:rFonts w:ascii="Times New Roman" w:hAnsi="Times New Roman" w:eastAsia="Times New Roman" w:cs="Times New Roman"/>
          <w:color w:val="404040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∈</w:t>
      </w:r>
      <w:r>
        <w:rPr>
          <w:rFonts w:ascii="KaTeX_Main" w:hAnsi="KaTeX_Main" w:eastAsia="Times New Roman" w:cs="Times New Roman"/>
          <w:b/>
          <w:bCs/>
          <w:color w:val="404040"/>
          <w:sz w:val="33"/>
          <w:lang w:eastAsia="ru-RU"/>
        </w:rPr>
        <w:t>R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,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∃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 путь в двудольном графе 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G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=(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P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′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∪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T</w:t>
      </w:r>
      <w:r>
        <w:rPr>
          <w:rFonts w:ascii="Times New Roman" w:hAnsi="Times New Roman" w:eastAsia="Times New Roman" w:cs="Times New Roman"/>
          <w:color w:val="404040"/>
          <w:sz w:val="23"/>
          <w:lang w:eastAsia="ru-RU"/>
        </w:rPr>
        <w:t>′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,</w:t>
      </w:r>
      <w:r>
        <w:rPr>
          <w:rFonts w:ascii="KaTeX_Math" w:hAnsi="KaTeX_Math" w:eastAsia="Times New Roman" w:cs="Times New Roman"/>
          <w:i/>
          <w:iCs/>
          <w:color w:val="404040"/>
          <w:sz w:val="33"/>
          <w:lang w:eastAsia="ru-RU"/>
        </w:rPr>
        <w:t>E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),</w:t>
      </w:r>
    </w:p>
    <w:p w14:paraId="27F2AEAD">
      <w:pPr>
        <w:spacing w:before="100" w:beforeAutospacing="1"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где </w:t>
      </w:r>
      <w:r>
        <w:rPr>
          <w:rFonts w:ascii="KaTeX_Main" w:hAnsi="KaTeX_Main" w:eastAsia="Times New Roman" w:cs="Segoe UI"/>
          <w:color w:val="404040"/>
          <w:sz w:val="33"/>
          <w:lang w:eastAsia="ru-RU"/>
        </w:rPr>
        <w:t>P′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⊆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P</w:t>
      </w:r>
      <w:r>
        <w:rPr>
          <w:rFonts w:ascii="KaTeX_Math" w:hAnsi="KaTeX_Math" w:eastAsia="Times New Roman" w:cs="Segoe UI"/>
          <w:i/>
          <w:iCs/>
          <w:color w:val="404040"/>
          <w:sz w:val="33"/>
          <w:lang w:eastAsia="ru-RU"/>
        </w:rPr>
        <w:t>P</w:t>
      </w:r>
      <w:r>
        <w:rPr>
          <w:rFonts w:ascii="KaTeX_Main" w:hAnsi="KaTeX_Main" w:eastAsia="Times New Roman" w:cs="Segoe UI"/>
          <w:color w:val="404040"/>
          <w:sz w:val="23"/>
          <w:lang w:eastAsia="ru-RU"/>
        </w:rPr>
        <w:t>′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⊆</w:t>
      </w:r>
      <w:r>
        <w:rPr>
          <w:rFonts w:ascii="KaTeX_Math" w:hAnsi="KaTeX_Math" w:eastAsia="Times New Roman" w:cs="Segoe UI"/>
          <w:i/>
          <w:iCs/>
          <w:color w:val="404040"/>
          <w:sz w:val="33"/>
          <w:lang w:eastAsia="ru-RU"/>
        </w:rPr>
        <w:t>P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, </w:t>
      </w:r>
      <w:r>
        <w:rPr>
          <w:rFonts w:ascii="KaTeX_Main" w:hAnsi="KaTeX_Main" w:eastAsia="Times New Roman" w:cs="Segoe UI"/>
          <w:color w:val="404040"/>
          <w:sz w:val="33"/>
          <w:lang w:eastAsia="ru-RU"/>
        </w:rPr>
        <w:t>T′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⊆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T</w:t>
      </w:r>
      <w:r>
        <w:rPr>
          <w:rFonts w:ascii="KaTeX_Math" w:hAnsi="KaTeX_Math" w:eastAsia="Times New Roman" w:cs="Segoe UI"/>
          <w:i/>
          <w:iCs/>
          <w:color w:val="404040"/>
          <w:sz w:val="33"/>
          <w:lang w:eastAsia="ru-RU"/>
        </w:rPr>
        <w:t>T</w:t>
      </w:r>
      <w:r>
        <w:rPr>
          <w:rFonts w:ascii="KaTeX_Main" w:hAnsi="KaTeX_Main" w:eastAsia="Times New Roman" w:cs="Segoe UI"/>
          <w:color w:val="404040"/>
          <w:sz w:val="23"/>
          <w:lang w:eastAsia="ru-RU"/>
        </w:rPr>
        <w:t>′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⊆</w:t>
      </w:r>
      <w:r>
        <w:rPr>
          <w:rFonts w:ascii="KaTeX_Math" w:hAnsi="KaTeX_Math" w:eastAsia="Times New Roman" w:cs="Segoe UI"/>
          <w:i/>
          <w:iCs/>
          <w:color w:val="404040"/>
          <w:sz w:val="33"/>
          <w:lang w:eastAsia="ru-RU"/>
        </w:rPr>
        <w:t>T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, </w:t>
      </w:r>
      <w:r>
        <w:rPr>
          <w:rFonts w:ascii="KaTeX_Main" w:hAnsi="KaTeX_Main" w:eastAsia="Times New Roman" w:cs="Segoe UI"/>
          <w:color w:val="404040"/>
          <w:sz w:val="33"/>
          <w:lang w:eastAsia="ru-RU"/>
        </w:rPr>
        <w:t>E={(Pi,Tj)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∣</w:t>
      </w:r>
      <w:r>
        <w:rPr>
          <w:rFonts w:ascii="Times New Roman" w:hAnsi="Times New Roman" w:eastAsia="Times New Roman" w:cs="Times New Roman"/>
          <w:color w:val="404040"/>
          <w:sz w:val="33"/>
          <w:lang w:eastAsia="ru-RU"/>
        </w:rPr>
        <w:t>Cij=</w:t>
      </w:r>
      <w:r>
        <w:rPr>
          <w:rFonts w:ascii="KaTeX_Main" w:hAnsi="KaTeX_Main" w:eastAsia="Times New Roman" w:cs="Segoe UI"/>
          <w:color w:val="404040"/>
          <w:sz w:val="33"/>
          <w:lang w:eastAsia="ru-RU"/>
        </w:rPr>
        <w:t>1}</w:t>
      </w:r>
      <w:r>
        <w:rPr>
          <w:rFonts w:ascii="KaTeX_Math" w:hAnsi="KaTeX_Math" w:eastAsia="Times New Roman" w:cs="Segoe UI"/>
          <w:i/>
          <w:iCs/>
          <w:color w:val="404040"/>
          <w:sz w:val="33"/>
          <w:lang w:eastAsia="ru-RU"/>
        </w:rPr>
        <w:t>E</w:t>
      </w:r>
      <w:r>
        <w:rPr>
          <w:rFonts w:ascii="KaTeX_Main" w:hAnsi="KaTeX_Main" w:eastAsia="Times New Roman" w:cs="Segoe UI"/>
          <w:color w:val="404040"/>
          <w:sz w:val="33"/>
          <w:lang w:eastAsia="ru-RU"/>
        </w:rPr>
        <w:t>={(</w:t>
      </w:r>
      <w:r>
        <w:rPr>
          <w:rFonts w:ascii="KaTeX_Math" w:hAnsi="KaTeX_Math" w:eastAsia="Times New Roman" w:cs="Segoe UI"/>
          <w:i/>
          <w:iCs/>
          <w:color w:val="404040"/>
          <w:sz w:val="33"/>
          <w:lang w:eastAsia="ru-RU"/>
        </w:rPr>
        <w:t>P</w:t>
      </w:r>
      <w:r>
        <w:rPr>
          <w:rFonts w:ascii="KaTeX_Math" w:hAnsi="KaTeX_Math" w:eastAsia="Times New Roman" w:cs="Segoe UI"/>
          <w:i/>
          <w:iCs/>
          <w:color w:val="404040"/>
          <w:sz w:val="23"/>
          <w:lang w:eastAsia="ru-RU"/>
        </w:rPr>
        <w:t>i</w:t>
      </w:r>
      <w:r>
        <w:rPr>
          <w:rFonts w:ascii="KaTeX_Main" w:hAnsi="KaTeX_Main" w:eastAsia="Times New Roman" w:cs="Segoe UI"/>
          <w:color w:val="404040"/>
          <w:sz w:val="2"/>
          <w:lang w:eastAsia="ru-RU"/>
        </w:rPr>
        <w:t>​</w:t>
      </w:r>
      <w:r>
        <w:rPr>
          <w:rFonts w:ascii="KaTeX_Main" w:hAnsi="KaTeX_Main" w:eastAsia="Times New Roman" w:cs="Segoe UI"/>
          <w:color w:val="404040"/>
          <w:sz w:val="33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color w:val="404040"/>
          <w:sz w:val="33"/>
          <w:lang w:eastAsia="ru-RU"/>
        </w:rPr>
        <w:t>T</w:t>
      </w:r>
      <w:r>
        <w:rPr>
          <w:rFonts w:ascii="KaTeX_Math" w:hAnsi="KaTeX_Math" w:eastAsia="Times New Roman" w:cs="Segoe UI"/>
          <w:i/>
          <w:iCs/>
          <w:color w:val="404040"/>
          <w:sz w:val="23"/>
          <w:lang w:eastAsia="ru-RU"/>
        </w:rPr>
        <w:t>j</w:t>
      </w:r>
      <w:r>
        <w:rPr>
          <w:rFonts w:ascii="KaTeX_Main" w:hAnsi="KaTeX_Main" w:eastAsia="Times New Roman" w:cs="Segoe UI"/>
          <w:color w:val="404040"/>
          <w:sz w:val="2"/>
          <w:lang w:eastAsia="ru-RU"/>
        </w:rPr>
        <w:t>​</w:t>
      </w:r>
      <w:r>
        <w:rPr>
          <w:rFonts w:ascii="KaTeX_Main" w:hAnsi="KaTeX_Main" w:eastAsia="Times New Roman" w:cs="Segoe UI"/>
          <w:color w:val="404040"/>
          <w:sz w:val="33"/>
          <w:lang w:eastAsia="ru-RU"/>
        </w:rPr>
        <w:t>)</w:t>
      </w:r>
      <w:r>
        <w:rPr>
          <w:rFonts w:ascii="Cambria Math" w:hAnsi="Cambria Math" w:eastAsia="Times New Roman" w:cs="Cambria Math"/>
          <w:color w:val="404040"/>
          <w:sz w:val="33"/>
          <w:lang w:eastAsia="ru-RU"/>
        </w:rPr>
        <w:t>∣</w:t>
      </w:r>
      <w:r>
        <w:rPr>
          <w:rFonts w:ascii="KaTeX_Math" w:hAnsi="KaTeX_Math" w:eastAsia="Times New Roman" w:cs="Segoe UI"/>
          <w:i/>
          <w:iCs/>
          <w:color w:val="404040"/>
          <w:sz w:val="33"/>
          <w:lang w:eastAsia="ru-RU"/>
        </w:rPr>
        <w:t>C</w:t>
      </w:r>
      <w:r>
        <w:rPr>
          <w:rFonts w:ascii="KaTeX_Math" w:hAnsi="KaTeX_Math" w:eastAsia="Times New Roman" w:cs="Segoe UI"/>
          <w:i/>
          <w:iCs/>
          <w:color w:val="404040"/>
          <w:sz w:val="23"/>
          <w:lang w:eastAsia="ru-RU"/>
        </w:rPr>
        <w:t>ij</w:t>
      </w:r>
      <w:r>
        <w:rPr>
          <w:rFonts w:ascii="KaTeX_Main" w:hAnsi="KaTeX_Main" w:eastAsia="Times New Roman" w:cs="Segoe UI"/>
          <w:color w:val="404040"/>
          <w:sz w:val="2"/>
          <w:lang w:eastAsia="ru-RU"/>
        </w:rPr>
        <w:t>​</w:t>
      </w:r>
      <w:r>
        <w:rPr>
          <w:rFonts w:ascii="KaTeX_Main" w:hAnsi="KaTeX_Main" w:eastAsia="Times New Roman" w:cs="Segoe UI"/>
          <w:color w:val="404040"/>
          <w:sz w:val="33"/>
          <w:lang w:eastAsia="ru-RU"/>
        </w:rPr>
        <w:t>=1}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.</w:t>
      </w:r>
    </w:p>
    <w:p w14:paraId="712D5516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</w:pPr>
      <w:bookmarkStart w:id="0" w:name="_GoBack"/>
      <w:bookmarkEnd w:id="0"/>
      <w:r>
        <w:rPr>
          <w:rFonts w:ascii="Segoe UI" w:hAnsi="Segoe UI" w:eastAsia="Times New Roman" w:cs="Segoe UI"/>
          <w:b/>
          <w:bCs/>
          <w:color w:val="404040"/>
          <w:sz w:val="27"/>
          <w:szCs w:val="27"/>
          <w:lang w:eastAsia="ru-RU"/>
        </w:rPr>
        <w:t>Взаимосвязь компонентов</w:t>
      </w:r>
    </w:p>
    <w:p w14:paraId="407E882C">
      <w:pPr>
        <w:numPr>
          <w:ilvl w:val="0"/>
          <w:numId w:val="8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ILP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определяет оптимальный набор </w:t>
      </w:r>
      <w:r>
        <w:rPr>
          <w:rFonts w:ascii="KaTeX_Main" w:hAnsi="KaTeX_Main" w:eastAsia="Times New Roman" w:cs="Segoe UI"/>
          <w:color w:val="404040"/>
          <w:sz w:val="33"/>
          <w:lang w:eastAsia="ru-RU"/>
        </w:rPr>
        <w:t>(xi,yj)(</w:t>
      </w:r>
      <w:r>
        <w:rPr>
          <w:rFonts w:ascii="KaTeX_Math" w:hAnsi="KaTeX_Math" w:eastAsia="Times New Roman" w:cs="Segoe UI"/>
          <w:i/>
          <w:iCs/>
          <w:color w:val="404040"/>
          <w:sz w:val="33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color w:val="404040"/>
          <w:sz w:val="23"/>
          <w:lang w:eastAsia="ru-RU"/>
        </w:rPr>
        <w:t>i</w:t>
      </w:r>
      <w:r>
        <w:rPr>
          <w:rFonts w:ascii="KaTeX_Main" w:hAnsi="KaTeX_Main" w:eastAsia="Times New Roman" w:cs="Segoe UI"/>
          <w:color w:val="404040"/>
          <w:sz w:val="2"/>
          <w:lang w:eastAsia="ru-RU"/>
        </w:rPr>
        <w:t>​</w:t>
      </w:r>
      <w:r>
        <w:rPr>
          <w:rFonts w:ascii="KaTeX_Main" w:hAnsi="KaTeX_Main" w:eastAsia="Times New Roman" w:cs="Segoe UI"/>
          <w:color w:val="404040"/>
          <w:sz w:val="33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color w:val="404040"/>
          <w:sz w:val="33"/>
          <w:lang w:eastAsia="ru-RU"/>
        </w:rPr>
        <w:t>y</w:t>
      </w:r>
      <w:r>
        <w:rPr>
          <w:rFonts w:ascii="KaTeX_Math" w:hAnsi="KaTeX_Math" w:eastAsia="Times New Roman" w:cs="Segoe UI"/>
          <w:i/>
          <w:iCs/>
          <w:color w:val="404040"/>
          <w:sz w:val="23"/>
          <w:lang w:eastAsia="ru-RU"/>
        </w:rPr>
        <w:t>j</w:t>
      </w:r>
      <w:r>
        <w:rPr>
          <w:rFonts w:ascii="KaTeX_Main" w:hAnsi="KaTeX_Main" w:eastAsia="Times New Roman" w:cs="Segoe UI"/>
          <w:color w:val="404040"/>
          <w:sz w:val="2"/>
          <w:lang w:eastAsia="ru-RU"/>
        </w:rPr>
        <w:t>​</w:t>
      </w:r>
      <w:r>
        <w:rPr>
          <w:rFonts w:ascii="KaTeX_Main" w:hAnsi="KaTeX_Main" w:eastAsia="Times New Roman" w:cs="Segoe UI"/>
          <w:color w:val="404040"/>
          <w:sz w:val="33"/>
          <w:lang w:eastAsia="ru-RU"/>
        </w:rPr>
        <w:t>)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.</w:t>
      </w:r>
    </w:p>
    <w:p w14:paraId="0472DD9F">
      <w:pPr>
        <w:numPr>
          <w:ilvl w:val="0"/>
          <w:numId w:val="8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LSTM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прогнозирует отказы, обновляя параметры </w:t>
      </w:r>
      <w:r>
        <w:rPr>
          <w:rFonts w:ascii="KaTeX_Main" w:hAnsi="KaTeX_Main" w:eastAsia="Times New Roman" w:cs="Segoe UI"/>
          <w:color w:val="404040"/>
          <w:sz w:val="33"/>
          <w:lang w:eastAsia="ru-RU"/>
        </w:rPr>
        <w:t>Ri</w:t>
      </w:r>
      <w:r>
        <w:rPr>
          <w:rFonts w:ascii="KaTeX_Math" w:hAnsi="KaTeX_Math" w:eastAsia="Times New Roman" w:cs="Segoe UI"/>
          <w:i/>
          <w:iCs/>
          <w:color w:val="404040"/>
          <w:sz w:val="33"/>
          <w:lang w:eastAsia="ru-RU"/>
        </w:rPr>
        <w:t>R</w:t>
      </w:r>
      <w:r>
        <w:rPr>
          <w:rFonts w:ascii="KaTeX_Math" w:hAnsi="KaTeX_Math" w:eastAsia="Times New Roman" w:cs="Segoe UI"/>
          <w:i/>
          <w:iCs/>
          <w:color w:val="404040"/>
          <w:sz w:val="23"/>
          <w:lang w:eastAsia="ru-RU"/>
        </w:rPr>
        <w:t>i</w:t>
      </w:r>
      <w:r>
        <w:rPr>
          <w:rFonts w:ascii="KaTeX_Main" w:hAnsi="KaTeX_Main" w:eastAsia="Times New Roman" w:cs="Segoe UI"/>
          <w:color w:val="404040"/>
          <w:sz w:val="2"/>
          <w:lang w:eastAsia="ru-RU"/>
        </w:rPr>
        <w:t>​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в цифровых двойниках.</w:t>
      </w:r>
    </w:p>
    <w:p w14:paraId="10136800">
      <w:pPr>
        <w:numPr>
          <w:ilvl w:val="0"/>
          <w:numId w:val="8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Блокчейн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гарантирует безопасность данных, используя PBFT и уравнения вероятности атак.</w:t>
      </w:r>
    </w:p>
    <w:p w14:paraId="1996CE39">
      <w:pPr>
        <w:numPr>
          <w:ilvl w:val="0"/>
          <w:numId w:val="8"/>
        </w:numPr>
        <w:spacing w:after="100" w:afterAutospacing="1" w:line="240" w:lineRule="auto"/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404040"/>
          <w:sz w:val="27"/>
          <w:lang w:eastAsia="ru-RU"/>
        </w:rPr>
        <w:t>Организационные модели</w:t>
      </w:r>
      <w:r>
        <w:rPr>
          <w:rFonts w:ascii="Segoe UI" w:hAnsi="Segoe UI" w:eastAsia="Times New Roman" w:cs="Segoe UI"/>
          <w:color w:val="404040"/>
          <w:sz w:val="27"/>
          <w:szCs w:val="27"/>
          <w:lang w:eastAsia="ru-RU"/>
        </w:rPr>
        <w:t> обеспечивают лицензирование и ROI.</w:t>
      </w:r>
    </w:p>
    <w:p w14:paraId="03B32F01">
      <w:pPr>
        <w:pStyle w:val="6"/>
        <w:rPr>
          <w:rFonts w:ascii="Segoe UI" w:hAnsi="Segoe UI" w:cs="Segoe UI"/>
          <w:color w:val="404040"/>
          <w:sz w:val="27"/>
          <w:szCs w:val="27"/>
        </w:rPr>
      </w:pPr>
      <w:r>
        <w:rPr>
          <w:rStyle w:val="5"/>
          <w:rFonts w:ascii="Segoe UI" w:hAnsi="Segoe UI" w:cs="Segoe UI"/>
          <w:color w:val="404040"/>
          <w:sz w:val="27"/>
          <w:szCs w:val="27"/>
        </w:rPr>
        <w:t>Итог</w:t>
      </w:r>
      <w:r>
        <w:rPr>
          <w:rFonts w:ascii="Segoe UI" w:hAnsi="Segoe UI" w:cs="Segoe UI"/>
          <w:color w:val="404040"/>
          <w:sz w:val="27"/>
          <w:szCs w:val="27"/>
        </w:rPr>
        <w:t>:</w:t>
      </w:r>
      <w:r>
        <w:rPr>
          <w:rFonts w:ascii="Segoe UI" w:hAnsi="Segoe UI" w:cs="Segoe UI"/>
          <w:color w:val="404040"/>
          <w:sz w:val="27"/>
          <w:szCs w:val="27"/>
        </w:rPr>
        <w:br w:type="textWrapping"/>
      </w:r>
      <w:r>
        <w:rPr>
          <w:rFonts w:ascii="Segoe UI" w:hAnsi="Segoe UI" w:cs="Segoe UI"/>
          <w:color w:val="404040"/>
          <w:sz w:val="27"/>
          <w:szCs w:val="27"/>
        </w:rPr>
        <w:t>Единый аппарат формализует проектирование управляющих систем через:</w:t>
      </w:r>
    </w:p>
    <w:p w14:paraId="61A218C9">
      <w:pPr>
        <w:pStyle w:val="6"/>
        <w:numPr>
          <w:ilvl w:val="0"/>
          <w:numId w:val="9"/>
        </w:numPr>
        <w:spacing w:before="0" w:beforeAutospacing="0"/>
        <w:rPr>
          <w:rFonts w:ascii="Segoe UI" w:hAnsi="Segoe UI" w:cs="Segoe UI"/>
          <w:color w:val="404040"/>
          <w:sz w:val="27"/>
          <w:szCs w:val="27"/>
        </w:rPr>
      </w:pPr>
      <w:r>
        <w:rPr>
          <w:rFonts w:ascii="Segoe UI" w:hAnsi="Segoe UI" w:cs="Segoe UI"/>
          <w:color w:val="404040"/>
          <w:sz w:val="27"/>
          <w:szCs w:val="27"/>
        </w:rPr>
        <w:t>Оптимизацию (ILP).</w:t>
      </w:r>
    </w:p>
    <w:p w14:paraId="4BF92BCB">
      <w:pPr>
        <w:pStyle w:val="6"/>
        <w:numPr>
          <w:ilvl w:val="0"/>
          <w:numId w:val="9"/>
        </w:numPr>
        <w:spacing w:before="0" w:beforeAutospacing="0"/>
        <w:rPr>
          <w:rFonts w:ascii="Segoe UI" w:hAnsi="Segoe UI" w:cs="Segoe UI"/>
          <w:color w:val="404040"/>
          <w:sz w:val="27"/>
          <w:szCs w:val="27"/>
        </w:rPr>
      </w:pPr>
      <w:r>
        <w:rPr>
          <w:rFonts w:ascii="Segoe UI" w:hAnsi="Segoe UI" w:cs="Segoe UI"/>
          <w:color w:val="404040"/>
          <w:sz w:val="27"/>
          <w:szCs w:val="27"/>
        </w:rPr>
        <w:t>Прогнозирование (LSTM).</w:t>
      </w:r>
    </w:p>
    <w:p w14:paraId="545FB51C">
      <w:pPr>
        <w:pStyle w:val="6"/>
        <w:numPr>
          <w:ilvl w:val="0"/>
          <w:numId w:val="9"/>
        </w:numPr>
        <w:spacing w:before="0" w:beforeAutospacing="0"/>
        <w:rPr>
          <w:rFonts w:ascii="Segoe UI" w:hAnsi="Segoe UI" w:cs="Segoe UI"/>
          <w:color w:val="404040"/>
          <w:sz w:val="27"/>
          <w:szCs w:val="27"/>
        </w:rPr>
      </w:pPr>
      <w:r>
        <w:rPr>
          <w:rFonts w:ascii="Segoe UI" w:hAnsi="Segoe UI" w:cs="Segoe UI"/>
          <w:color w:val="404040"/>
          <w:sz w:val="27"/>
          <w:szCs w:val="27"/>
        </w:rPr>
        <w:t>Защиту (блокчейн).</w:t>
      </w:r>
    </w:p>
    <w:p w14:paraId="70E4A96D">
      <w:pPr>
        <w:pStyle w:val="6"/>
        <w:numPr>
          <w:ilvl w:val="0"/>
          <w:numId w:val="9"/>
        </w:numPr>
        <w:spacing w:before="0" w:beforeAutospacing="0"/>
        <w:rPr>
          <w:rFonts w:ascii="Segoe UI" w:hAnsi="Segoe UI" w:cs="Segoe UI"/>
          <w:color w:val="404040"/>
          <w:sz w:val="27"/>
          <w:szCs w:val="27"/>
        </w:rPr>
      </w:pPr>
      <w:r>
        <w:rPr>
          <w:rFonts w:ascii="Segoe UI" w:hAnsi="Segoe UI" w:cs="Segoe UI"/>
          <w:color w:val="404040"/>
          <w:sz w:val="27"/>
          <w:szCs w:val="27"/>
        </w:rPr>
        <w:t>Экономику (ROI, уравнения Беллмана).</w:t>
      </w:r>
      <w:r>
        <w:rPr>
          <w:rFonts w:ascii="Segoe UI" w:hAnsi="Segoe UI" w:cs="Segoe UI"/>
          <w:color w:val="404040"/>
          <w:sz w:val="27"/>
          <w:szCs w:val="27"/>
        </w:rPr>
        <w:br w:type="textWrapping"/>
      </w:r>
      <w:r>
        <w:rPr>
          <w:rFonts w:ascii="Segoe UI" w:hAnsi="Segoe UI" w:cs="Segoe UI"/>
          <w:color w:val="404040"/>
          <w:sz w:val="27"/>
          <w:szCs w:val="27"/>
        </w:rPr>
        <w:t>Все компоненты связаны через общие переменные (</w:t>
      </w:r>
      <w:r>
        <w:rPr>
          <w:rStyle w:val="8"/>
          <w:rFonts w:ascii="KaTeX_Main" w:hAnsi="KaTeX_Main" w:cs="Segoe UI"/>
          <w:color w:val="404040"/>
          <w:sz w:val="33"/>
          <w:szCs w:val="33"/>
        </w:rPr>
        <w:t>xi,yj,Ri</w:t>
      </w:r>
      <w:r>
        <w:rPr>
          <w:rStyle w:val="9"/>
          <w:rFonts w:ascii="KaTeX_Math" w:hAnsi="KaTeX_Math" w:cs="Segoe UI"/>
          <w:i/>
          <w:iCs/>
          <w:color w:val="404040"/>
          <w:sz w:val="33"/>
          <w:szCs w:val="33"/>
        </w:rPr>
        <w:t>x</w:t>
      </w:r>
      <w:r>
        <w:rPr>
          <w:rStyle w:val="9"/>
          <w:rFonts w:ascii="KaTeX_Math" w:hAnsi="KaTeX_Math" w:cs="Segoe UI"/>
          <w:i/>
          <w:iCs/>
          <w:color w:val="404040"/>
          <w:sz w:val="23"/>
          <w:szCs w:val="23"/>
        </w:rPr>
        <w:t>i</w:t>
      </w:r>
      <w:r>
        <w:rPr>
          <w:rStyle w:val="10"/>
          <w:rFonts w:ascii="KaTeX_Main" w:hAnsi="KaTeX_Main" w:cs="Segoe UI"/>
          <w:color w:val="404040"/>
          <w:sz w:val="2"/>
          <w:szCs w:val="2"/>
        </w:rPr>
        <w:t>​</w:t>
      </w:r>
      <w:r>
        <w:rPr>
          <w:rStyle w:val="13"/>
          <w:rFonts w:ascii="KaTeX_Main" w:hAnsi="KaTeX_Main" w:cs="Segoe UI"/>
          <w:color w:val="404040"/>
          <w:sz w:val="33"/>
          <w:szCs w:val="33"/>
        </w:rPr>
        <w:t>,</w:t>
      </w:r>
      <w:r>
        <w:rPr>
          <w:rStyle w:val="9"/>
          <w:rFonts w:ascii="KaTeX_Math" w:hAnsi="KaTeX_Math" w:cs="Segoe UI"/>
          <w:i/>
          <w:iCs/>
          <w:color w:val="404040"/>
          <w:sz w:val="33"/>
          <w:szCs w:val="33"/>
        </w:rPr>
        <w:t>y</w:t>
      </w:r>
      <w:r>
        <w:rPr>
          <w:rStyle w:val="9"/>
          <w:rFonts w:ascii="KaTeX_Math" w:hAnsi="KaTeX_Math" w:cs="Segoe UI"/>
          <w:i/>
          <w:iCs/>
          <w:color w:val="404040"/>
          <w:sz w:val="23"/>
          <w:szCs w:val="23"/>
        </w:rPr>
        <w:t>j</w:t>
      </w:r>
      <w:r>
        <w:rPr>
          <w:rStyle w:val="10"/>
          <w:rFonts w:ascii="KaTeX_Main" w:hAnsi="KaTeX_Main" w:cs="Segoe UI"/>
          <w:color w:val="404040"/>
          <w:sz w:val="2"/>
          <w:szCs w:val="2"/>
        </w:rPr>
        <w:t>​</w:t>
      </w:r>
      <w:r>
        <w:rPr>
          <w:rStyle w:val="13"/>
          <w:rFonts w:ascii="KaTeX_Main" w:hAnsi="KaTeX_Main" w:cs="Segoe UI"/>
          <w:color w:val="404040"/>
          <w:sz w:val="33"/>
          <w:szCs w:val="33"/>
        </w:rPr>
        <w:t>,</w:t>
      </w:r>
      <w:r>
        <w:rPr>
          <w:rStyle w:val="9"/>
          <w:rFonts w:ascii="KaTeX_Math" w:hAnsi="KaTeX_Math" w:cs="Segoe UI"/>
          <w:i/>
          <w:iCs/>
          <w:color w:val="404040"/>
          <w:sz w:val="33"/>
          <w:szCs w:val="33"/>
        </w:rPr>
        <w:t>R</w:t>
      </w:r>
      <w:r>
        <w:rPr>
          <w:rStyle w:val="9"/>
          <w:rFonts w:ascii="KaTeX_Math" w:hAnsi="KaTeX_Math" w:cs="Segoe UI"/>
          <w:i/>
          <w:iCs/>
          <w:color w:val="404040"/>
          <w:sz w:val="23"/>
          <w:szCs w:val="23"/>
        </w:rPr>
        <w:t>i</w:t>
      </w:r>
      <w:r>
        <w:rPr>
          <w:rStyle w:val="10"/>
          <w:rFonts w:ascii="KaTeX_Main" w:hAnsi="KaTeX_Main" w:cs="Segoe UI"/>
          <w:color w:val="404040"/>
          <w:sz w:val="2"/>
          <w:szCs w:val="2"/>
        </w:rPr>
        <w:t>​</w:t>
      </w:r>
      <w:r>
        <w:rPr>
          <w:rFonts w:ascii="Segoe UI" w:hAnsi="Segoe UI" w:cs="Segoe UI"/>
          <w:color w:val="404040"/>
          <w:sz w:val="27"/>
          <w:szCs w:val="27"/>
        </w:rPr>
        <w:t>) и критерии эффективности.</w:t>
      </w:r>
    </w:p>
    <w:p w14:paraId="2839AA9A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KaTeX_Math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Size4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Size3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AM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Mai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63A73"/>
    <w:multiLevelType w:val="multilevel"/>
    <w:tmpl w:val="12E63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842574C"/>
    <w:multiLevelType w:val="multilevel"/>
    <w:tmpl w:val="184257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84F5D88"/>
    <w:multiLevelType w:val="multilevel"/>
    <w:tmpl w:val="384F5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DBA488B"/>
    <w:multiLevelType w:val="multilevel"/>
    <w:tmpl w:val="3DBA4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0F0798C"/>
    <w:multiLevelType w:val="multilevel"/>
    <w:tmpl w:val="40F079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3A1733A"/>
    <w:multiLevelType w:val="multilevel"/>
    <w:tmpl w:val="63A17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B8F1E1F"/>
    <w:multiLevelType w:val="multilevel"/>
    <w:tmpl w:val="6B8F1E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C7438E3"/>
    <w:multiLevelType w:val="multilevel"/>
    <w:tmpl w:val="7C743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D8B218E"/>
    <w:multiLevelType w:val="multilevel"/>
    <w:tmpl w:val="7D8B21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8452F"/>
    <w:rsid w:val="0008452F"/>
    <w:rsid w:val="00674062"/>
    <w:rsid w:val="00871603"/>
    <w:rsid w:val="009419C6"/>
    <w:rsid w:val="00A76DEB"/>
    <w:rsid w:val="00F77696"/>
    <w:rsid w:val="1C1E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7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7">
    <w:name w:val="Заголовок 3 Знак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8">
    <w:name w:val="katex-mathml"/>
    <w:basedOn w:val="3"/>
    <w:qFormat/>
    <w:uiPriority w:val="0"/>
  </w:style>
  <w:style w:type="character" w:customStyle="1" w:styleId="9">
    <w:name w:val="mord"/>
    <w:basedOn w:val="3"/>
    <w:qFormat/>
    <w:uiPriority w:val="0"/>
  </w:style>
  <w:style w:type="character" w:customStyle="1" w:styleId="10">
    <w:name w:val="vlist-s"/>
    <w:basedOn w:val="3"/>
    <w:uiPriority w:val="0"/>
  </w:style>
  <w:style w:type="character" w:customStyle="1" w:styleId="11">
    <w:name w:val="mrel"/>
    <w:basedOn w:val="3"/>
    <w:uiPriority w:val="0"/>
  </w:style>
  <w:style w:type="character" w:customStyle="1" w:styleId="12">
    <w:name w:val="mopen"/>
    <w:basedOn w:val="3"/>
    <w:uiPriority w:val="0"/>
  </w:style>
  <w:style w:type="character" w:customStyle="1" w:styleId="13">
    <w:name w:val="mpunct"/>
    <w:basedOn w:val="3"/>
    <w:uiPriority w:val="0"/>
  </w:style>
  <w:style w:type="character" w:customStyle="1" w:styleId="14">
    <w:name w:val="mclose"/>
    <w:basedOn w:val="3"/>
    <w:uiPriority w:val="0"/>
  </w:style>
  <w:style w:type="character" w:customStyle="1" w:styleId="15">
    <w:name w:val="mop"/>
    <w:basedOn w:val="3"/>
    <w:uiPriority w:val="0"/>
  </w:style>
  <w:style w:type="character" w:customStyle="1" w:styleId="16">
    <w:name w:val="minner"/>
    <w:basedOn w:val="3"/>
    <w:uiPriority w:val="0"/>
  </w:style>
  <w:style w:type="character" w:customStyle="1" w:styleId="17">
    <w:name w:val="delimsizing"/>
    <w:basedOn w:val="3"/>
    <w:uiPriority w:val="0"/>
  </w:style>
  <w:style w:type="character" w:customStyle="1" w:styleId="18">
    <w:name w:val="mbin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232</Words>
  <Characters>2602</Characters>
  <Lines>20</Lines>
  <Paragraphs>5</Paragraphs>
  <TotalTime>4</TotalTime>
  <ScaleCrop>false</ScaleCrop>
  <LinksUpToDate>false</LinksUpToDate>
  <CharactersWithSpaces>2769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2025-03-31T20:03:00Z</dcterms:created>
  <dc:creator>Admin</dc:creator>
  <cp:lastModifiedBy>Сергей Овчинников</cp:lastModifiedBy>
  <dcterms:modified xsi:type="dcterms:W3CDTF">2026-08-05T07:34:43Z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eyJoZGlkIjoiYTdmNGYxMThkNmY2YmQ1MDBiYWMzMmVlMGU4OGU4ZjYiLCJ1c2VySWQiOiI4NDIyNzkyODcyODgifQ==</vt:lpwstr>
  </property>
  <property fmtid="{D5CDD505-2E9C-101B-9397-08002B2CF9AE}" pid="3" name="KSOProductBuildVer">
    <vt:lpwstr>1049-12.1.0.28032</vt:lpwstr>
  </property>
  <property fmtid="{D5CDD505-2E9C-101B-9397-08002B2CF9AE}" pid="4" name="ICV">
    <vt:lpwstr>FEBEF84A96BF42E897016F70B51D388D_12</vt:lpwstr>
  </property>
</Properties>
</file>