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pPr>
      <w:r>
        <w:rPr>
          <w:rFonts w:ascii="Arial" w:cs="Arial" w:eastAsia="Arial" w:hAnsi="Arial"/>
          <w:b/>
          <w:bCs/>
          <w:color w:val="D9822B"/>
          <w:sz w:val="26"/>
          <w:szCs w:val="26"/>
        </w:rPr>
        <w:t xml:space="preserve">INFORME FINAL CONSOLIDADO</w:t>
      </w:r>
    </w:p>
    <w:p>
      <w:pPr>
        <w:spacing w:after="200"/>
      </w:pPr>
      <w:r>
        <w:rPr>
          <w:rFonts w:ascii="Arial" w:cs="Arial" w:eastAsia="Arial" w:hAnsi="Arial"/>
          <w:b/>
          <w:bCs/>
          <w:color w:val="2F4F5F"/>
          <w:sz w:val="44"/>
          <w:szCs w:val="44"/>
        </w:rPr>
        <w:t xml:space="preserve">Evaluación Independiente del Sistema de Prevención de BC/FT/FPADM</w:t>
      </w:r>
    </w:p>
    <w:p>
      <w:pPr>
        <w:spacing w:after="160"/>
      </w:pPr>
      <w:r>
        <w:rPr>
          <w:rFonts w:ascii="Arial" w:cs="Arial" w:eastAsia="Arial" w:hAnsi="Arial"/>
          <w:color w:val="2F4F5F"/>
          <w:sz w:val="32"/>
          <w:szCs w:val="32"/>
        </w:rPr>
        <w:t xml:space="preserve">Aseguradora Ancón, S.A.</w:t>
      </w:r>
    </w:p>
    <w:p>
      <w:pPr>
        <w:pBdr>
          <w:bottom w:val="single" w:color="D9822B" w:sz="12" w:space="8"/>
        </w:pBdr>
        <w:spacing w:after="600"/>
      </w:pPr>
      <w:r>
        <w:rPr>
          <w:rFonts w:ascii="Arial" w:cs="Arial" w:eastAsia="Arial" w:hAnsi="Arial"/>
          <w:i/>
          <w:iCs/>
          <w:color w:val="666666"/>
          <w:sz w:val="22"/>
          <w:szCs w:val="22"/>
        </w:rPr>
        <w:t xml:space="preserve">Incluye matriz de riesgo GSM y hoja de ruta de mejoras hacia el Acuerdo SSRP 07-2025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rPr>
        <w:tc>
          <w:tcPr>
            <w:tcW w:type="dxa" w:w="28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9"/>
                <w:szCs w:val="19"/>
              </w:rPr>
              <w:t xml:space="preserve">Entidad evaluada</w:t>
            </w:r>
          </w:p>
        </w:tc>
        <w:tc>
          <w:tcPr>
            <w:tcW w:type="dxa" w:w="6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9"/>
                <w:szCs w:val="19"/>
              </w:rPr>
              <w:t xml:space="preserve">Aseguradora Ancón, S.A., sujeto obligado del Grupo A supervisado por la Superintendencia de Seguros y Reaseguros de Panamá (SSRP)</w:t>
            </w:r>
          </w:p>
        </w:tc>
      </w:tr>
      <w:tr>
        <w:trPr>
          <w:cantSplit/>
        </w:trPr>
        <w:tc>
          <w:tcPr>
            <w:tcW w:type="dxa" w:w="28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9"/>
                <w:szCs w:val="19"/>
              </w:rPr>
              <w:t xml:space="preserve">Período evaluado</w:t>
            </w:r>
          </w:p>
        </w:tc>
        <w:tc>
          <w:tcPr>
            <w:tcW w:type="dxa" w:w="6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9"/>
                <w:szCs w:val="19"/>
              </w:rPr>
              <w:t xml:space="preserve">1 de julio de 2024 al 30 de junio de 2025</w:t>
            </w:r>
          </w:p>
        </w:tc>
      </w:tr>
      <w:tr>
        <w:trPr>
          <w:cantSplit/>
        </w:trPr>
        <w:tc>
          <w:tcPr>
            <w:tcW w:type="dxa" w:w="28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9"/>
                <w:szCs w:val="19"/>
              </w:rPr>
              <w:t xml:space="preserve">Criterio de evaluación</w:t>
            </w:r>
          </w:p>
        </w:tc>
        <w:tc>
          <w:tcPr>
            <w:tcW w:type="dxa" w:w="6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9"/>
                <w:szCs w:val="19"/>
              </w:rPr>
              <w:t xml:space="preserve">Ley 23 de 2015 y sus modificaciones; Decreto Ejecutivo 35 de 2022; Acuerdo SSRP 03-2022</w:t>
            </w:r>
          </w:p>
        </w:tc>
      </w:tr>
      <w:tr>
        <w:trPr>
          <w:cantSplit/>
        </w:trPr>
        <w:tc>
          <w:tcPr>
            <w:tcW w:type="dxa" w:w="28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9"/>
                <w:szCs w:val="19"/>
              </w:rPr>
              <w:t xml:space="preserve">Valor agregado</w:t>
            </w:r>
          </w:p>
        </w:tc>
        <w:tc>
          <w:tcPr>
            <w:tcW w:type="dxa" w:w="6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9"/>
                <w:szCs w:val="19"/>
              </w:rPr>
              <w:t xml:space="preserve">Catálogo de mejoras y hoja de ruta frente al Acuerdo SSRP 07-2025 (fuera del alcance de la evaluación)</w:t>
            </w:r>
          </w:p>
        </w:tc>
      </w:tr>
      <w:tr>
        <w:trPr>
          <w:cantSplit/>
        </w:trPr>
        <w:tc>
          <w:tcPr>
            <w:tcW w:type="dxa" w:w="28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9"/>
                <w:szCs w:val="19"/>
              </w:rPr>
              <w:t xml:space="preserve">Evidencia considerada</w:t>
            </w:r>
          </w:p>
        </w:tc>
        <w:tc>
          <w:tcPr>
            <w:tcW w:type="dxa" w:w="6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9"/>
                <w:szCs w:val="19"/>
              </w:rPr>
              <w:t xml:space="preserve">Documentación aportada por Ancón, entrevistas, pruebas de expedientes y aclaración de aprobaciones en actas del Comité de Cumplimiento</w:t>
            </w:r>
          </w:p>
        </w:tc>
      </w:tr>
      <w:tr>
        <w:trPr>
          <w:cantSplit/>
        </w:trPr>
        <w:tc>
          <w:tcPr>
            <w:tcW w:type="dxa" w:w="28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9"/>
                <w:szCs w:val="19"/>
              </w:rPr>
              <w:t xml:space="preserve">Fecha del informe</w:t>
            </w:r>
          </w:p>
        </w:tc>
        <w:tc>
          <w:tcPr>
            <w:tcW w:type="dxa" w:w="6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9"/>
                <w:szCs w:val="19"/>
              </w:rPr>
              <w:t xml:space="preserve">Octubre de 2026</w:t>
            </w:r>
          </w:p>
        </w:tc>
      </w:tr>
      <w:tr>
        <w:trPr>
          <w:cantSplit/>
        </w:trPr>
        <w:tc>
          <w:tcPr>
            <w:tcW w:type="dxa" w:w="28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9"/>
                <w:szCs w:val="19"/>
              </w:rPr>
              <w:t xml:space="preserve">Elaborado por</w:t>
            </w:r>
          </w:p>
        </w:tc>
        <w:tc>
          <w:tcPr>
            <w:tcW w:type="dxa" w:w="6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9"/>
                <w:szCs w:val="19"/>
              </w:rPr>
              <w:t xml:space="preserve">GSM Consulting – José Antonio Serrano, Melva Gutiérrez, Isaac Muñoz</w:t>
            </w:r>
          </w:p>
        </w:tc>
      </w:tr>
      <w:tr>
        <w:trPr>
          <w:cantSplit/>
        </w:trPr>
        <w:tc>
          <w:tcPr>
            <w:tcW w:type="dxa" w:w="28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9"/>
                <w:szCs w:val="19"/>
              </w:rPr>
              <w:t xml:space="preserve">Clasificación</w:t>
            </w:r>
          </w:p>
        </w:tc>
        <w:tc>
          <w:tcPr>
            <w:tcW w:type="dxa" w:w="6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9"/>
                <w:szCs w:val="19"/>
              </w:rPr>
              <w:t xml:space="preserve">CONFIDENCIAL – Uso exclusivo de Aseguradora Ancón, S.A.</w:t>
            </w:r>
          </w:p>
        </w:tc>
      </w:tr>
    </w:tbl>
    <w:p>
      <w:pPr>
        <w:pageBreakBefore/>
        <w:spacing w:after="240"/>
      </w:pPr>
      <w:r>
        <w:rPr>
          <w:rFonts w:ascii="Arial" w:cs="Arial" w:eastAsia="Arial" w:hAnsi="Arial"/>
          <w:b/>
          <w:bCs/>
          <w:color w:val="2F4F5F"/>
          <w:sz w:val="32"/>
          <w:szCs w:val="32"/>
        </w:rPr>
        <w:t xml:space="preserve">Índice</w:t>
      </w:r>
    </w:p>
    <w:p>
      <w:pPr>
        <w:tabs>
          <w:tab w:val="right" w:pos="9360" w:leader="dot"/>
        </w:tabs>
        <w:spacing w:after="80" w:before="40"/>
        <w:ind w:left="0"/>
      </w:pPr>
      <w:r>
        <w:rPr>
          <w:rFonts w:ascii="Arial" w:cs="Arial" w:eastAsia="Arial" w:hAnsi="Arial"/>
          <w:b/>
          <w:bCs/>
          <w:sz w:val="21"/>
          <w:szCs w:val="21"/>
        </w:rPr>
        <w:t xml:space="preserve">1. Resumen Ejecutivo</w:t>
      </w:r>
      <w:r>
        <w:rPr>
          <w:rFonts w:ascii="Arial" w:cs="Arial" w:eastAsia="Arial" w:hAnsi="Arial"/>
          <w:sz w:val="20"/>
          <w:szCs w:val="20"/>
        </w:rPr>
        <w:tab/>
        <w:t xml:space="preserve">3</w:t>
      </w:r>
    </w:p>
    <w:p>
      <w:pPr>
        <w:tabs>
          <w:tab w:val="right" w:pos="9360" w:leader="dot"/>
        </w:tabs>
        <w:spacing w:after="80" w:before="40"/>
        <w:ind w:left="0"/>
      </w:pPr>
      <w:r>
        <w:rPr>
          <w:rFonts w:ascii="Arial" w:cs="Arial" w:eastAsia="Arial" w:hAnsi="Arial"/>
          <w:b/>
          <w:bCs/>
          <w:sz w:val="21"/>
          <w:szCs w:val="21"/>
        </w:rPr>
        <w:t xml:space="preserve">2. Objetivos</w:t>
      </w:r>
      <w:r>
        <w:rPr>
          <w:rFonts w:ascii="Arial" w:cs="Arial" w:eastAsia="Arial" w:hAnsi="Arial"/>
          <w:sz w:val="20"/>
          <w:szCs w:val="20"/>
        </w:rPr>
        <w:tab/>
        <w:t xml:space="preserve">5</w:t>
      </w:r>
    </w:p>
    <w:p>
      <w:pPr>
        <w:tabs>
          <w:tab w:val="right" w:pos="9360" w:leader="dot"/>
        </w:tabs>
        <w:spacing w:after="80" w:before="40"/>
        <w:ind w:left="0"/>
      </w:pPr>
      <w:r>
        <w:rPr>
          <w:rFonts w:ascii="Arial" w:cs="Arial" w:eastAsia="Arial" w:hAnsi="Arial"/>
          <w:b/>
          <w:bCs/>
          <w:sz w:val="21"/>
          <w:szCs w:val="21"/>
        </w:rPr>
        <w:t xml:space="preserve">3. Alcance</w:t>
      </w:r>
      <w:r>
        <w:rPr>
          <w:rFonts w:ascii="Arial" w:cs="Arial" w:eastAsia="Arial" w:hAnsi="Arial"/>
          <w:sz w:val="20"/>
          <w:szCs w:val="20"/>
        </w:rPr>
        <w:tab/>
        <w:t xml:space="preserve">6</w:t>
      </w:r>
    </w:p>
    <w:p>
      <w:pPr>
        <w:tabs>
          <w:tab w:val="right" w:pos="9360" w:leader="dot"/>
        </w:tabs>
        <w:spacing w:after="40" w:before="0"/>
        <w:ind w:left="440"/>
      </w:pPr>
      <w:r>
        <w:rPr>
          <w:rFonts w:ascii="Arial" w:cs="Arial" w:eastAsia="Arial" w:hAnsi="Arial"/>
          <w:b w:val="false"/>
          <w:bCs w:val="false"/>
          <w:sz w:val="20"/>
          <w:szCs w:val="20"/>
        </w:rPr>
        <w:t xml:space="preserve">3.1 Entidad, período y criterio de evaluación</w:t>
      </w:r>
      <w:r>
        <w:rPr>
          <w:rFonts w:ascii="Arial" w:cs="Arial" w:eastAsia="Arial" w:hAnsi="Arial"/>
          <w:sz w:val="20"/>
          <w:szCs w:val="20"/>
        </w:rPr>
        <w:tab/>
        <w:t xml:space="preserve">6</w:t>
      </w:r>
    </w:p>
    <w:p>
      <w:pPr>
        <w:tabs>
          <w:tab w:val="right" w:pos="9360" w:leader="dot"/>
        </w:tabs>
        <w:spacing w:after="40" w:before="0"/>
        <w:ind w:left="440"/>
      </w:pPr>
      <w:r>
        <w:rPr>
          <w:rFonts w:ascii="Arial" w:cs="Arial" w:eastAsia="Arial" w:hAnsi="Arial"/>
          <w:b w:val="false"/>
          <w:bCs w:val="false"/>
          <w:sz w:val="20"/>
          <w:szCs w:val="20"/>
        </w:rPr>
        <w:t xml:space="preserve">3.2 Procedimientos realizados</w:t>
      </w:r>
      <w:r>
        <w:rPr>
          <w:rFonts w:ascii="Arial" w:cs="Arial" w:eastAsia="Arial" w:hAnsi="Arial"/>
          <w:sz w:val="20"/>
          <w:szCs w:val="20"/>
        </w:rPr>
        <w:tab/>
        <w:t xml:space="preserve">6</w:t>
      </w:r>
    </w:p>
    <w:p>
      <w:pPr>
        <w:tabs>
          <w:tab w:val="right" w:pos="9360" w:leader="dot"/>
        </w:tabs>
        <w:spacing w:after="40" w:before="0"/>
        <w:ind w:left="440"/>
      </w:pPr>
      <w:r>
        <w:rPr>
          <w:rFonts w:ascii="Arial" w:cs="Arial" w:eastAsia="Arial" w:hAnsi="Arial"/>
          <w:b w:val="false"/>
          <w:bCs w:val="false"/>
          <w:sz w:val="20"/>
          <w:szCs w:val="20"/>
        </w:rPr>
        <w:t xml:space="preserve">3.3 Limitaciones</w:t>
      </w:r>
      <w:r>
        <w:rPr>
          <w:rFonts w:ascii="Arial" w:cs="Arial" w:eastAsia="Arial" w:hAnsi="Arial"/>
          <w:sz w:val="20"/>
          <w:szCs w:val="20"/>
        </w:rPr>
        <w:tab/>
        <w:t xml:space="preserve">7</w:t>
      </w:r>
    </w:p>
    <w:p>
      <w:pPr>
        <w:tabs>
          <w:tab w:val="right" w:pos="9360" w:leader="dot"/>
        </w:tabs>
        <w:spacing w:after="40" w:before="0"/>
        <w:ind w:left="440"/>
      </w:pPr>
      <w:r>
        <w:rPr>
          <w:rFonts w:ascii="Arial" w:cs="Arial" w:eastAsia="Arial" w:hAnsi="Arial"/>
          <w:b w:val="false"/>
          <w:bCs w:val="false"/>
          <w:sz w:val="20"/>
          <w:szCs w:val="20"/>
        </w:rPr>
        <w:t xml:space="preserve">3.4 Independencia y responsabilidades</w:t>
      </w:r>
      <w:r>
        <w:rPr>
          <w:rFonts w:ascii="Arial" w:cs="Arial" w:eastAsia="Arial" w:hAnsi="Arial"/>
          <w:sz w:val="20"/>
          <w:szCs w:val="20"/>
        </w:rPr>
        <w:tab/>
        <w:t xml:space="preserve">7</w:t>
      </w:r>
    </w:p>
    <w:p>
      <w:pPr>
        <w:tabs>
          <w:tab w:val="right" w:pos="9360" w:leader="dot"/>
        </w:tabs>
        <w:spacing w:after="80" w:before="40"/>
        <w:ind w:left="0"/>
      </w:pPr>
      <w:r>
        <w:rPr>
          <w:rFonts w:ascii="Arial" w:cs="Arial" w:eastAsia="Arial" w:hAnsi="Arial"/>
          <w:b/>
          <w:bCs/>
          <w:sz w:val="21"/>
          <w:szCs w:val="21"/>
        </w:rPr>
        <w:t xml:space="preserve">4. Marco Normativo de Referencia</w:t>
      </w:r>
      <w:r>
        <w:rPr>
          <w:rFonts w:ascii="Arial" w:cs="Arial" w:eastAsia="Arial" w:hAnsi="Arial"/>
          <w:sz w:val="20"/>
          <w:szCs w:val="20"/>
        </w:rPr>
        <w:tab/>
        <w:t xml:space="preserve">8</w:t>
      </w:r>
    </w:p>
    <w:p>
      <w:pPr>
        <w:tabs>
          <w:tab w:val="right" w:pos="9360" w:leader="dot"/>
        </w:tabs>
        <w:spacing w:after="80" w:before="40"/>
        <w:ind w:left="0"/>
      </w:pPr>
      <w:r>
        <w:rPr>
          <w:rFonts w:ascii="Arial" w:cs="Arial" w:eastAsia="Arial" w:hAnsi="Arial"/>
          <w:b/>
          <w:bCs/>
          <w:sz w:val="21"/>
          <w:szCs w:val="21"/>
        </w:rPr>
        <w:t xml:space="preserve">5. Metodología y Escala de Calificación</w:t>
      </w:r>
      <w:r>
        <w:rPr>
          <w:rFonts w:ascii="Arial" w:cs="Arial" w:eastAsia="Arial" w:hAnsi="Arial"/>
          <w:sz w:val="20"/>
          <w:szCs w:val="20"/>
        </w:rPr>
        <w:tab/>
        <w:t xml:space="preserve">9</w:t>
      </w:r>
    </w:p>
    <w:p>
      <w:pPr>
        <w:tabs>
          <w:tab w:val="right" w:pos="9360" w:leader="dot"/>
        </w:tabs>
        <w:spacing w:after="80" w:before="40"/>
        <w:ind w:left="0"/>
      </w:pPr>
      <w:r>
        <w:rPr>
          <w:rFonts w:ascii="Arial" w:cs="Arial" w:eastAsia="Arial" w:hAnsi="Arial"/>
          <w:b/>
          <w:bCs/>
          <w:sz w:val="21"/>
          <w:szCs w:val="21"/>
        </w:rPr>
        <w:t xml:space="preserve">6. Desarrollo por Componente</w:t>
      </w:r>
      <w:r>
        <w:rPr>
          <w:rFonts w:ascii="Arial" w:cs="Arial" w:eastAsia="Arial" w:hAnsi="Arial"/>
          <w:sz w:val="20"/>
          <w:szCs w:val="20"/>
        </w:rPr>
        <w:tab/>
        <w:t xml:space="preserve">11</w:t>
      </w:r>
    </w:p>
    <w:p>
      <w:pPr>
        <w:tabs>
          <w:tab w:val="right" w:pos="9360" w:leader="dot"/>
        </w:tabs>
        <w:spacing w:after="40" w:before="0"/>
        <w:ind w:left="440"/>
      </w:pPr>
      <w:r>
        <w:rPr>
          <w:rFonts w:ascii="Arial" w:cs="Arial" w:eastAsia="Arial" w:hAnsi="Arial"/>
          <w:b w:val="false"/>
          <w:bCs w:val="false"/>
          <w:sz w:val="20"/>
          <w:szCs w:val="20"/>
        </w:rPr>
        <w:t xml:space="preserve">6.1 Gobierno Corporativo</w:t>
      </w:r>
      <w:r>
        <w:rPr>
          <w:rFonts w:ascii="Arial" w:cs="Arial" w:eastAsia="Arial" w:hAnsi="Arial"/>
          <w:sz w:val="20"/>
          <w:szCs w:val="20"/>
        </w:rPr>
        <w:tab/>
        <w:t xml:space="preserve">11</w:t>
      </w:r>
    </w:p>
    <w:p>
      <w:pPr>
        <w:tabs>
          <w:tab w:val="right" w:pos="9360" w:leader="dot"/>
        </w:tabs>
        <w:spacing w:after="40" w:before="0"/>
        <w:ind w:left="440"/>
      </w:pPr>
      <w:r>
        <w:rPr>
          <w:rFonts w:ascii="Arial" w:cs="Arial" w:eastAsia="Arial" w:hAnsi="Arial"/>
          <w:b w:val="false"/>
          <w:bCs w:val="false"/>
          <w:sz w:val="20"/>
          <w:szCs w:val="20"/>
        </w:rPr>
        <w:t xml:space="preserve">6.2 Políticas y Procedimientos</w:t>
      </w:r>
      <w:r>
        <w:rPr>
          <w:rFonts w:ascii="Arial" w:cs="Arial" w:eastAsia="Arial" w:hAnsi="Arial"/>
          <w:sz w:val="20"/>
          <w:szCs w:val="20"/>
        </w:rPr>
        <w:tab/>
        <w:t xml:space="preserve">14</w:t>
      </w:r>
    </w:p>
    <w:p>
      <w:pPr>
        <w:tabs>
          <w:tab w:val="right" w:pos="9360" w:leader="dot"/>
        </w:tabs>
        <w:spacing w:after="40" w:before="0"/>
        <w:ind w:left="440"/>
      </w:pPr>
      <w:r>
        <w:rPr>
          <w:rFonts w:ascii="Arial" w:cs="Arial" w:eastAsia="Arial" w:hAnsi="Arial"/>
          <w:b w:val="false"/>
          <w:bCs w:val="false"/>
          <w:sz w:val="20"/>
          <w:szCs w:val="20"/>
        </w:rPr>
        <w:t xml:space="preserve">6.3 Programa Anual de Cumplimiento</w:t>
      </w:r>
      <w:r>
        <w:rPr>
          <w:rFonts w:ascii="Arial" w:cs="Arial" w:eastAsia="Arial" w:hAnsi="Arial"/>
          <w:sz w:val="20"/>
          <w:szCs w:val="20"/>
        </w:rPr>
        <w:tab/>
        <w:t xml:space="preserve">17</w:t>
      </w:r>
    </w:p>
    <w:p>
      <w:pPr>
        <w:tabs>
          <w:tab w:val="right" w:pos="9360" w:leader="dot"/>
        </w:tabs>
        <w:spacing w:after="40" w:before="0"/>
        <w:ind w:left="440"/>
      </w:pPr>
      <w:r>
        <w:rPr>
          <w:rFonts w:ascii="Arial" w:cs="Arial" w:eastAsia="Arial" w:hAnsi="Arial"/>
          <w:b w:val="false"/>
          <w:bCs w:val="false"/>
          <w:sz w:val="20"/>
          <w:szCs w:val="20"/>
        </w:rPr>
        <w:t xml:space="preserve">6.4 Monitoreo Transaccional</w:t>
      </w:r>
      <w:r>
        <w:rPr>
          <w:rFonts w:ascii="Arial" w:cs="Arial" w:eastAsia="Arial" w:hAnsi="Arial"/>
          <w:sz w:val="20"/>
          <w:szCs w:val="20"/>
        </w:rPr>
        <w:tab/>
        <w:t xml:space="preserve">19</w:t>
      </w:r>
    </w:p>
    <w:p>
      <w:pPr>
        <w:tabs>
          <w:tab w:val="right" w:pos="9360" w:leader="dot"/>
        </w:tabs>
        <w:spacing w:after="40" w:before="0"/>
        <w:ind w:left="440"/>
      </w:pPr>
      <w:r>
        <w:rPr>
          <w:rFonts w:ascii="Arial" w:cs="Arial" w:eastAsia="Arial" w:hAnsi="Arial"/>
          <w:b w:val="false"/>
          <w:bCs w:val="false"/>
          <w:sz w:val="20"/>
          <w:szCs w:val="20"/>
        </w:rPr>
        <w:t xml:space="preserve">6.5 Debida Diligencia</w:t>
      </w:r>
      <w:r>
        <w:rPr>
          <w:rFonts w:ascii="Arial" w:cs="Arial" w:eastAsia="Arial" w:hAnsi="Arial"/>
          <w:sz w:val="20"/>
          <w:szCs w:val="20"/>
        </w:rPr>
        <w:tab/>
        <w:t xml:space="preserve">21</w:t>
      </w:r>
    </w:p>
    <w:p>
      <w:pPr>
        <w:tabs>
          <w:tab w:val="right" w:pos="9360" w:leader="dot"/>
        </w:tabs>
        <w:spacing w:after="40" w:before="0"/>
        <w:ind w:left="440"/>
      </w:pPr>
      <w:r>
        <w:rPr>
          <w:rFonts w:ascii="Arial" w:cs="Arial" w:eastAsia="Arial" w:hAnsi="Arial"/>
          <w:b w:val="false"/>
          <w:bCs w:val="false"/>
          <w:sz w:val="20"/>
          <w:szCs w:val="20"/>
        </w:rPr>
        <w:t xml:space="preserve">6.6 Evaluación de Riesgo AML</w:t>
      </w:r>
      <w:r>
        <w:rPr>
          <w:rFonts w:ascii="Arial" w:cs="Arial" w:eastAsia="Arial" w:hAnsi="Arial"/>
          <w:sz w:val="20"/>
          <w:szCs w:val="20"/>
        </w:rPr>
        <w:tab/>
        <w:t xml:space="preserve">24</w:t>
      </w:r>
    </w:p>
    <w:p>
      <w:pPr>
        <w:tabs>
          <w:tab w:val="right" w:pos="9360" w:leader="dot"/>
        </w:tabs>
        <w:spacing w:after="40" w:before="0"/>
        <w:ind w:left="440"/>
      </w:pPr>
      <w:r>
        <w:rPr>
          <w:rFonts w:ascii="Arial" w:cs="Arial" w:eastAsia="Arial" w:hAnsi="Arial"/>
          <w:b w:val="false"/>
          <w:bCs w:val="false"/>
          <w:sz w:val="20"/>
          <w:szCs w:val="20"/>
        </w:rPr>
        <w:t xml:space="preserve">6.7 Reportes Regulatorios</w:t>
      </w:r>
      <w:r>
        <w:rPr>
          <w:rFonts w:ascii="Arial" w:cs="Arial" w:eastAsia="Arial" w:hAnsi="Arial"/>
          <w:sz w:val="20"/>
          <w:szCs w:val="20"/>
        </w:rPr>
        <w:tab/>
        <w:t xml:space="preserve">26</w:t>
      </w:r>
    </w:p>
    <w:p>
      <w:pPr>
        <w:tabs>
          <w:tab w:val="right" w:pos="9360" w:leader="dot"/>
        </w:tabs>
        <w:spacing w:after="40" w:before="0"/>
        <w:ind w:left="440"/>
      </w:pPr>
      <w:r>
        <w:rPr>
          <w:rFonts w:ascii="Arial" w:cs="Arial" w:eastAsia="Arial" w:hAnsi="Arial"/>
          <w:b w:val="false"/>
          <w:bCs w:val="false"/>
          <w:sz w:val="20"/>
          <w:szCs w:val="20"/>
        </w:rPr>
        <w:t xml:space="preserve">6.8 Conservación de Documentos</w:t>
      </w:r>
      <w:r>
        <w:rPr>
          <w:rFonts w:ascii="Arial" w:cs="Arial" w:eastAsia="Arial" w:hAnsi="Arial"/>
          <w:sz w:val="20"/>
          <w:szCs w:val="20"/>
        </w:rPr>
        <w:tab/>
        <w:t xml:space="preserve">28</w:t>
      </w:r>
    </w:p>
    <w:p>
      <w:pPr>
        <w:tabs>
          <w:tab w:val="right" w:pos="9360" w:leader="dot"/>
        </w:tabs>
        <w:spacing w:after="80" w:before="40"/>
        <w:ind w:left="0"/>
      </w:pPr>
      <w:r>
        <w:rPr>
          <w:rFonts w:ascii="Arial" w:cs="Arial" w:eastAsia="Arial" w:hAnsi="Arial"/>
          <w:b/>
          <w:bCs/>
          <w:sz w:val="21"/>
          <w:szCs w:val="21"/>
        </w:rPr>
        <w:t xml:space="preserve">7. Matriz de Riesgo GSM</w:t>
      </w:r>
      <w:r>
        <w:rPr>
          <w:rFonts w:ascii="Arial" w:cs="Arial" w:eastAsia="Arial" w:hAnsi="Arial"/>
          <w:sz w:val="20"/>
          <w:szCs w:val="20"/>
        </w:rPr>
        <w:tab/>
        <w:t xml:space="preserve">29</w:t>
      </w:r>
    </w:p>
    <w:p>
      <w:pPr>
        <w:tabs>
          <w:tab w:val="right" w:pos="9360" w:leader="dot"/>
        </w:tabs>
        <w:spacing w:after="40" w:before="0"/>
        <w:ind w:left="440"/>
      </w:pPr>
      <w:r>
        <w:rPr>
          <w:rFonts w:ascii="Arial" w:cs="Arial" w:eastAsia="Arial" w:hAnsi="Arial"/>
          <w:b w:val="false"/>
          <w:bCs w:val="false"/>
          <w:sz w:val="20"/>
          <w:szCs w:val="20"/>
        </w:rPr>
        <w:t xml:space="preserve">7.1 Mapa de calor</w:t>
      </w:r>
      <w:r>
        <w:rPr>
          <w:rFonts w:ascii="Arial" w:cs="Arial" w:eastAsia="Arial" w:hAnsi="Arial"/>
          <w:sz w:val="20"/>
          <w:szCs w:val="20"/>
        </w:rPr>
        <w:tab/>
        <w:t xml:space="preserve">29</w:t>
      </w:r>
    </w:p>
    <w:p>
      <w:pPr>
        <w:tabs>
          <w:tab w:val="right" w:pos="9360" w:leader="dot"/>
        </w:tabs>
        <w:spacing w:after="40" w:before="0"/>
        <w:ind w:left="440"/>
      </w:pPr>
      <w:r>
        <w:rPr>
          <w:rFonts w:ascii="Arial" w:cs="Arial" w:eastAsia="Arial" w:hAnsi="Arial"/>
          <w:b w:val="false"/>
          <w:bCs w:val="false"/>
          <w:sz w:val="20"/>
          <w:szCs w:val="20"/>
        </w:rPr>
        <w:t xml:space="preserve">7.2 Registro de brechas ordenado por nivel de riesgo</w:t>
      </w:r>
      <w:r>
        <w:rPr>
          <w:rFonts w:ascii="Arial" w:cs="Arial" w:eastAsia="Arial" w:hAnsi="Arial"/>
          <w:sz w:val="20"/>
          <w:szCs w:val="20"/>
        </w:rPr>
        <w:tab/>
        <w:t xml:space="preserve">30</w:t>
      </w:r>
    </w:p>
    <w:p>
      <w:pPr>
        <w:tabs>
          <w:tab w:val="right" w:pos="9360" w:leader="dot"/>
        </w:tabs>
        <w:spacing w:after="80" w:before="40"/>
        <w:ind w:left="0"/>
      </w:pPr>
      <w:r>
        <w:rPr>
          <w:rFonts w:ascii="Arial" w:cs="Arial" w:eastAsia="Arial" w:hAnsi="Arial"/>
          <w:b/>
          <w:bCs/>
          <w:sz w:val="21"/>
          <w:szCs w:val="21"/>
        </w:rPr>
        <w:t xml:space="preserve">8. Conclusiones</w:t>
      </w:r>
      <w:r>
        <w:rPr>
          <w:rFonts w:ascii="Arial" w:cs="Arial" w:eastAsia="Arial" w:hAnsi="Arial"/>
          <w:sz w:val="20"/>
          <w:szCs w:val="20"/>
        </w:rPr>
        <w:tab/>
        <w:t xml:space="preserve">32</w:t>
      </w:r>
    </w:p>
    <w:p>
      <w:pPr>
        <w:tabs>
          <w:tab w:val="right" w:pos="9360" w:leader="dot"/>
        </w:tabs>
        <w:spacing w:after="80" w:before="40"/>
        <w:ind w:left="0"/>
      </w:pPr>
      <w:r>
        <w:rPr>
          <w:rFonts w:ascii="Arial" w:cs="Arial" w:eastAsia="Arial" w:hAnsi="Arial"/>
          <w:b/>
          <w:bCs/>
          <w:sz w:val="21"/>
          <w:szCs w:val="21"/>
        </w:rPr>
        <w:t xml:space="preserve">9. Recomendaciones Estratégicas y Decisiones Críticas</w:t>
      </w:r>
      <w:r>
        <w:rPr>
          <w:rFonts w:ascii="Arial" w:cs="Arial" w:eastAsia="Arial" w:hAnsi="Arial"/>
          <w:sz w:val="20"/>
          <w:szCs w:val="20"/>
        </w:rPr>
        <w:tab/>
        <w:t xml:space="preserve">33</w:t>
      </w:r>
    </w:p>
    <w:p>
      <w:pPr>
        <w:tabs>
          <w:tab w:val="right" w:pos="9360" w:leader="dot"/>
        </w:tabs>
        <w:spacing w:after="80" w:before="40"/>
        <w:ind w:left="0"/>
      </w:pPr>
      <w:r>
        <w:rPr>
          <w:rFonts w:ascii="Arial" w:cs="Arial" w:eastAsia="Arial" w:hAnsi="Arial"/>
          <w:b/>
          <w:bCs/>
          <w:sz w:val="21"/>
          <w:szCs w:val="21"/>
        </w:rPr>
        <w:t xml:space="preserve">10. Plan de Acción Propuesto</w:t>
      </w:r>
      <w:r>
        <w:rPr>
          <w:rFonts w:ascii="Arial" w:cs="Arial" w:eastAsia="Arial" w:hAnsi="Arial"/>
          <w:sz w:val="20"/>
          <w:szCs w:val="20"/>
        </w:rPr>
        <w:tab/>
        <w:t xml:space="preserve">34</w:t>
      </w:r>
    </w:p>
    <w:p>
      <w:pPr>
        <w:tabs>
          <w:tab w:val="right" w:pos="9360" w:leader="dot"/>
        </w:tabs>
        <w:spacing w:after="80" w:before="40"/>
        <w:ind w:left="0"/>
      </w:pPr>
      <w:r>
        <w:rPr>
          <w:rFonts w:ascii="Arial" w:cs="Arial" w:eastAsia="Arial" w:hAnsi="Arial"/>
          <w:b/>
          <w:bCs/>
          <w:sz w:val="21"/>
          <w:szCs w:val="21"/>
        </w:rPr>
        <w:t xml:space="preserve">11. Valor Agregado: Hoja de Ruta hacia el Acuerdo SSRP 07-2025</w:t>
      </w:r>
      <w:r>
        <w:rPr>
          <w:rFonts w:ascii="Arial" w:cs="Arial" w:eastAsia="Arial" w:hAnsi="Arial"/>
          <w:sz w:val="20"/>
          <w:szCs w:val="20"/>
        </w:rPr>
        <w:tab/>
        <w:t xml:space="preserve">37</w:t>
      </w:r>
    </w:p>
    <w:p>
      <w:pPr>
        <w:tabs>
          <w:tab w:val="right" w:pos="9360" w:leader="dot"/>
        </w:tabs>
        <w:spacing w:after="40" w:before="0"/>
        <w:ind w:left="440"/>
      </w:pPr>
      <w:r>
        <w:rPr>
          <w:rFonts w:ascii="Arial" w:cs="Arial" w:eastAsia="Arial" w:hAnsi="Arial"/>
          <w:b w:val="false"/>
          <w:bCs w:val="false"/>
          <w:sz w:val="20"/>
          <w:szCs w:val="20"/>
        </w:rPr>
        <w:t xml:space="preserve">11.1 Contexto y propósito</w:t>
      </w:r>
      <w:r>
        <w:rPr>
          <w:rFonts w:ascii="Arial" w:cs="Arial" w:eastAsia="Arial" w:hAnsi="Arial"/>
          <w:sz w:val="20"/>
          <w:szCs w:val="20"/>
        </w:rPr>
        <w:tab/>
        <w:t xml:space="preserve">37</w:t>
      </w:r>
    </w:p>
    <w:p>
      <w:pPr>
        <w:tabs>
          <w:tab w:val="right" w:pos="9360" w:leader="dot"/>
        </w:tabs>
        <w:spacing w:after="40" w:before="0"/>
        <w:ind w:left="440"/>
      </w:pPr>
      <w:r>
        <w:rPr>
          <w:rFonts w:ascii="Arial" w:cs="Arial" w:eastAsia="Arial" w:hAnsi="Arial"/>
          <w:b w:val="false"/>
          <w:bCs w:val="false"/>
          <w:sz w:val="20"/>
          <w:szCs w:val="20"/>
        </w:rPr>
        <w:t xml:space="preserve">11.2 Hoja de ruta por fases</w:t>
      </w:r>
      <w:r>
        <w:rPr>
          <w:rFonts w:ascii="Arial" w:cs="Arial" w:eastAsia="Arial" w:hAnsi="Arial"/>
          <w:sz w:val="20"/>
          <w:szCs w:val="20"/>
        </w:rPr>
        <w:tab/>
        <w:t xml:space="preserve">37</w:t>
      </w:r>
    </w:p>
    <w:p>
      <w:pPr>
        <w:tabs>
          <w:tab w:val="right" w:pos="9360" w:leader="dot"/>
        </w:tabs>
        <w:spacing w:after="40" w:before="0"/>
        <w:ind w:left="440"/>
      </w:pPr>
      <w:r>
        <w:rPr>
          <w:rFonts w:ascii="Arial" w:cs="Arial" w:eastAsia="Arial" w:hAnsi="Arial"/>
          <w:b w:val="false"/>
          <w:bCs w:val="false"/>
          <w:sz w:val="20"/>
          <w:szCs w:val="20"/>
        </w:rPr>
        <w:t xml:space="preserve">11.3 Catálogo de mejoras y optimizaciones</w:t>
      </w:r>
      <w:r>
        <w:rPr>
          <w:rFonts w:ascii="Arial" w:cs="Arial" w:eastAsia="Arial" w:hAnsi="Arial"/>
          <w:sz w:val="20"/>
          <w:szCs w:val="20"/>
        </w:rPr>
        <w:tab/>
        <w:t xml:space="preserve">38</w:t>
      </w:r>
    </w:p>
    <w:p>
      <w:pPr>
        <w:tabs>
          <w:tab w:val="right" w:pos="9360" w:leader="dot"/>
        </w:tabs>
        <w:spacing w:after="40" w:before="0"/>
        <w:ind w:left="440"/>
      </w:pPr>
      <w:r>
        <w:rPr>
          <w:rFonts w:ascii="Arial" w:cs="Arial" w:eastAsia="Arial" w:hAnsi="Arial"/>
          <w:b w:val="false"/>
          <w:bCs w:val="false"/>
          <w:sz w:val="20"/>
          <w:szCs w:val="20"/>
        </w:rPr>
        <w:t xml:space="preserve">11.4 Oportunidades de mejora y recomendaciones del período</w:t>
      </w:r>
      <w:r>
        <w:rPr>
          <w:rFonts w:ascii="Arial" w:cs="Arial" w:eastAsia="Arial" w:hAnsi="Arial"/>
          <w:sz w:val="20"/>
          <w:szCs w:val="20"/>
        </w:rPr>
        <w:tab/>
        <w:t xml:space="preserve">42</w:t>
      </w:r>
    </w:p>
    <w:p>
      <w:pPr>
        <w:tabs>
          <w:tab w:val="right" w:pos="9360" w:leader="dot"/>
        </w:tabs>
        <w:spacing w:after="80" w:before="40"/>
        <w:ind w:left="0"/>
      </w:pPr>
      <w:r>
        <w:rPr>
          <w:rFonts w:ascii="Arial" w:cs="Arial" w:eastAsia="Arial" w:hAnsi="Arial"/>
          <w:b/>
          <w:bCs/>
          <w:sz w:val="21"/>
          <w:szCs w:val="21"/>
        </w:rPr>
        <w:t xml:space="preserve">Anexo A. Documentos Revisados</w:t>
      </w:r>
      <w:r>
        <w:rPr>
          <w:rFonts w:ascii="Arial" w:cs="Arial" w:eastAsia="Arial" w:hAnsi="Arial"/>
          <w:sz w:val="20"/>
          <w:szCs w:val="20"/>
        </w:rPr>
        <w:tab/>
        <w:t xml:space="preserve">45</w:t>
      </w:r>
    </w:p>
    <w:p>
      <w:pPr>
        <w:tabs>
          <w:tab w:val="right" w:pos="9360" w:leader="dot"/>
        </w:tabs>
        <w:spacing w:after="80" w:before="40"/>
        <w:ind w:left="0"/>
      </w:pPr>
      <w:r>
        <w:rPr>
          <w:rFonts w:ascii="Arial" w:cs="Arial" w:eastAsia="Arial" w:hAnsi="Arial"/>
          <w:b/>
          <w:bCs/>
          <w:sz w:val="21"/>
          <w:szCs w:val="21"/>
        </w:rPr>
        <w:t xml:space="preserve">Anexo B. Glosario</w:t>
      </w:r>
      <w:r>
        <w:rPr>
          <w:rFonts w:ascii="Arial" w:cs="Arial" w:eastAsia="Arial" w:hAnsi="Arial"/>
          <w:sz w:val="20"/>
          <w:szCs w:val="20"/>
        </w:rPr>
        <w:tab/>
        <w:t xml:space="preserve">47</w:t>
      </w:r>
    </w:p>
    <w:p>
      <w:pPr>
        <w:tabs>
          <w:tab w:val="right" w:pos="9360" w:leader="dot"/>
        </w:tabs>
        <w:spacing w:after="80" w:before="40"/>
        <w:ind w:left="0"/>
      </w:pPr>
      <w:r>
        <w:rPr>
          <w:rFonts w:ascii="Arial" w:cs="Arial" w:eastAsia="Arial" w:hAnsi="Arial"/>
          <w:b/>
          <w:bCs/>
          <w:sz w:val="21"/>
          <w:szCs w:val="21"/>
        </w:rPr>
        <w:t xml:space="preserve">Anexo C. Estado de los Requerimientos de Información</w:t>
      </w:r>
      <w:r>
        <w:rPr>
          <w:rFonts w:ascii="Arial" w:cs="Arial" w:eastAsia="Arial" w:hAnsi="Arial"/>
          <w:sz w:val="20"/>
          <w:szCs w:val="20"/>
        </w:rPr>
        <w:tab/>
        <w:t xml:space="preserve">48</w:t>
      </w:r>
    </w:p>
    <w:p>
      <w:pPr>
        <w:tabs>
          <w:tab w:val="right" w:pos="9360" w:leader="dot"/>
        </w:tabs>
        <w:spacing w:after="80" w:before="40"/>
        <w:ind w:left="0"/>
      </w:pPr>
      <w:r>
        <w:rPr>
          <w:rFonts w:ascii="Arial" w:cs="Arial" w:eastAsia="Arial" w:hAnsi="Arial"/>
          <w:b/>
          <w:bCs/>
          <w:sz w:val="21"/>
          <w:szCs w:val="21"/>
        </w:rPr>
        <w:t xml:space="preserve">Anexo D. Nomenclatura de los Identificadores</w:t>
      </w:r>
      <w:r>
        <w:rPr>
          <w:rFonts w:ascii="Arial" w:cs="Arial" w:eastAsia="Arial" w:hAnsi="Arial"/>
          <w:sz w:val="20"/>
          <w:szCs w:val="20"/>
        </w:rPr>
        <w:tab/>
        <w:t xml:space="preserve">54</w:t>
      </w:r>
    </w:p>
    <w:p>
      <w:pPr>
        <w:pStyle w:val="Heading1"/>
        <w:pageBreakBefore/>
      </w:pPr>
      <w:r>
        <w:rPr>
          <w:rFonts w:ascii="Arial" w:cs="Arial" w:eastAsia="Arial" w:hAnsi="Arial"/>
        </w:rPr>
        <w:t xml:space="preserve">1. Resumen Ejecutivo</w:t>
      </w:r>
    </w:p>
    <w:p>
      <w:pPr>
        <w:spacing w:after="120" w:before="0" w:line="276"/>
        <w:jc w:val="both"/>
      </w:pPr>
      <w:r>
        <w:rPr>
          <w:rFonts w:ascii="Arial" w:cs="Arial" w:eastAsia="Arial" w:hAnsi="Arial"/>
          <w:b w:val="false"/>
          <w:bCs w:val="false"/>
          <w:sz w:val="21"/>
          <w:szCs w:val="21"/>
        </w:rPr>
        <w:t xml:space="preserve">Este informe recoge los resultados de la Evaluación Independiente del sistema de prevención de Blanqueo de Capitales, Financiamiento del Terrorismo y Financiamiento de la Proliferación de Armas de Destrucción Masiva (PBC/FT/FPADM) de Aseguradora Ancón, S.A., para el período del 1 de julio de 2024 al 30 de junio de 2025. El informe tiene dos partes:</w:t>
      </w:r>
    </w:p>
    <w:p>
      <w:pPr>
        <w:pStyle w:val="ListParagraph"/>
        <w:numPr>
          <w:ilvl w:val="0"/>
          <w:numId w:val="2"/>
        </w:numPr>
        <w:spacing w:after="80" w:line="276"/>
        <w:jc w:val="both"/>
      </w:pPr>
      <w:r>
        <w:rPr>
          <w:rFonts w:ascii="Arial" w:cs="Arial" w:eastAsia="Arial" w:hAnsi="Arial"/>
          <w:b w:val="false"/>
          <w:bCs w:val="false"/>
          <w:sz w:val="21"/>
          <w:szCs w:val="21"/>
        </w:rPr>
        <w:t xml:space="preserve">La </w:t>
      </w:r>
      <w:r>
        <w:rPr>
          <w:rFonts w:ascii="Arial" w:cs="Arial" w:eastAsia="Arial" w:hAnsi="Arial"/>
          <w:b/>
          <w:bCs/>
          <w:sz w:val="21"/>
          <w:szCs w:val="21"/>
        </w:rPr>
        <w:t xml:space="preserve">evaluación del período (Parte I)</w:t>
      </w:r>
      <w:r>
        <w:rPr>
          <w:rFonts w:ascii="Arial" w:cs="Arial" w:eastAsia="Arial" w:hAnsi="Arial"/>
          <w:b w:val="false"/>
          <w:bCs w:val="false"/>
          <w:sz w:val="21"/>
          <w:szCs w:val="21"/>
        </w:rPr>
        <w:t xml:space="preserve">, medida contra la norma vigente entonces: la Ley 23 de 2015, el Decreto Ejecutivo 35 de 2022 y el Acuerdo SSRP 03-2022, con su matriz de riesgo.</w:t>
      </w:r>
    </w:p>
    <w:p>
      <w:pPr>
        <w:pStyle w:val="ListParagraph"/>
        <w:numPr>
          <w:ilvl w:val="0"/>
          <w:numId w:val="2"/>
        </w:numPr>
        <w:spacing w:after="80" w:line="276"/>
        <w:jc w:val="both"/>
      </w:pPr>
      <w:r>
        <w:rPr>
          <w:rFonts w:ascii="Arial" w:cs="Arial" w:eastAsia="Arial" w:hAnsi="Arial"/>
          <w:b w:val="false"/>
          <w:bCs w:val="false"/>
          <w:sz w:val="21"/>
          <w:szCs w:val="21"/>
        </w:rPr>
        <w:t xml:space="preserve">Una </w:t>
      </w:r>
      <w:r>
        <w:rPr>
          <w:rFonts w:ascii="Arial" w:cs="Arial" w:eastAsia="Arial" w:hAnsi="Arial"/>
          <w:b/>
          <w:bCs/>
          <w:sz w:val="21"/>
          <w:szCs w:val="21"/>
        </w:rPr>
        <w:t xml:space="preserve">hoja de ruta hacia el Acuerdo SSRP 07-2025 (Parte II)</w:t>
      </w:r>
      <w:r>
        <w:rPr>
          <w:rFonts w:ascii="Arial" w:cs="Arial" w:eastAsia="Arial" w:hAnsi="Arial"/>
          <w:b w:val="false"/>
          <w:bCs w:val="false"/>
          <w:sz w:val="21"/>
          <w:szCs w:val="21"/>
        </w:rPr>
        <w:t xml:space="preserve">, que no formaba parte del alcance porque se publicó después del período, pero que hoy es la norma aplicable. La incluimos como valor agregado para que cada acción de remediación se diseñe una sola vez y con el nuevo estándar.</w:t>
      </w:r>
    </w:p>
    <w:p>
      <w:pPr>
        <w:pStyle w:val="Heading3"/>
        <w:keepNext/>
      </w:pPr>
      <w:r>
        <w:rPr>
          <w:rFonts w:ascii="Arial" w:cs="Arial" w:eastAsia="Arial" w:hAnsi="Arial"/>
        </w:rPr>
        <w:t xml:space="preserve">Resultado de la evaluación del período</w:t>
      </w:r>
    </w:p>
    <w:p>
      <w:pPr>
        <w:spacing w:after="120" w:before="0" w:line="276"/>
        <w:jc w:val="both"/>
      </w:pPr>
      <w:r>
        <w:rPr>
          <w:rFonts w:ascii="Arial" w:cs="Arial" w:eastAsia="Arial" w:hAnsi="Arial"/>
          <w:b w:val="false"/>
          <w:bCs w:val="false"/>
          <w:sz w:val="21"/>
          <w:szCs w:val="21"/>
        </w:rPr>
        <w:t xml:space="preserve">Calificamos el sistema en </w:t>
      </w:r>
      <w:r>
        <w:rPr>
          <w:rFonts w:ascii="Arial" w:cs="Arial" w:eastAsia="Arial" w:hAnsi="Arial"/>
          <w:b/>
          <w:bCs/>
          <w:sz w:val="21"/>
          <w:szCs w:val="21"/>
        </w:rPr>
        <w:t xml:space="preserve">Nivel 4 – BAJO (Cumple)</w:t>
      </w:r>
      <w:r>
        <w:rPr>
          <w:rFonts w:ascii="Arial" w:cs="Arial" w:eastAsia="Arial" w:hAnsi="Arial"/>
          <w:b w:val="false"/>
          <w:bCs w:val="false"/>
          <w:sz w:val="21"/>
          <w:szCs w:val="21"/>
        </w:rPr>
        <w:t xml:space="preserve">: los ocho componentes quedan en ese nivel, sin brechas críticas ni de nivel medio-alto. En la matriz de riesgo documentamos 14 brechas —13 de nivel medio y 1 baja— y 41 oportunidades de mejora y recomendaciones (24 de la hoja de ruta hacia el Acuerdo 07-2025 y 17 del período). De los 92 requerimientos de información revisados, 55 se revisaron sin hallazgos, 19 con oportunidades de mejora o recomendaciones, 17 dieron lugar a brechas y 1 está pendiente de entrega. Además se realizaron 13 entrevistas, doce de ellas sin hallazgos.</w:t>
      </w:r>
    </w:p>
    <w:p>
      <w:pPr>
        <w:spacing w:after="120" w:before="0" w:line="276"/>
        <w:jc w:val="both"/>
      </w:pPr>
      <w:r>
        <w:rPr>
          <w:rFonts w:ascii="Arial" w:cs="Arial" w:eastAsia="Arial" w:hAnsi="Arial"/>
          <w:b w:val="false"/>
          <w:bCs w:val="false"/>
          <w:sz w:val="21"/>
          <w:szCs w:val="21"/>
        </w:rPr>
        <w:t xml:space="preserve">Ancón tiene una base documental amplia y avances que vale la pena reconocer: un ciclo de aprobaciones del Comité ordenado y trazable, informes de seguimiento al Comité, programas anuales y un Informe de Gestión Anual, barridos de listas sobre la cartera, el catálogo de Señales de Alerta 2025, evaluaciones de riesgo por proceso, una Oficial de Cumplimiento que reporta directamente a la Junta y, desde 2025, el desarrollo de una herramienta de monitoreo que automatiza la gestión de alertas como mejora al ambiente de control. El reto principal está en la </w:t>
      </w:r>
      <w:r>
        <w:rPr>
          <w:rFonts w:ascii="Arial" w:cs="Arial" w:eastAsia="Arial" w:hAnsi="Arial"/>
          <w:b/>
          <w:bCs/>
          <w:sz w:val="21"/>
          <w:szCs w:val="21"/>
        </w:rPr>
        <w:t xml:space="preserve">ejecución y en poder demostrarla</w:t>
      </w:r>
      <w:r>
        <w:rPr>
          <w:rFonts w:ascii="Arial" w:cs="Arial" w:eastAsia="Arial" w:hAnsi="Arial"/>
          <w:b w:val="false"/>
          <w:bCs w:val="false"/>
          <w:sz w:val="21"/>
          <w:szCs w:val="21"/>
        </w:rPr>
        <w:t xml:space="preserve">: las pruebas muestran oportunidades en la debida diligencia (73 de los 85 expedientes de clientes con observaciones) y en la evidencia documental del gobierno corporativo.</w:t>
      </w:r>
    </w:p>
    <w:p>
      <w:pPr>
        <w:pStyle w:val="Heading3"/>
        <w:keepNext/>
      </w:pPr>
      <w:r>
        <w:rPr>
          <w:rFonts w:ascii="Arial" w:cs="Arial" w:eastAsia="Arial" w:hAnsi="Arial"/>
        </w:rPr>
        <w:t xml:space="preserve">Calificación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420"/>
        <w:gridCol w:w="540"/>
        <w:gridCol w:w="420"/>
        <w:gridCol w:w="420"/>
        <w:gridCol w:w="3960"/>
      </w:tblGrid>
      <w:tr>
        <w:trPr>
          <w:cantSplit/>
          <w:tblHeader/>
        </w:trPr>
        <w:tc>
          <w:tcPr>
            <w:tcW w:type="dxa" w:w="19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Componente</w:t>
            </w:r>
          </w:p>
        </w:tc>
        <w:tc>
          <w:tcPr>
            <w:tcW w:type="dxa" w:w="17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Calificación</w:t>
            </w:r>
          </w:p>
        </w:tc>
        <w:tc>
          <w:tcPr>
            <w:tcW w:type="dxa" w:w="42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C</w:t>
            </w:r>
          </w:p>
        </w:tc>
        <w:tc>
          <w:tcPr>
            <w:tcW w:type="dxa" w:w="54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MA</w:t>
            </w:r>
          </w:p>
        </w:tc>
        <w:tc>
          <w:tcPr>
            <w:tcW w:type="dxa" w:w="42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M</w:t>
            </w:r>
          </w:p>
        </w:tc>
        <w:tc>
          <w:tcPr>
            <w:tcW w:type="dxa" w:w="42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w:t>
            </w:r>
          </w:p>
        </w:tc>
        <w:tc>
          <w:tcPr>
            <w:tcW w:type="dxa" w:w="39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Aspectos determinantes</w:t>
            </w:r>
          </w:p>
        </w:tc>
      </w:tr>
      <w:tr>
        <w:trPr>
          <w:cantSplit/>
        </w:trPr>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6.1 Gobierno Corporativo</w:t>
            </w:r>
          </w:p>
        </w:tc>
        <w:tc>
          <w:tcPr>
            <w:tcW w:type="dxa" w:w="170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Nivel 4 – BAJO (Cumple)</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5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3</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3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Actas del Comité II a IV de 2024 y acta de Junta de designación del Oficial pendientes de entrega; planificación de Auditoría Interna.</w:t>
            </w:r>
          </w:p>
        </w:tc>
      </w:tr>
      <w:tr>
        <w:trPr>
          <w:cantSplit/>
        </w:trPr>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6.2 Políticas y Procedimientos</w:t>
            </w:r>
          </w:p>
        </w:tc>
        <w:tc>
          <w:tcPr>
            <w:tcW w:type="dxa" w:w="170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Nivel 4 – BAJO (Cumple)</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5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1</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1</w:t>
            </w:r>
          </w:p>
        </w:tc>
        <w:tc>
          <w:tcPr>
            <w:tcW w:type="dxa" w:w="3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Cuadros de control de políticas por actualizar; fortalecer la política de perfil financiero y transaccional.</w:t>
            </w:r>
          </w:p>
        </w:tc>
      </w:tr>
      <w:tr>
        <w:trPr>
          <w:cantSplit/>
        </w:trPr>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6.3 Programa Anual de Cumplimiento</w:t>
            </w:r>
          </w:p>
        </w:tc>
        <w:tc>
          <w:tcPr>
            <w:tcW w:type="dxa" w:w="170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Nivel 4 – BAJO (Cumple)</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5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3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Sin brechas: programas, cronogramas e Informe de Gestión revisados; oportunidades de mejora en aprobación y capacitación.</w:t>
            </w:r>
          </w:p>
        </w:tc>
      </w:tr>
      <w:tr>
        <w:trPr>
          <w:cantSplit/>
        </w:trPr>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6.4 Monitoreo Transaccional</w:t>
            </w:r>
          </w:p>
        </w:tc>
        <w:tc>
          <w:tcPr>
            <w:tcW w:type="dxa" w:w="170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Nivel 4 – BAJO (Cumple)</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5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2</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3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Monitoreo manual con desarrollo de la herramienta automatizada iniciado en 2025; listado de falsos positivos.</w:t>
            </w:r>
          </w:p>
        </w:tc>
      </w:tr>
      <w:tr>
        <w:trPr>
          <w:cantSplit/>
        </w:trPr>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6.5 Debida Diligencia</w:t>
            </w:r>
          </w:p>
        </w:tc>
        <w:tc>
          <w:tcPr>
            <w:tcW w:type="dxa" w:w="170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Nivel 4 – BAJO (Cumple)</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5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3</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3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73 de 85 expedientes con observaciones; excepciones sin trazabilidad; catálogo de proveedores.</w:t>
            </w:r>
          </w:p>
        </w:tc>
      </w:tr>
      <w:tr>
        <w:trPr>
          <w:cantSplit/>
        </w:trPr>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6.6 Evaluación de Riesgo AML</w:t>
            </w:r>
          </w:p>
        </w:tc>
        <w:tc>
          <w:tcPr>
            <w:tcW w:type="dxa" w:w="170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Nivel 4 – BAJO (Cumple)</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5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1</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3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Matrices y evaluaciones revisadas; acta de Junta de aprobación de la matriz pendiente de entrega.</w:t>
            </w:r>
          </w:p>
        </w:tc>
      </w:tr>
      <w:tr>
        <w:trPr>
          <w:cantSplit/>
        </w:trPr>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6.7 Reportes Regulatorios</w:t>
            </w:r>
          </w:p>
        </w:tc>
        <w:tc>
          <w:tcPr>
            <w:tcW w:type="dxa" w:w="170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Nivel 4 – BAJO (Cumple)</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5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3</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3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Sin ROS en el período; caso Fianzas 2024; reportes de efectivo pendientes de entrega.</w:t>
            </w:r>
          </w:p>
        </w:tc>
      </w:tr>
      <w:tr>
        <w:trPr>
          <w:cantSplit/>
        </w:trPr>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6.8 Conservación de Documentos</w:t>
            </w:r>
          </w:p>
        </w:tc>
        <w:tc>
          <w:tcPr>
            <w:tcW w:type="dxa" w:w="170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Nivel 4 – BAJO (Cumple)</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5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4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0</w:t>
            </w:r>
          </w:p>
        </w:tc>
        <w:tc>
          <w:tcPr>
            <w:tcW w:type="dxa" w:w="3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Sin brechas: política de conservación revisada sin hallazgos.</w:t>
            </w:r>
          </w:p>
        </w:tc>
      </w:tr>
    </w:tbl>
    <w:p>
      <w:pPr>
        <w:spacing w:after="120" w:before="60" w:line="276"/>
        <w:jc w:val="both"/>
      </w:pPr>
      <w:r>
        <w:rPr>
          <w:rFonts w:ascii="Arial" w:cs="Arial" w:eastAsia="Arial" w:hAnsi="Arial"/>
          <w:b w:val="false"/>
          <w:bCs w:val="false"/>
          <w:i/>
          <w:iCs/>
          <w:color w:val="666666"/>
          <w:sz w:val="16"/>
          <w:szCs w:val="16"/>
        </w:rPr>
        <w:t xml:space="preserve">C = Crítico, MA = Medio-Alto, M = Medio, B = Bajo (número de brechas por nivel según la matriz de riesgo GSM).</w:t>
      </w:r>
    </w:p>
    <w:p>
      <w:pPr>
        <w:pStyle w:val="Heading3"/>
        <w:keepNext/>
      </w:pPr>
      <w:r>
        <w:rPr>
          <w:rFonts w:ascii="Arial" w:cs="Arial" w:eastAsia="Arial" w:hAnsi="Arial"/>
        </w:rPr>
        <w:t xml:space="preserve">Lo que recomendamos atender primero</w:t>
      </w:r>
    </w:p>
    <w:p>
      <w:pPr>
        <w:pStyle w:val="ListParagraph"/>
        <w:numPr>
          <w:ilvl w:val="0"/>
          <w:numId w:val="3"/>
        </w:numPr>
        <w:spacing w:after="80" w:line="276"/>
        <w:jc w:val="both"/>
      </w:pPr>
      <w:r>
        <w:rPr>
          <w:rFonts w:ascii="Arial" w:cs="Arial" w:eastAsia="Arial" w:hAnsi="Arial"/>
          <w:b w:val="false"/>
          <w:bCs w:val="false"/>
          <w:sz w:val="21"/>
          <w:szCs w:val="21"/>
        </w:rPr>
        <w:t xml:space="preserve"/>
      </w:r>
      <w:r>
        <w:rPr>
          <w:rFonts w:ascii="Arial" w:cs="Arial" w:eastAsia="Arial" w:hAnsi="Arial"/>
          <w:b/>
          <w:bCs/>
          <w:sz w:val="21"/>
          <w:szCs w:val="21"/>
        </w:rPr>
        <w:t xml:space="preserve">Completar el expediente de gobierno:</w:t>
      </w:r>
      <w:r>
        <w:rPr>
          <w:rFonts w:ascii="Arial" w:cs="Arial" w:eastAsia="Arial" w:hAnsi="Arial"/>
          <w:b w:val="false"/>
          <w:bCs w:val="false"/>
          <w:sz w:val="21"/>
          <w:szCs w:val="21"/>
        </w:rPr>
        <w:t xml:space="preserve"> las actas del Comité de los trimestres II a IV de 2024 y las actas de Junta de designación de la Oficial de Cumplimiento y de aprobación de la matriz de riesgo. Es una tarea relativamente sencilla y de alto impacto ante la SSRP.</w:t>
      </w:r>
    </w:p>
    <w:p>
      <w:pPr>
        <w:pStyle w:val="ListParagraph"/>
        <w:numPr>
          <w:ilvl w:val="0"/>
          <w:numId w:val="3"/>
        </w:numPr>
        <w:spacing w:after="80" w:line="276"/>
        <w:jc w:val="both"/>
      </w:pPr>
      <w:r>
        <w:rPr>
          <w:rFonts w:ascii="Arial" w:cs="Arial" w:eastAsia="Arial" w:hAnsi="Arial"/>
          <w:b w:val="false"/>
          <w:bCs w:val="false"/>
          <w:sz w:val="21"/>
          <w:szCs w:val="21"/>
        </w:rPr>
        <w:t xml:space="preserve"/>
      </w:r>
      <w:r>
        <w:rPr>
          <w:rFonts w:ascii="Arial" w:cs="Arial" w:eastAsia="Arial" w:hAnsi="Arial"/>
          <w:b/>
          <w:bCs/>
          <w:sz w:val="21"/>
          <w:szCs w:val="21"/>
        </w:rPr>
        <w:t xml:space="preserve">Aprobar un plan de remediación de los 73 expedientes de clientes observados</w:t>
      </w:r>
      <w:r>
        <w:rPr>
          <w:rFonts w:ascii="Arial" w:cs="Arial" w:eastAsia="Arial" w:hAnsi="Arial"/>
          <w:b w:val="false"/>
          <w:bCs w:val="false"/>
          <w:sz w:val="21"/>
          <w:szCs w:val="21"/>
        </w:rPr>
        <w:t xml:space="preserve"> y fortalecer los controles previos a la vinculación y a la emisión.</w:t>
      </w:r>
    </w:p>
    <w:p>
      <w:pPr>
        <w:pStyle w:val="ListParagraph"/>
        <w:numPr>
          <w:ilvl w:val="0"/>
          <w:numId w:val="3"/>
        </w:numPr>
        <w:spacing w:after="80" w:line="276"/>
        <w:jc w:val="both"/>
      </w:pPr>
      <w:r>
        <w:rPr>
          <w:rFonts w:ascii="Arial" w:cs="Arial" w:eastAsia="Arial" w:hAnsi="Arial"/>
          <w:b w:val="false"/>
          <w:bCs w:val="false"/>
          <w:sz w:val="21"/>
          <w:szCs w:val="21"/>
        </w:rPr>
        <w:t xml:space="preserve"/>
      </w:r>
      <w:r>
        <w:rPr>
          <w:rFonts w:ascii="Arial" w:cs="Arial" w:eastAsia="Arial" w:hAnsi="Arial"/>
          <w:b/>
          <w:bCs/>
          <w:sz w:val="21"/>
          <w:szCs w:val="21"/>
        </w:rPr>
        <w:t xml:space="preserve">Comprometer fecha y recursos para completar la herramienta de monitoreo automatizado</w:t>
      </w:r>
      <w:r>
        <w:rPr>
          <w:rFonts w:ascii="Arial" w:cs="Arial" w:eastAsia="Arial" w:hAnsi="Arial"/>
          <w:b w:val="false"/>
          <w:bCs w:val="false"/>
          <w:sz w:val="21"/>
          <w:szCs w:val="21"/>
        </w:rPr>
        <w:t xml:space="preserve">, cuyo desarrollo Ancón inició en 2025, y formalizar el registro y cierre de alertas.</w:t>
      </w:r>
    </w:p>
    <w:p>
      <w:pPr>
        <w:pStyle w:val="ListParagraph"/>
        <w:numPr>
          <w:ilvl w:val="0"/>
          <w:numId w:val="3"/>
        </w:numPr>
        <w:spacing w:after="80" w:line="276"/>
        <w:jc w:val="both"/>
      </w:pPr>
      <w:r>
        <w:rPr>
          <w:rFonts w:ascii="Arial" w:cs="Arial" w:eastAsia="Arial" w:hAnsi="Arial"/>
          <w:b w:val="false"/>
          <w:bCs w:val="false"/>
          <w:sz w:val="21"/>
          <w:szCs w:val="21"/>
        </w:rPr>
        <w:t xml:space="preserve"/>
      </w:r>
      <w:r>
        <w:rPr>
          <w:rFonts w:ascii="Arial" w:cs="Arial" w:eastAsia="Arial" w:hAnsi="Arial"/>
          <w:b/>
          <w:bCs/>
          <w:sz w:val="21"/>
          <w:szCs w:val="21"/>
        </w:rPr>
        <w:t xml:space="preserve">Analizar y documentar el caso de Fianzas de 2024</w:t>
      </w:r>
      <w:r>
        <w:rPr>
          <w:rFonts w:ascii="Arial" w:cs="Arial" w:eastAsia="Arial" w:hAnsi="Arial"/>
          <w:b w:val="false"/>
          <w:bCs w:val="false"/>
          <w:sz w:val="21"/>
          <w:szCs w:val="21"/>
        </w:rPr>
        <w:t xml:space="preserve">, aprobar el procedimiento de operaciones inusuales y sospechosas y reforzar la capacitación en ROS.</w:t>
      </w:r>
    </w:p>
    <w:p>
      <w:pPr>
        <w:pStyle w:val="ListParagraph"/>
        <w:numPr>
          <w:ilvl w:val="0"/>
          <w:numId w:val="3"/>
        </w:numPr>
        <w:spacing w:after="80" w:line="276"/>
        <w:jc w:val="both"/>
      </w:pPr>
      <w:r>
        <w:rPr>
          <w:rFonts w:ascii="Arial" w:cs="Arial" w:eastAsia="Arial" w:hAnsi="Arial"/>
          <w:b w:val="false"/>
          <w:bCs w:val="false"/>
          <w:sz w:val="21"/>
          <w:szCs w:val="21"/>
        </w:rPr>
        <w:t xml:space="preserve"/>
      </w:r>
      <w:r>
        <w:rPr>
          <w:rFonts w:ascii="Arial" w:cs="Arial" w:eastAsia="Arial" w:hAnsi="Arial"/>
          <w:b/>
          <w:bCs/>
          <w:sz w:val="21"/>
          <w:szCs w:val="21"/>
        </w:rPr>
        <w:t xml:space="preserve">Diseñar todas las acciones con el estándar del Acuerdo 07-2025</w:t>
      </w:r>
      <w:r>
        <w:rPr>
          <w:rFonts w:ascii="Arial" w:cs="Arial" w:eastAsia="Arial" w:hAnsi="Arial"/>
          <w:b w:val="false"/>
          <w:bCs w:val="false"/>
          <w:sz w:val="21"/>
          <w:szCs w:val="21"/>
        </w:rPr>
        <w:t xml:space="preserve"> (Sección 11), para resolver con un solo esfuerzo las brechas del período y la transición al nuevo marco.</w:t>
      </w:r>
    </w:p>
    <w:p>
      <w:pPr>
        <w:pStyle w:val="Heading1"/>
        <w:pageBreakBefore/>
      </w:pPr>
      <w:r>
        <w:rPr>
          <w:rFonts w:ascii="Arial" w:cs="Arial" w:eastAsia="Arial" w:hAnsi="Arial"/>
        </w:rPr>
        <w:t xml:space="preserve">2. Objetivos</w:t>
      </w:r>
    </w:p>
    <w:p>
      <w:pPr>
        <w:pStyle w:val="Heading3"/>
        <w:keepNext/>
      </w:pPr>
      <w:r>
        <w:rPr>
          <w:rFonts w:ascii="Arial" w:cs="Arial" w:eastAsia="Arial" w:hAnsi="Arial"/>
        </w:rPr>
        <w:t xml:space="preserve">Objetivo general</w:t>
      </w:r>
    </w:p>
    <w:p>
      <w:pPr>
        <w:spacing w:after="120" w:before="0" w:line="276"/>
        <w:jc w:val="both"/>
      </w:pPr>
      <w:r>
        <w:rPr>
          <w:rFonts w:ascii="Arial" w:cs="Arial" w:eastAsia="Arial" w:hAnsi="Arial"/>
          <w:b w:val="false"/>
          <w:bCs w:val="false"/>
          <w:sz w:val="21"/>
          <w:szCs w:val="21"/>
        </w:rPr>
        <w:t xml:space="preserve">Evaluar de forma independiente el diseño y la efectividad del sistema de prevención de BC/FT/FPADM de Aseguradora Ancón durante el período evaluado, determinar su grado de cumplimiento con la normativa aplicable e identificar las brechas, los riesgos y las acciones necesarias para proteger la licencia y la reputación de la entidad. Como objetivo complementario, ofrecer a Ancón una hoja de ruta para alinear su sistema con el Acuerdo SSRP 07-2025.</w:t>
      </w:r>
    </w:p>
    <w:p>
      <w:pPr>
        <w:pStyle w:val="Heading3"/>
        <w:keepNext/>
      </w:pPr>
      <w:r>
        <w:rPr>
          <w:rFonts w:ascii="Arial" w:cs="Arial" w:eastAsia="Arial" w:hAnsi="Arial"/>
        </w:rPr>
        <w:t xml:space="preserve">Objetivos específicos</w:t>
      </w:r>
    </w:p>
    <w:p>
      <w:pPr>
        <w:pStyle w:val="ListParagraph"/>
        <w:numPr>
          <w:ilvl w:val="0"/>
          <w:numId w:val="4"/>
        </w:numPr>
        <w:spacing w:after="80" w:line="276"/>
        <w:jc w:val="both"/>
      </w:pPr>
      <w:r>
        <w:rPr>
          <w:rFonts w:ascii="Arial" w:cs="Arial" w:eastAsia="Arial" w:hAnsi="Arial"/>
          <w:b w:val="false"/>
          <w:bCs w:val="false"/>
          <w:sz w:val="21"/>
          <w:szCs w:val="21"/>
        </w:rPr>
        <w:t xml:space="preserve">Evaluar el </w:t>
      </w:r>
      <w:r>
        <w:rPr>
          <w:rFonts w:ascii="Arial" w:cs="Arial" w:eastAsia="Arial" w:hAnsi="Arial"/>
          <w:b/>
          <w:bCs/>
          <w:sz w:val="21"/>
          <w:szCs w:val="21"/>
        </w:rPr>
        <w:t xml:space="preserve">gobierno corporativo</w:t>
      </w:r>
      <w:r>
        <w:rPr>
          <w:rFonts w:ascii="Arial" w:cs="Arial" w:eastAsia="Arial" w:hAnsi="Arial"/>
          <w:b w:val="false"/>
          <w:bCs w:val="false"/>
          <w:sz w:val="21"/>
          <w:szCs w:val="21"/>
        </w:rPr>
        <w:t xml:space="preserve"> del programa: supervisión de la Junta y del Comité, e independencia y recursos del Oficial de Cumplimiento.</w:t>
      </w:r>
    </w:p>
    <w:p>
      <w:pPr>
        <w:pStyle w:val="ListParagraph"/>
        <w:numPr>
          <w:ilvl w:val="0"/>
          <w:numId w:val="4"/>
        </w:numPr>
        <w:spacing w:after="80" w:line="276"/>
        <w:jc w:val="both"/>
      </w:pPr>
      <w:r>
        <w:rPr>
          <w:rFonts w:ascii="Arial" w:cs="Arial" w:eastAsia="Arial" w:hAnsi="Arial"/>
          <w:b w:val="false"/>
          <w:bCs w:val="false"/>
          <w:sz w:val="21"/>
          <w:szCs w:val="21"/>
        </w:rPr>
        <w:t xml:space="preserve">Verificar que las </w:t>
      </w:r>
      <w:r>
        <w:rPr>
          <w:rFonts w:ascii="Arial" w:cs="Arial" w:eastAsia="Arial" w:hAnsi="Arial"/>
          <w:b/>
          <w:bCs/>
          <w:sz w:val="21"/>
          <w:szCs w:val="21"/>
        </w:rPr>
        <w:t xml:space="preserve">políticas y procedimientos</w:t>
      </w:r>
      <w:r>
        <w:rPr>
          <w:rFonts w:ascii="Arial" w:cs="Arial" w:eastAsia="Arial" w:hAnsi="Arial"/>
          <w:b w:val="false"/>
          <w:bCs w:val="false"/>
          <w:sz w:val="21"/>
          <w:szCs w:val="21"/>
        </w:rPr>
        <w:t xml:space="preserve"> estén alineados con la normativa, vigentes, trazables y al alcance del personal.</w:t>
      </w:r>
    </w:p>
    <w:p>
      <w:pPr>
        <w:pStyle w:val="ListParagraph"/>
        <w:numPr>
          <w:ilvl w:val="0"/>
          <w:numId w:val="4"/>
        </w:numPr>
        <w:spacing w:after="80" w:line="276"/>
        <w:jc w:val="both"/>
      </w:pPr>
      <w:r>
        <w:rPr>
          <w:rFonts w:ascii="Arial" w:cs="Arial" w:eastAsia="Arial" w:hAnsi="Arial"/>
          <w:b w:val="false"/>
          <w:bCs w:val="false"/>
          <w:sz w:val="21"/>
          <w:szCs w:val="21"/>
        </w:rPr>
        <w:t xml:space="preserve">Evaluar cómo se planifica, aprueba, ejecuta y da seguimiento al </w:t>
      </w:r>
      <w:r>
        <w:rPr>
          <w:rFonts w:ascii="Arial" w:cs="Arial" w:eastAsia="Arial" w:hAnsi="Arial"/>
          <w:b/>
          <w:bCs/>
          <w:sz w:val="21"/>
          <w:szCs w:val="21"/>
        </w:rPr>
        <w:t xml:space="preserve">Programa Anual de Cumplimiento</w:t>
      </w:r>
      <w:r>
        <w:rPr>
          <w:rFonts w:ascii="Arial" w:cs="Arial" w:eastAsia="Arial" w:hAnsi="Arial"/>
          <w:b w:val="false"/>
          <w:bCs w:val="false"/>
          <w:sz w:val="21"/>
          <w:szCs w:val="21"/>
        </w:rPr>
        <w:t xml:space="preserve">.</w:t>
      </w:r>
    </w:p>
    <w:p>
      <w:pPr>
        <w:pStyle w:val="ListParagraph"/>
        <w:numPr>
          <w:ilvl w:val="0"/>
          <w:numId w:val="4"/>
        </w:numPr>
        <w:spacing w:after="80" w:line="276"/>
        <w:jc w:val="both"/>
      </w:pPr>
      <w:r>
        <w:rPr>
          <w:rFonts w:ascii="Arial" w:cs="Arial" w:eastAsia="Arial" w:hAnsi="Arial"/>
          <w:b w:val="false"/>
          <w:bCs w:val="false"/>
          <w:sz w:val="21"/>
          <w:szCs w:val="21"/>
        </w:rPr>
        <w:t xml:space="preserve">Evaluar la adecuación y efectividad del </w:t>
      </w:r>
      <w:r>
        <w:rPr>
          <w:rFonts w:ascii="Arial" w:cs="Arial" w:eastAsia="Arial" w:hAnsi="Arial"/>
          <w:b/>
          <w:bCs/>
          <w:sz w:val="21"/>
          <w:szCs w:val="21"/>
        </w:rPr>
        <w:t xml:space="preserve">monitoreo transaccional</w:t>
      </w:r>
      <w:r>
        <w:rPr>
          <w:rFonts w:ascii="Arial" w:cs="Arial" w:eastAsia="Arial" w:hAnsi="Arial"/>
          <w:b w:val="false"/>
          <w:bCs w:val="false"/>
          <w:sz w:val="21"/>
          <w:szCs w:val="21"/>
        </w:rPr>
        <w:t xml:space="preserve"> y de la gestión de alertas.</w:t>
      </w:r>
    </w:p>
    <w:p>
      <w:pPr>
        <w:pStyle w:val="ListParagraph"/>
        <w:numPr>
          <w:ilvl w:val="0"/>
          <w:numId w:val="4"/>
        </w:numPr>
        <w:spacing w:after="80" w:line="276"/>
        <w:jc w:val="both"/>
      </w:pPr>
      <w:r>
        <w:rPr>
          <w:rFonts w:ascii="Arial" w:cs="Arial" w:eastAsia="Arial" w:hAnsi="Arial"/>
          <w:b w:val="false"/>
          <w:bCs w:val="false"/>
          <w:sz w:val="21"/>
          <w:szCs w:val="21"/>
        </w:rPr>
        <w:t xml:space="preserve">Verificar la efectividad de la </w:t>
      </w:r>
      <w:r>
        <w:rPr>
          <w:rFonts w:ascii="Arial" w:cs="Arial" w:eastAsia="Arial" w:hAnsi="Arial"/>
          <w:b/>
          <w:bCs/>
          <w:sz w:val="21"/>
          <w:szCs w:val="21"/>
        </w:rPr>
        <w:t xml:space="preserve">debida diligencia</w:t>
      </w:r>
      <w:r>
        <w:rPr>
          <w:rFonts w:ascii="Arial" w:cs="Arial" w:eastAsia="Arial" w:hAnsi="Arial"/>
          <w:b w:val="false"/>
          <w:bCs w:val="false"/>
          <w:sz w:val="21"/>
          <w:szCs w:val="21"/>
        </w:rPr>
        <w:t xml:space="preserve"> de clientes, colaboradores, intermediarios y proveedores.</w:t>
      </w:r>
    </w:p>
    <w:p>
      <w:pPr>
        <w:pStyle w:val="ListParagraph"/>
        <w:numPr>
          <w:ilvl w:val="0"/>
          <w:numId w:val="4"/>
        </w:numPr>
        <w:spacing w:after="80" w:line="276"/>
        <w:jc w:val="both"/>
      </w:pPr>
      <w:r>
        <w:rPr>
          <w:rFonts w:ascii="Arial" w:cs="Arial" w:eastAsia="Arial" w:hAnsi="Arial"/>
          <w:b w:val="false"/>
          <w:bCs w:val="false"/>
          <w:sz w:val="21"/>
          <w:szCs w:val="21"/>
        </w:rPr>
        <w:t xml:space="preserve">Evaluar la existencia, la metodología y el uso de la </w:t>
      </w:r>
      <w:r>
        <w:rPr>
          <w:rFonts w:ascii="Arial" w:cs="Arial" w:eastAsia="Arial" w:hAnsi="Arial"/>
          <w:b/>
          <w:bCs/>
          <w:sz w:val="21"/>
          <w:szCs w:val="21"/>
        </w:rPr>
        <w:t xml:space="preserve">evaluación de riesgo BC/FT/FPADM</w:t>
      </w:r>
      <w:r>
        <w:rPr>
          <w:rFonts w:ascii="Arial" w:cs="Arial" w:eastAsia="Arial" w:hAnsi="Arial"/>
          <w:b w:val="false"/>
          <w:bCs w:val="false"/>
          <w:sz w:val="21"/>
          <w:szCs w:val="21"/>
        </w:rPr>
        <w:t xml:space="preserve">.</w:t>
      </w:r>
    </w:p>
    <w:p>
      <w:pPr>
        <w:pStyle w:val="ListParagraph"/>
        <w:numPr>
          <w:ilvl w:val="0"/>
          <w:numId w:val="4"/>
        </w:numPr>
        <w:spacing w:after="80" w:line="276"/>
        <w:jc w:val="both"/>
      </w:pPr>
      <w:r>
        <w:rPr>
          <w:rFonts w:ascii="Arial" w:cs="Arial" w:eastAsia="Arial" w:hAnsi="Arial"/>
          <w:b w:val="false"/>
          <w:bCs w:val="false"/>
          <w:sz w:val="21"/>
          <w:szCs w:val="21"/>
        </w:rPr>
        <w:t xml:space="preserve">Evaluar los controles para detectar y </w:t>
      </w:r>
      <w:r>
        <w:rPr>
          <w:rFonts w:ascii="Arial" w:cs="Arial" w:eastAsia="Arial" w:hAnsi="Arial"/>
          <w:b/>
          <w:bCs/>
          <w:sz w:val="21"/>
          <w:szCs w:val="21"/>
        </w:rPr>
        <w:t xml:space="preserve">reportar</w:t>
      </w:r>
      <w:r>
        <w:rPr>
          <w:rFonts w:ascii="Arial" w:cs="Arial" w:eastAsia="Arial" w:hAnsi="Arial"/>
          <w:b w:val="false"/>
          <w:bCs w:val="false"/>
          <w:sz w:val="21"/>
          <w:szCs w:val="21"/>
        </w:rPr>
        <w:t xml:space="preserve"> operaciones inusuales y sospechosas, y los reportes a la UAF y la SSRP.</w:t>
      </w:r>
    </w:p>
    <w:p>
      <w:pPr>
        <w:pStyle w:val="ListParagraph"/>
        <w:numPr>
          <w:ilvl w:val="0"/>
          <w:numId w:val="4"/>
        </w:numPr>
        <w:spacing w:after="80" w:line="276"/>
        <w:jc w:val="both"/>
      </w:pPr>
      <w:r>
        <w:rPr>
          <w:rFonts w:ascii="Arial" w:cs="Arial" w:eastAsia="Arial" w:hAnsi="Arial"/>
          <w:b w:val="false"/>
          <w:bCs w:val="false"/>
          <w:sz w:val="21"/>
          <w:szCs w:val="21"/>
        </w:rPr>
        <w:t xml:space="preserve">Verificar la </w:t>
      </w:r>
      <w:r>
        <w:rPr>
          <w:rFonts w:ascii="Arial" w:cs="Arial" w:eastAsia="Arial" w:hAnsi="Arial"/>
          <w:b/>
          <w:bCs/>
          <w:sz w:val="21"/>
          <w:szCs w:val="21"/>
        </w:rPr>
        <w:t xml:space="preserve">conservación de documentos</w:t>
      </w:r>
      <w:r>
        <w:rPr>
          <w:rFonts w:ascii="Arial" w:cs="Arial" w:eastAsia="Arial" w:hAnsi="Arial"/>
          <w:b w:val="false"/>
          <w:bCs w:val="false"/>
          <w:sz w:val="21"/>
          <w:szCs w:val="21"/>
        </w:rPr>
        <w:t xml:space="preserve"> y la capacidad de reconstruir operaciones.</w:t>
      </w:r>
    </w:p>
    <w:p>
      <w:pPr>
        <w:pStyle w:val="ListParagraph"/>
        <w:numPr>
          <w:ilvl w:val="0"/>
          <w:numId w:val="4"/>
        </w:numPr>
        <w:spacing w:after="80" w:line="276"/>
        <w:jc w:val="both"/>
      </w:pPr>
      <w:r>
        <w:rPr>
          <w:rFonts w:ascii="Arial" w:cs="Arial" w:eastAsia="Arial" w:hAnsi="Arial"/>
          <w:b w:val="false"/>
          <w:bCs w:val="false"/>
          <w:sz w:val="21"/>
          <w:szCs w:val="21"/>
        </w:rPr>
        <w:t xml:space="preserve">Valorar los riesgos identificados en una </w:t>
      </w:r>
      <w:r>
        <w:rPr>
          <w:rFonts w:ascii="Arial" w:cs="Arial" w:eastAsia="Arial" w:hAnsi="Arial"/>
          <w:b/>
          <w:bCs/>
          <w:sz w:val="21"/>
          <w:szCs w:val="21"/>
        </w:rPr>
        <w:t xml:space="preserve">matriz de probabilidad e impacto</w:t>
      </w:r>
      <w:r>
        <w:rPr>
          <w:rFonts w:ascii="Arial" w:cs="Arial" w:eastAsia="Arial" w:hAnsi="Arial"/>
          <w:b w:val="false"/>
          <w:bCs w:val="false"/>
          <w:sz w:val="21"/>
          <w:szCs w:val="21"/>
        </w:rPr>
        <w:t xml:space="preserve"> e identificar las </w:t>
      </w:r>
      <w:r>
        <w:rPr>
          <w:rFonts w:ascii="Arial" w:cs="Arial" w:eastAsia="Arial" w:hAnsi="Arial"/>
          <w:b/>
          <w:bCs/>
          <w:sz w:val="21"/>
          <w:szCs w:val="21"/>
        </w:rPr>
        <w:t xml:space="preserve">mejoras necesarias frente al Acuerdo 07-2025</w:t>
      </w:r>
      <w:r>
        <w:rPr>
          <w:rFonts w:ascii="Arial" w:cs="Arial" w:eastAsia="Arial" w:hAnsi="Arial"/>
          <w:b w:val="false"/>
          <w:bCs w:val="false"/>
          <w:sz w:val="21"/>
          <w:szCs w:val="21"/>
        </w:rPr>
        <w:t xml:space="preserve">.</w:t>
      </w:r>
    </w:p>
    <w:p>
      <w:pPr>
        <w:pStyle w:val="Heading1"/>
        <w:pageBreakBefore/>
      </w:pPr>
      <w:r>
        <w:rPr>
          <w:rFonts w:ascii="Arial" w:cs="Arial" w:eastAsia="Arial" w:hAnsi="Arial"/>
        </w:rPr>
        <w:t xml:space="preserve">3. Alcance</w:t>
      </w:r>
    </w:p>
    <w:p>
      <w:pPr>
        <w:pStyle w:val="Heading2"/>
      </w:pPr>
      <w:r>
        <w:rPr>
          <w:rFonts w:ascii="Arial" w:cs="Arial" w:eastAsia="Arial" w:hAnsi="Arial"/>
        </w:rPr>
        <w:t xml:space="preserve">3.1 Entidad, período y criterio de evaluación</w:t>
      </w:r>
    </w:p>
    <w:p>
      <w:pPr>
        <w:spacing w:after="120" w:before="0" w:line="276"/>
        <w:jc w:val="both"/>
      </w:pPr>
      <w:r>
        <w:rPr>
          <w:rFonts w:ascii="Arial" w:cs="Arial" w:eastAsia="Arial" w:hAnsi="Arial"/>
          <w:b w:val="false"/>
          <w:bCs w:val="false"/>
          <w:sz w:val="21"/>
          <w:szCs w:val="21"/>
        </w:rPr>
        <w:t xml:space="preserve">Evaluamos a Aseguradora Ancón, S.A., sujeto obligado del Grupo A ante la SSRP, durante el período del 1 de julio de 2024 al 30 de junio de 2025. Los criterios son la Ley 23 de 2015 y sus modificaciones, el Decreto Ejecutivo 35 de 2022 y el </w:t>
      </w:r>
      <w:r>
        <w:rPr>
          <w:rFonts w:ascii="Arial" w:cs="Arial" w:eastAsia="Arial" w:hAnsi="Arial"/>
          <w:b/>
          <w:bCs/>
          <w:sz w:val="21"/>
          <w:szCs w:val="21"/>
        </w:rPr>
        <w:t xml:space="preserve">Acuerdo SSRP 03-2022</w:t>
      </w:r>
      <w:r>
        <w:rPr>
          <w:rFonts w:ascii="Arial" w:cs="Arial" w:eastAsia="Arial" w:hAnsi="Arial"/>
          <w:b w:val="false"/>
          <w:bCs w:val="false"/>
          <w:sz w:val="21"/>
          <w:szCs w:val="21"/>
        </w:rPr>
        <w:t xml:space="preserve">. Siguiendo la aclaración de aprobaciones presentada por Ancón, tomamos en cuenta las decisiones del Comité de octubre de 2023 y abril de 2024 como base normativa vigente durante el período. Esa aclaración documenta las aprobaciones del Comité; las ratificaciones de la Junta Directiva y las remisiones a la SSRP se evalúan con la documentación propia de esos órganos. Cuando un hecho posterior es relevante, lo indicamos.</w:t>
      </w:r>
    </w:p>
    <w:p>
      <w:pPr>
        <w:spacing w:after="120" w:before="0" w:line="276"/>
        <w:jc w:val="both"/>
      </w:pPr>
      <w:r>
        <w:rPr>
          <w:rFonts w:ascii="Arial" w:cs="Arial" w:eastAsia="Arial" w:hAnsi="Arial"/>
          <w:b w:val="false"/>
          <w:bCs w:val="false"/>
          <w:sz w:val="21"/>
          <w:szCs w:val="21"/>
        </w:rPr>
        <w:t xml:space="preserve">Revisamos ocho componentes: Gobierno Corporativo; Políticas y Procedimientos; Programa Anual de Cumplimiento; Monitoreo Transaccional; Debida Diligencia; Evaluación de Riesgo AML; Reportes Regulatorios; y Conservación de Documentos.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9"/>
                <w:szCs w:val="19"/>
              </w:rPr>
              <w:t xml:space="preserve"/>
            </w:r>
            <w:r>
              <w:rPr>
                <w:rFonts w:ascii="Arial" w:cs="Arial" w:eastAsia="Arial" w:hAnsi="Arial"/>
                <w:b/>
                <w:bCs/>
                <w:sz w:val="19"/>
                <w:szCs w:val="19"/>
              </w:rPr>
              <w:t xml:space="preserve">El Acuerdo SSRP 07-2025 está fuera del alcance de esta evaluación.</w:t>
            </w:r>
            <w:r>
              <w:rPr>
                <w:rFonts w:ascii="Arial" w:cs="Arial" w:eastAsia="Arial" w:hAnsi="Arial"/>
                <w:b w:val="false"/>
                <w:bCs w:val="false"/>
                <w:sz w:val="19"/>
                <w:szCs w:val="19"/>
              </w:rPr>
              <w:t xml:space="preserve"> Se aprobó el 27 de noviembre de 2025 y se publicó en Gaceta Oficial el 10 de diciembre de 2025, después del cierre del período. Por eso no lo utilizamos como criterio para calificar los componentes ni emitimos opinión sobre el cumplimiento de Ancón respecto de él. Dado que hoy es la norma aplicable, en la Sección 11 presentamos, como valor agregado, un catálogo de mejoras y una hoja de ruta para la transición.</w:t>
            </w:r>
          </w:p>
        </w:tc>
      </w:tr>
    </w:tbl>
    <w:p>
      <w:pPr>
        <w:pStyle w:val="Heading2"/>
      </w:pPr>
      <w:r>
        <w:rPr>
          <w:rFonts w:ascii="Arial" w:cs="Arial" w:eastAsia="Arial" w:hAnsi="Arial"/>
        </w:rPr>
        <w:t xml:space="preserve">3.2 Procedimientos realizados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Procedimiento</w:t>
            </w:r>
          </w:p>
        </w:tc>
        <w:tc>
          <w:tcPr>
            <w:tcW w:type="dxa" w:w="63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Cobertura</w:t>
            </w:r>
          </w:p>
        </w:tc>
      </w:tr>
      <w:tr>
        <w:trPr>
          <w:cantSplit/>
        </w:trPr>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Solicitud y revisión documental</w:t>
            </w:r>
          </w:p>
        </w:tc>
        <w:tc>
          <w:tcPr>
            <w:tcW w:type="dxa" w:w="6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92 requerimientos de información sobre gobierno AML y administración de riesgo (70), gobierno corporativo (13) y capacitación y conocimiento del colaborador (9). Ver Anexo C.</w:t>
            </w:r>
          </w:p>
        </w:tc>
      </w:tr>
      <w:tr>
        <w:trPr>
          <w:cantSplit/>
        </w:trPr>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Revisión del ciclo de aprobaciones</w:t>
            </w:r>
          </w:p>
        </w:tc>
        <w:tc>
          <w:tcPr>
            <w:tcW w:type="dxa" w:w="6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Aclaración de aprobaciones en actas del Comité (IV trimestre 2023 – 2025), actas del 17-04-2024 y 28-05-2025 y cinco informes de seguimiento al Comité.</w:t>
            </w:r>
          </w:p>
        </w:tc>
      </w:tr>
      <w:tr>
        <w:trPr>
          <w:cantSplit/>
        </w:trPr>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Entrevistas</w:t>
            </w:r>
          </w:p>
        </w:tc>
        <w:tc>
          <w:tcPr>
            <w:tcW w:type="dxa" w:w="6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13 entrevistas, realizadas entre el 8 y el 22 de enero de 2026, a responsables y personal de Comercial, Fianzas, Emisión, Cobros, Tecnología, Recursos Humanos, Sucursales, Reclamos de Auto, Atención al Cliente, Personas, Reclamos Patrimoniales y la sucursal de La Chorrera. Las respuestas se contrastaron con el Manual de Prevención y con la evidencia documental aportada.</w:t>
            </w:r>
          </w:p>
        </w:tc>
      </w:tr>
      <w:tr>
        <w:trPr>
          <w:cantSplit/>
        </w:trPr>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Prueba de expedientes de clientes</w:t>
            </w:r>
          </w:p>
        </w:tc>
        <w:tc>
          <w:tcPr>
            <w:tcW w:type="dxa" w:w="6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85 expedientes (57 personas naturales y 28 jurídicas).</w:t>
            </w:r>
          </w:p>
        </w:tc>
      </w:tr>
      <w:tr>
        <w:trPr>
          <w:cantSplit/>
        </w:trPr>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Prueba de expedientes de colaboradores</w:t>
            </w:r>
          </w:p>
        </w:tc>
        <w:tc>
          <w:tcPr>
            <w:tcW w:type="dxa" w:w="6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33 de 181 colaboradores activos (18.2 %), contrastados con el expediente mínimo de CONASEM-5, la periodicidad de actualización de DPRPACO-17 y el Art. 16 del Acuerdo 03-2022.</w:t>
            </w:r>
          </w:p>
        </w:tc>
      </w:tr>
      <w:tr>
        <w:trPr>
          <w:cantSplit/>
        </w:trPr>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Verificación de controles de listas</w:t>
            </w:r>
          </w:p>
        </w:tc>
        <w:tc>
          <w:tcPr>
            <w:tcW w:type="dxa" w:w="6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Herramienta de consulta, constancia de barridos sobre clientes existentes y listado de pólizas rechazadas o canceladas por coincidencias.</w:t>
            </w:r>
          </w:p>
        </w:tc>
      </w:tr>
      <w:tr>
        <w:trPr>
          <w:cantSplit/>
        </w:trPr>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Seguimiento de supervisión</w:t>
            </w:r>
          </w:p>
        </w:tc>
        <w:tc>
          <w:tcPr>
            <w:tcW w:type="dxa" w:w="6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Los 14 hallazgos de la inspección SSRP DSR-0924-2023 y la matriz de seguimiento de cierre entregada por Ancón (16-01-2026).</w:t>
            </w:r>
          </w:p>
        </w:tc>
      </w:tr>
      <w:tr>
        <w:trPr>
          <w:cantSplit/>
        </w:trPr>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Valoración de riesgos</w:t>
            </w:r>
          </w:p>
        </w:tc>
        <w:tc>
          <w:tcPr>
            <w:tcW w:type="dxa" w:w="6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Matriz de riesgo GSM de probabilidad por impacto (Sección 7 y archivo Excel adjunto). Solo constituyen brechas los hallazgos con nivel de riesgo; los elementos revisados sin hallazgos se identifican como revisados (Anexo C).</w:t>
            </w:r>
          </w:p>
        </w:tc>
      </w:tr>
    </w:tbl>
    <w:p>
      <w:pPr>
        <w:pStyle w:val="Heading2"/>
      </w:pPr>
      <w:r>
        <w:rPr>
          <w:rFonts w:ascii="Arial" w:cs="Arial" w:eastAsia="Arial" w:hAnsi="Arial"/>
        </w:rPr>
        <w:t xml:space="preserve">3.3 Limitaciones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4200"/>
      </w:tblGrid>
      <w:tr>
        <w:trPr>
          <w:cantSplit/>
          <w:tblHeader/>
        </w:trPr>
        <w:tc>
          <w:tcPr>
            <w:tcW w:type="dxa" w:w="51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Información</w:t>
            </w:r>
          </w:p>
        </w:tc>
        <w:tc>
          <w:tcPr>
            <w:tcW w:type="dxa" w:w="42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Situación y tratamiento en el informe</w:t>
            </w:r>
          </w:p>
        </w:tc>
      </w:tr>
      <w:tr>
        <w:trPr>
          <w:cantSplit/>
        </w:trPr>
        <w:tc>
          <w:tcPr>
            <w:tcW w:type="dxa" w:w="5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Actas del Comité de los trimestres II a IV de 2024.</w:t>
            </w:r>
          </w:p>
        </w:tc>
        <w:tc>
          <w:tcPr>
            <w:tcW w:type="dxa" w:w="4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Según la aclaración de Ancón, fueron sesiones de seguimiento sin nuevas aprobaciones; al no aportarse las copias, su celebración no puede verificarse documentalmente (GC-01).</w:t>
            </w:r>
          </w:p>
        </w:tc>
      </w:tr>
      <w:tr>
        <w:trPr>
          <w:cantSplit/>
        </w:trPr>
        <w:tc>
          <w:tcPr>
            <w:tcW w:type="dxa" w:w="5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Actas de Junta Directiva de designación de la Oficial de Cumplimiento y de aprobación de la matriz de riesgo BC/FT/FPADM.</w:t>
            </w:r>
          </w:p>
        </w:tc>
        <w:tc>
          <w:tcPr>
            <w:tcW w:type="dxa" w:w="4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Pendientes de entrega (GC-03 y ER-01). La ratificación del Manual y de la herramienta de listas, y la aprobación de los programas y del Informe de Gestión, se validaron con la certificación del Secretario de la Junta y con las actas de Junta aportadas.</w:t>
            </w:r>
          </w:p>
        </w:tc>
      </w:tr>
      <w:tr>
        <w:trPr>
          <w:cantSplit/>
        </w:trPr>
        <w:tc>
          <w:tcPr>
            <w:tcW w:type="dxa" w:w="5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Reportes de efectivo y cuasi efectivo del período.</w:t>
            </w:r>
          </w:p>
        </w:tc>
        <w:tc>
          <w:tcPr>
            <w:tcW w:type="dxa" w:w="4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Pendientes de entrega; se refleja en RR-03.</w:t>
            </w:r>
          </w:p>
        </w:tc>
      </w:tr>
      <w:tr>
        <w:trPr>
          <w:cantSplit/>
        </w:trPr>
        <w:tc>
          <w:tcPr>
            <w:tcW w:type="dxa" w:w="5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Programa de visitas a sucursales.</w:t>
            </w:r>
          </w:p>
        </w:tc>
        <w:tc>
          <w:tcPr>
            <w:tcW w:type="dxa" w:w="4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Pendiente de entrega; no genera brecha.</w:t>
            </w:r>
          </w:p>
        </w:tc>
      </w:tr>
      <w:tr>
        <w:trPr>
          <w:cantSplit/>
        </w:trPr>
        <w:tc>
          <w:tcPr>
            <w:tcW w:type="dxa" w:w="5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Ancón indicó no contar con: calendario anual y temario del Comité, informe anual de gestión del Comité, listado de alertas cerradas como falsos positivos y base de datos de proveedores activos.</w:t>
            </w:r>
          </w:p>
        </w:tc>
        <w:tc>
          <w:tcPr>
            <w:tcW w:type="dxa" w:w="4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Los tres primeros se tratan como oportunidades de mejora (OM-03 a OM-05); los dos últimos se reflejan en MT-02 y DD-03.</w:t>
            </w:r>
          </w:p>
        </w:tc>
      </w:tr>
      <w:tr>
        <w:trPr>
          <w:cantSplit/>
        </w:trPr>
        <w:tc>
          <w:tcPr>
            <w:tcW w:type="dxa" w:w="5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Política de transacciones con partes relacionadas.</w:t>
            </w:r>
          </w:p>
        </w:tc>
        <w:tc>
          <w:tcPr>
            <w:tcW w:type="dxa" w:w="4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No existía durante el período; Ancón la adoptó a finales de 2025 con la actualización de su marco de gobierno corporativo, lo que se reconoce como un avance posterior.</w:t>
            </w:r>
          </w:p>
        </w:tc>
      </w:tr>
      <w:tr>
        <w:trPr>
          <w:cantSplit/>
        </w:trPr>
        <w:tc>
          <w:tcPr>
            <w:tcW w:type="dxa" w:w="5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Manual de Gobierno Corporativo, Reglamento del Comité y Manual de Control Interno.</w:t>
            </w:r>
          </w:p>
        </w:tc>
        <w:tc>
          <w:tcPr>
            <w:tcW w:type="dxa" w:w="4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Se actualizaron a finales de 2025 conforme al Acuerdo SSRP 3-2025; se evaluaron las versiones aportadas y se reconoce que la actualización corrige los vacíos que pudieran tener los documentos del período.</w:t>
            </w:r>
          </w:p>
        </w:tc>
      </w:tr>
      <w:tr>
        <w:trPr>
          <w:cantSplit/>
        </w:trPr>
        <w:tc>
          <w:tcPr>
            <w:tcW w:type="dxa" w:w="5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Las entrevistas mencionan una versión 4.0 del Manual.</w:t>
            </w:r>
          </w:p>
        </w:tc>
        <w:tc>
          <w:tcPr>
            <w:tcW w:type="dxa" w:w="4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Para el período se toma como base la versión 3.0 (octubre de 2023).</w:t>
            </w:r>
          </w:p>
        </w:tc>
      </w:tr>
    </w:tbl>
    <w:p>
      <w:pPr>
        <w:pStyle w:val="Heading2"/>
      </w:pPr>
      <w:r>
        <w:rPr>
          <w:rFonts w:ascii="Arial" w:cs="Arial" w:eastAsia="Arial" w:hAnsi="Arial"/>
        </w:rPr>
        <w:t xml:space="preserve">3.4 Independencia y responsabilidades</w:t>
      </w:r>
    </w:p>
    <w:p>
      <w:pPr>
        <w:spacing w:after="120" w:before="0" w:line="276"/>
        <w:jc w:val="both"/>
      </w:pPr>
      <w:r>
        <w:rPr>
          <w:rFonts w:ascii="Arial" w:cs="Arial" w:eastAsia="Arial" w:hAnsi="Arial"/>
          <w:b w:val="false"/>
          <w:bCs w:val="false"/>
          <w:sz w:val="21"/>
          <w:szCs w:val="21"/>
        </w:rPr>
        <w:t xml:space="preserve">La evaluación fue realizada por especialistas de GSM Consulting con criterio independiente de las áreas evaluadas, en los términos del Art. 45 de la Ley 23 de 2015 y del Art. 18 del Acuerdo 03-2022. Nuestras conclusiones se apoyan en la documentación entregada, en las entrevistas y en las pruebas de expedientes. El diseño, la implementación y la operación del sistema de prevención son responsabilidad de la Junta Directiva y de la Alta Gerencia de Ancón.</w:t>
      </w:r>
    </w:p>
    <w:p>
      <w:pPr>
        <w:pStyle w:val="Heading1"/>
        <w:pageBreakBefore/>
      </w:pPr>
      <w:r>
        <w:rPr>
          <w:rFonts w:ascii="Arial" w:cs="Arial" w:eastAsia="Arial" w:hAnsi="Arial"/>
        </w:rPr>
        <w:t xml:space="preserve">4. Marco Normativo de Referencia</w:t>
      </w:r>
    </w:p>
    <w:p>
      <w:pPr>
        <w:pStyle w:val="Heading3"/>
        <w:keepNext/>
      </w:pPr>
      <w:r>
        <w:rPr>
          <w:rFonts w:ascii="Arial" w:cs="Arial" w:eastAsia="Arial" w:hAnsi="Arial"/>
        </w:rPr>
        <w:t xml:space="preserve">Normas aplicadas en la evaluación del período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Instrumento</w:t>
            </w:r>
          </w:p>
        </w:tc>
        <w:tc>
          <w:tcPr>
            <w:tcW w:type="dxa" w:w="60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Uso en la evaluación</w:t>
            </w:r>
          </w:p>
        </w:tc>
      </w:tr>
      <w:tr>
        <w:trPr>
          <w:cantSplit/>
        </w:trPr>
        <w:tc>
          <w:tcPr>
            <w:tcW w:type="dxa" w:w="3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Ley 23 de 27 de abril de 2015 (Gaceta 27768-B) y sus modificaciones (Leyes 21 de 2017, 70 de 2019, 124 de 2020 y 254 de 2021)</w:t>
            </w:r>
          </w:p>
        </w:tc>
        <w:tc>
          <w:tcPr>
            <w:tcW w:type="dxa" w:w="6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Marco legal: debida diligencia basada en riesgo (Art. 26), actualización y conservación (Art. 29), PEP (Art. 34), conocimiento del empleado (Art. 42), evaluación independiente (Art. 45), capacitación (Art. 47), congelamiento preventivo (Art. 49) y reportes de efectivo (Art. 53) y de operación sospechosa (Art. 54).</w:t>
            </w:r>
          </w:p>
        </w:tc>
      </w:tr>
      <w:tr>
        <w:trPr>
          <w:cantSplit/>
        </w:trPr>
        <w:tc>
          <w:tcPr>
            <w:tcW w:type="dxa" w:w="3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Decreto Ejecutivo 35 de 6 de septiembre de 2022 (Gaceta 29616-A)</w:t>
            </w:r>
          </w:p>
        </w:tc>
        <w:tc>
          <w:tcPr>
            <w:tcW w:type="dxa" w:w="6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Reglamento de la Ley 23, que sustituyó al Decreto Ejecutivo 363 de 2015: enfoque basado en riesgo (Art. 7), perfiles, debida diligencia, operaciones inusuales y sospechosas, conservación y criterios de gravedad (Art. 29).</w:t>
            </w:r>
          </w:p>
        </w:tc>
      </w:tr>
      <w:tr>
        <w:trPr>
          <w:cantSplit/>
        </w:trPr>
        <w:tc>
          <w:tcPr>
            <w:tcW w:type="dxa" w:w="3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Acuerdo SSRP 03-2022 (24-11-2022; Gaceta 29693-A de 03-01-2023)</w:t>
            </w:r>
          </w:p>
        </w:tc>
        <w:tc>
          <w:tcPr>
            <w:tcW w:type="dxa" w:w="6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Norma sectorial vigente durante el período y principal criterio, incluido su régimen sancionatorio (Arts. 55 a 63).</w:t>
            </w:r>
          </w:p>
        </w:tc>
      </w:tr>
      <w:tr>
        <w:trPr>
          <w:cantSplit/>
        </w:trPr>
        <w:tc>
          <w:tcPr>
            <w:tcW w:type="dxa" w:w="3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Recomendaciones del GAFI</w:t>
            </w:r>
          </w:p>
        </w:tc>
        <w:tc>
          <w:tcPr>
            <w:tcW w:type="dxa" w:w="6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R.1 (enfoque de riesgo), R.10 (debida diligencia), R.12 (PEP), R.18 (controles internos) y R.20 (operaciones sospechosas).</w:t>
            </w:r>
          </w:p>
        </w:tc>
      </w:tr>
    </w:tbl>
    <w:p>
      <w:pPr>
        <w:pStyle w:val="Heading3"/>
        <w:keepNext/>
      </w:pPr>
      <w:r>
        <w:rPr>
          <w:rFonts w:ascii="Arial" w:cs="Arial" w:eastAsia="Arial" w:hAnsi="Arial"/>
        </w:rPr>
        <w:t xml:space="preserve">Norma de referencia para el valor agregado (fuera del alcance)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Instrumento</w:t>
            </w:r>
          </w:p>
        </w:tc>
        <w:tc>
          <w:tcPr>
            <w:tcW w:type="dxa" w:w="60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Uso en este informe</w:t>
            </w:r>
          </w:p>
        </w:tc>
      </w:tr>
      <w:tr>
        <w:trPr>
          <w:cantSplit/>
        </w:trPr>
        <w:tc>
          <w:tcPr>
            <w:tcW w:type="dxa" w:w="3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Acuerdo SSRP 07-2025 (27-11-2025; Gaceta 30421-B de 10-12-2025)</w:t>
            </w:r>
          </w:p>
        </w:tc>
        <w:tc>
          <w:tcPr>
            <w:tcW w:type="dxa" w:w="6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Reglamenta la prevención para aseguradoras y reaseguradoras y deroga el Acuerdo 03-2022 y el Acuerdo 02 de 2015 (catálogo de señales de alerta). Es la base del catálogo de mejoras y de la hoja de ruta de la Sección 11.</w:t>
            </w:r>
          </w:p>
        </w:tc>
      </w:tr>
      <w:tr>
        <w:trPr>
          <w:cantSplit/>
        </w:trPr>
        <w:tc>
          <w:tcPr>
            <w:tcW w:type="dxa" w:w="3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Acuerdo SSRP 3-2025 (19-06-2025) – Gobierno Corporativo</w:t>
            </w:r>
          </w:p>
        </w:tc>
        <w:tc>
          <w:tcPr>
            <w:tcW w:type="dxa" w:w="6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Referido por Ancón como base de la actualización posterior de su marco de gobierno corporativo.</w:t>
            </w:r>
          </w:p>
        </w:tc>
      </w:tr>
    </w:tbl>
    <w:p>
      <w:pPr>
        <w:pStyle w:val="Heading1"/>
        <w:pageBreakBefore/>
      </w:pPr>
      <w:r>
        <w:rPr>
          <w:rFonts w:ascii="Arial" w:cs="Arial" w:eastAsia="Arial" w:hAnsi="Arial"/>
        </w:rPr>
        <w:t xml:space="preserve">5. Metodología y Escala de Calificación</w:t>
      </w:r>
    </w:p>
    <w:p>
      <w:pPr>
        <w:spacing w:after="120" w:before="0" w:line="276"/>
        <w:jc w:val="both"/>
      </w:pPr>
      <w:r>
        <w:rPr>
          <w:rFonts w:ascii="Arial" w:cs="Arial" w:eastAsia="Arial" w:hAnsi="Arial"/>
          <w:b w:val="false"/>
          <w:bCs w:val="false"/>
          <w:sz w:val="21"/>
          <w:szCs w:val="21"/>
        </w:rPr>
        <w:t xml:space="preserve">Trabajamos en cuatro etapas: identificar las brechas y su causa raíz; valorar cada brecha en la matriz de riesgo GSM según su probabilidad e impacto; definir estrategias de control y mitigación; y priorizarlas en un plan de acción con horizontes de 0–30, 30–90 y 90–180 días. Solo se consideran </w:t>
      </w:r>
      <w:r>
        <w:rPr>
          <w:rFonts w:ascii="Arial" w:cs="Arial" w:eastAsia="Arial" w:hAnsi="Arial"/>
          <w:b/>
          <w:bCs/>
          <w:sz w:val="21"/>
          <w:szCs w:val="21"/>
        </w:rPr>
        <w:t xml:space="preserve">brechas</w:t>
      </w:r>
      <w:r>
        <w:rPr>
          <w:rFonts w:ascii="Arial" w:cs="Arial" w:eastAsia="Arial" w:hAnsi="Arial"/>
          <w:b w:val="false"/>
          <w:bCs w:val="false"/>
          <w:sz w:val="21"/>
          <w:szCs w:val="21"/>
        </w:rPr>
        <w:t xml:space="preserve"> los hallazgos que tienen un nivel de riesgo asignado. Los elementos que se encontraron conformes a la regulación y al estándar de evaluación con enfoque basado en riesgo se identifican como </w:t>
      </w:r>
      <w:r>
        <w:rPr>
          <w:rFonts w:ascii="Arial" w:cs="Arial" w:eastAsia="Arial" w:hAnsi="Arial"/>
          <w:b/>
          <w:bCs/>
          <w:sz w:val="21"/>
          <w:szCs w:val="21"/>
        </w:rPr>
        <w:t xml:space="preserve">revisados sin hallazgos</w:t>
      </w:r>
      <w:r>
        <w:rPr>
          <w:rFonts w:ascii="Arial" w:cs="Arial" w:eastAsia="Arial" w:hAnsi="Arial"/>
          <w:b w:val="false"/>
          <w:bCs w:val="false"/>
          <w:sz w:val="21"/>
          <w:szCs w:val="21"/>
        </w:rPr>
        <w:t xml:space="preserve">, y las mejoras que no constituyen incumplimiento del período se registran como </w:t>
      </w:r>
      <w:r>
        <w:rPr>
          <w:rFonts w:ascii="Arial" w:cs="Arial" w:eastAsia="Arial" w:hAnsi="Arial"/>
          <w:b/>
          <w:bCs/>
          <w:sz w:val="21"/>
          <w:szCs w:val="21"/>
        </w:rPr>
        <w:t xml:space="preserve">oportunidades de mejora o recomendaciones</w:t>
      </w:r>
      <w:r>
        <w:rPr>
          <w:rFonts w:ascii="Arial" w:cs="Arial" w:eastAsia="Arial" w:hAnsi="Arial"/>
          <w:b w:val="false"/>
          <w:bCs w:val="false"/>
          <w:sz w:val="21"/>
          <w:szCs w:val="21"/>
        </w:rPr>
        <w:t xml:space="preserve">.</w:t>
      </w:r>
    </w:p>
    <w:p>
      <w:pPr>
        <w:pStyle w:val="Heading3"/>
        <w:keepNext/>
      </w:pPr>
      <w:r>
        <w:rPr>
          <w:rFonts w:ascii="Arial" w:cs="Arial" w:eastAsia="Arial" w:hAnsi="Arial"/>
        </w:rPr>
        <w:t xml:space="preserve">Escala de probabilidad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6860"/>
      </w:tblGrid>
      <w:tr>
        <w:trPr>
          <w:cantSplit/>
          <w:tblHeader/>
        </w:trPr>
        <w:tc>
          <w:tcPr>
            <w:tcW w:type="dxa" w:w="9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Puntaje</w:t>
            </w:r>
          </w:p>
        </w:tc>
        <w:tc>
          <w:tcPr>
            <w:tcW w:type="dxa" w:w="16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Nivel</w:t>
            </w:r>
          </w:p>
        </w:tc>
        <w:tc>
          <w:tcPr>
            <w:tcW w:type="dxa" w:w="68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Descripción</w:t>
            </w:r>
          </w:p>
        </w:tc>
      </w:tr>
      <w:tr>
        <w:trPr>
          <w:cantSplit/>
        </w:trPr>
        <w:tc>
          <w:tcPr>
            <w:tcW w:type="dxa" w:w="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5</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Frecuente</w:t>
            </w:r>
          </w:p>
        </w:tc>
        <w:tc>
          <w:tcPr>
            <w:tcW w:type="dxa" w:w="68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La probabilidad de ocurrencia es muy alta; sucede en la mayoría de las circunstancias.</w:t>
            </w:r>
          </w:p>
        </w:tc>
      </w:tr>
      <w:tr>
        <w:trPr>
          <w:cantSplit/>
        </w:trPr>
        <w:tc>
          <w:tcPr>
            <w:tcW w:type="dxa" w:w="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4</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Probable</w:t>
            </w:r>
          </w:p>
        </w:tc>
        <w:tc>
          <w:tcPr>
            <w:tcW w:type="dxa" w:w="68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Es probable que ocurra; los controles o procesos no son suficientemente efectivos para prevenirlo.</w:t>
            </w:r>
          </w:p>
        </w:tc>
      </w:tr>
      <w:tr>
        <w:trPr>
          <w:cantSplit/>
        </w:trPr>
        <w:tc>
          <w:tcPr>
            <w:tcW w:type="dxa" w:w="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Ocasional</w:t>
            </w:r>
          </w:p>
        </w:tc>
        <w:tc>
          <w:tcPr>
            <w:tcW w:type="dxa" w:w="68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Existe la posibilidad de que ocurra; los controles de mitigación no son del todo efectivos.</w:t>
            </w:r>
          </w:p>
        </w:tc>
      </w:tr>
      <w:tr>
        <w:trPr>
          <w:cantSplit/>
        </w:trPr>
        <w:tc>
          <w:tcPr>
            <w:tcW w:type="dxa" w:w="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Posible</w:t>
            </w:r>
          </w:p>
        </w:tc>
        <w:tc>
          <w:tcPr>
            <w:tcW w:type="dxa" w:w="68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Posibilidad limitada; es poco probable con los controles actuales.</w:t>
            </w:r>
          </w:p>
        </w:tc>
      </w:tr>
      <w:tr>
        <w:trPr>
          <w:cantSplit/>
        </w:trPr>
        <w:tc>
          <w:tcPr>
            <w:tcW w:type="dxa" w:w="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Improbable</w:t>
            </w:r>
          </w:p>
        </w:tc>
        <w:tc>
          <w:tcPr>
            <w:tcW w:type="dxa" w:w="68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Probabilidad extremadamente baja; los controles son altamente efectivos.</w:t>
            </w:r>
          </w:p>
        </w:tc>
      </w:tr>
    </w:tbl>
    <w:p>
      <w:pPr>
        <w:pStyle w:val="Heading3"/>
        <w:keepNext/>
      </w:pPr>
      <w:r>
        <w:rPr>
          <w:rFonts w:ascii="Arial" w:cs="Arial" w:eastAsia="Arial" w:hAnsi="Arial"/>
        </w:rPr>
        <w:t xml:space="preserve">Escala de impacto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6860"/>
      </w:tblGrid>
      <w:tr>
        <w:trPr>
          <w:cantSplit/>
          <w:tblHeader/>
        </w:trPr>
        <w:tc>
          <w:tcPr>
            <w:tcW w:type="dxa" w:w="9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Puntaje</w:t>
            </w:r>
          </w:p>
        </w:tc>
        <w:tc>
          <w:tcPr>
            <w:tcW w:type="dxa" w:w="16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Nivel</w:t>
            </w:r>
          </w:p>
        </w:tc>
        <w:tc>
          <w:tcPr>
            <w:tcW w:type="dxa" w:w="68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Descripción</w:t>
            </w:r>
          </w:p>
        </w:tc>
      </w:tr>
      <w:tr>
        <w:trPr>
          <w:cantSplit/>
        </w:trPr>
        <w:tc>
          <w:tcPr>
            <w:tcW w:type="dxa" w:w="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5</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Catastrófico</w:t>
            </w:r>
          </w:p>
        </w:tc>
        <w:tc>
          <w:tcPr>
            <w:tcW w:type="dxa" w:w="68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Impacto severo e irreversible: sanciones regulatorias mayores, pérdidas masivas, daño reputacional crítico.</w:t>
            </w:r>
          </w:p>
        </w:tc>
      </w:tr>
      <w:tr>
        <w:trPr>
          <w:cantSplit/>
        </w:trPr>
        <w:tc>
          <w:tcPr>
            <w:tcW w:type="dxa" w:w="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4</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Mayor</w:t>
            </w:r>
          </w:p>
        </w:tc>
        <w:tc>
          <w:tcPr>
            <w:tcW w:type="dxa" w:w="68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Pérdidas o sanciones significativas que requieren intervención inmediata de la Alta Gerencia y la Junta.</w:t>
            </w:r>
          </w:p>
        </w:tc>
      </w:tr>
      <w:tr>
        <w:trPr>
          <w:cantSplit/>
        </w:trPr>
        <w:tc>
          <w:tcPr>
            <w:tcW w:type="dxa" w:w="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Moderado</w:t>
            </w:r>
          </w:p>
        </w:tc>
        <w:tc>
          <w:tcPr>
            <w:tcW w:type="dxa" w:w="68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Impacto considerable; puede afectar operaciones o comprometer parcialmente el cumplimiento.</w:t>
            </w:r>
          </w:p>
        </w:tc>
      </w:tr>
      <w:tr>
        <w:trPr>
          <w:cantSplit/>
        </w:trPr>
        <w:tc>
          <w:tcPr>
            <w:tcW w:type="dxa" w:w="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Menor</w:t>
            </w:r>
          </w:p>
        </w:tc>
        <w:tc>
          <w:tcPr>
            <w:tcW w:type="dxa" w:w="68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Impacto leve; correcciones administrativas menores sin afectar operaciones críticas.</w:t>
            </w:r>
          </w:p>
        </w:tc>
      </w:tr>
      <w:tr>
        <w:trPr>
          <w:cantSplit/>
        </w:trPr>
        <w:tc>
          <w:tcPr>
            <w:tcW w:type="dxa" w:w="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Insignificante</w:t>
            </w:r>
          </w:p>
        </w:tc>
        <w:tc>
          <w:tcPr>
            <w:tcW w:type="dxa" w:w="68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Impacto mínimo; se resuelve con los controles normales.</w:t>
            </w:r>
          </w:p>
        </w:tc>
      </w:tr>
    </w:tbl>
    <w:p>
      <w:pPr>
        <w:pStyle w:val="Heading3"/>
        <w:keepNext/>
      </w:pPr>
      <w:r>
        <w:rPr>
          <w:rFonts w:ascii="Arial" w:cs="Arial" w:eastAsia="Arial" w:hAnsi="Arial"/>
        </w:rPr>
        <w:t xml:space="preserve">Niveles de riesgo (Probabilidad × Impacto)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rPr>
          <w:cantSplit/>
          <w:tblHeader/>
        </w:trPr>
        <w:tc>
          <w:tcPr>
            <w:tcW w:type="dxa" w:w="2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Nivel</w:t>
            </w:r>
          </w:p>
        </w:tc>
        <w:tc>
          <w:tcPr>
            <w:tcW w:type="dxa" w:w="12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Puntaje</w:t>
            </w:r>
          </w:p>
        </w:tc>
        <w:tc>
          <w:tcPr>
            <w:tcW w:type="dxa" w:w="61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Acción requerida</w:t>
            </w:r>
          </w:p>
        </w:tc>
      </w:tr>
      <w:tr>
        <w:trPr>
          <w:cantSplit/>
        </w:trPr>
        <w:tc>
          <w:tcPr>
            <w:tcW w:type="dxa" w:w="2000"/>
            <w:tcBorders>
              <w:top w:val="single" w:color="B7C4CA" w:sz="4"/>
              <w:left w:val="single" w:color="B7C4CA" w:sz="4"/>
              <w:bottom w:val="single" w:color="B7C4CA" w:sz="4"/>
              <w:right w:val="single" w:color="B7C4CA" w:sz="4"/>
            </w:tcBorders>
            <w:shd w:fill="E066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CRÍTICO</w:t>
            </w:r>
          </w:p>
        </w:tc>
        <w:tc>
          <w:tcPr>
            <w:tcW w:type="dxa" w:w="1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15 – 25</w:t>
            </w:r>
          </w:p>
        </w:tc>
        <w:tc>
          <w:tcPr>
            <w:tcW w:type="dxa" w:w="6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Riesgo inaceptable. Acción inmediata (0-30 días). Reporte obligatorio a la Junta Directiva y al Oficial de Cumplimiento.</w:t>
            </w:r>
          </w:p>
        </w:tc>
      </w:tr>
      <w:tr>
        <w:trPr>
          <w:cantSplit/>
        </w:trPr>
        <w:tc>
          <w:tcPr>
            <w:tcW w:type="dxa" w:w="2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MEDIO-ALTO</w:t>
            </w:r>
          </w:p>
        </w:tc>
        <w:tc>
          <w:tcPr>
            <w:tcW w:type="dxa" w:w="1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8 – 12</w:t>
            </w:r>
          </w:p>
        </w:tc>
        <w:tc>
          <w:tcPr>
            <w:tcW w:type="dxa" w:w="6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Riesgo significativo. Plan de acción formal (30-60 días). Monitoreo mensual.</w:t>
            </w:r>
          </w:p>
        </w:tc>
      </w:tr>
      <w:tr>
        <w:trPr>
          <w:cantSplit/>
        </w:trPr>
        <w:tc>
          <w:tcPr>
            <w:tcW w:type="dxa" w:w="2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c>
          <w:tcPr>
            <w:tcW w:type="dxa" w:w="1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4 – 6</w:t>
            </w:r>
          </w:p>
        </w:tc>
        <w:tc>
          <w:tcPr>
            <w:tcW w:type="dxa" w:w="6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Riesgo manejable. Medidas correctivas (60-90 días). Monitoreo trimestral.</w:t>
            </w:r>
          </w:p>
        </w:tc>
      </w:tr>
      <w:tr>
        <w:trPr>
          <w:cantSplit/>
        </w:trPr>
        <w:tc>
          <w:tcPr>
            <w:tcW w:type="dxa" w:w="200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BAJO</w:t>
            </w:r>
          </w:p>
        </w:tc>
        <w:tc>
          <w:tcPr>
            <w:tcW w:type="dxa" w:w="1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 – 3</w:t>
            </w:r>
          </w:p>
        </w:tc>
        <w:tc>
          <w:tcPr>
            <w:tcW w:type="dxa" w:w="6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Riesgo aceptable con controles mínimos. Monitoreo semestral.</w:t>
            </w:r>
          </w:p>
        </w:tc>
      </w:tr>
      <w:tr>
        <w:trPr>
          <w:cantSplit/>
        </w:trPr>
        <w:tc>
          <w:tcPr>
            <w:tcW w:type="dxa" w:w="20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OPT. DE MEJORA</w:t>
            </w:r>
          </w:p>
        </w:tc>
        <w:tc>
          <w:tcPr>
            <w:tcW w:type="dxa" w:w="1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N/A</w:t>
            </w:r>
          </w:p>
        </w:tc>
        <w:tc>
          <w:tcPr>
            <w:tcW w:type="dxa" w:w="6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No es hallazgo de incumplimiento. Mejora preventiva o de adecuación normativa prospectiva.</w:t>
            </w:r>
          </w:p>
        </w:tc>
      </w:tr>
    </w:tbl>
    <w:p>
      <w:pPr>
        <w:pStyle w:val="Heading3"/>
        <w:keepNext/>
      </w:pPr>
      <w:r>
        <w:rPr>
          <w:rFonts w:ascii="Arial" w:cs="Arial" w:eastAsia="Arial" w:hAnsi="Arial"/>
        </w:rPr>
        <w:t xml:space="preserve">Calificación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rPr>
          <w:cantSplit/>
          <w:tblHeader/>
        </w:trPr>
        <w:tc>
          <w:tcPr>
            <w:tcW w:type="dxa" w:w="22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Nivel</w:t>
            </w:r>
          </w:p>
        </w:tc>
        <w:tc>
          <w:tcPr>
            <w:tcW w:type="dxa" w:w="16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Estado</w:t>
            </w:r>
          </w:p>
        </w:tc>
        <w:tc>
          <w:tcPr>
            <w:tcW w:type="dxa" w:w="55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Regla aplicada</w:t>
            </w:r>
          </w:p>
        </w:tc>
      </w:tr>
      <w:tr>
        <w:trPr>
          <w:cantSplit/>
        </w:trPr>
        <w:tc>
          <w:tcPr>
            <w:tcW w:type="dxa" w:w="2200"/>
            <w:tcBorders>
              <w:top w:val="single" w:color="B7C4CA" w:sz="4"/>
              <w:left w:val="single" w:color="B7C4CA" w:sz="4"/>
              <w:bottom w:val="single" w:color="B7C4CA" w:sz="4"/>
              <w:right w:val="single" w:color="B7C4CA" w:sz="4"/>
            </w:tcBorders>
            <w:shd w:fill="E06666"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Nivel 1 – CRÍTICO</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No Cumple</w:t>
            </w:r>
          </w:p>
        </w:tc>
        <w:tc>
          <w:tcPr>
            <w:tcW w:type="dxa" w:w="5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Dos o más brechas de nivel CRÍTICO en el componente.</w:t>
            </w:r>
          </w:p>
        </w:tc>
      </w:tr>
      <w:tr>
        <w:trPr>
          <w:cantSplit/>
        </w:trPr>
        <w:tc>
          <w:tcPr>
            <w:tcW w:type="dxa" w:w="22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Nivel 2 – ALTO</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Brecha Mayor</w:t>
            </w:r>
          </w:p>
        </w:tc>
        <w:tc>
          <w:tcPr>
            <w:tcW w:type="dxa" w:w="5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Una brecha CRÍTICA o tres o más de nivel MEDIO-ALTO.</w:t>
            </w:r>
          </w:p>
        </w:tc>
      </w:tr>
      <w:tr>
        <w:trPr>
          <w:cantSplit/>
        </w:trPr>
        <w:tc>
          <w:tcPr>
            <w:tcW w:type="dxa" w:w="22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Nivel 3 – MEDIO</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Brecha Parcial</w:t>
            </w:r>
          </w:p>
        </w:tc>
        <w:tc>
          <w:tcPr>
            <w:tcW w:type="dxa" w:w="5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Una o dos brechas de nivel MEDIO-ALTO.</w:t>
            </w:r>
          </w:p>
        </w:tc>
      </w:tr>
      <w:tr>
        <w:trPr>
          <w:cantSplit/>
        </w:trPr>
        <w:tc>
          <w:tcPr>
            <w:tcW w:type="dxa" w:w="220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Nivel 4 – BAJO</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Cumple</w:t>
            </w:r>
          </w:p>
        </w:tc>
        <w:tc>
          <w:tcPr>
            <w:tcW w:type="dxa" w:w="5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Solo brechas de nivel MEDIO o BAJO.</w:t>
            </w:r>
          </w:p>
        </w:tc>
      </w:tr>
    </w:tbl>
    <w:p>
      <w:pPr>
        <w:pStyle w:val="Heading1"/>
        <w:pageBreakBefore/>
      </w:pPr>
      <w:r>
        <w:rPr>
          <w:rFonts w:ascii="Arial" w:cs="Arial" w:eastAsia="Arial" w:hAnsi="Arial"/>
        </w:rPr>
        <w:t xml:space="preserve">6. Desarrollo por Componente</w:t>
      </w:r>
    </w:p>
    <w:p>
      <w:pPr>
        <w:spacing w:after="120" w:before="0" w:line="276"/>
        <w:jc w:val="both"/>
      </w:pPr>
      <w:r>
        <w:rPr>
          <w:rFonts w:ascii="Arial" w:cs="Arial" w:eastAsia="Arial" w:hAnsi="Arial"/>
          <w:b w:val="false"/>
          <w:bCs w:val="false"/>
          <w:sz w:val="21"/>
          <w:szCs w:val="21"/>
        </w:rPr>
        <w:t xml:space="preserve">Cada componente sigue la misma estructura: calificación, situación actual, elementos revisados sin hallazgos, brechas con su base normativa y valoración en la matriz (P:I = probabilidad e impacto), riesgo regulatorio y posible observación de la SSRP, recomendaciones, oportunidades de mejora y ruta de acción, incluida su conexión con la hoja de ruta del Acuerdo 07-2025.</w:t>
      </w:r>
    </w:p>
    <w:p>
      <w:pPr>
        <w:pStyle w:val="Heading2"/>
      </w:pPr>
      <w:r>
        <w:rPr>
          <w:rFonts w:ascii="Arial" w:cs="Arial" w:eastAsia="Arial" w:hAnsi="Arial"/>
        </w:rPr>
        <w:t xml:space="preserve">6.1 Gobierno Corporativo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Calificación</w:t>
            </w:r>
          </w:p>
        </w:tc>
        <w:tc>
          <w:tcPr>
            <w:tcW w:type="dxa" w:w="736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Nivel 4 – BAJO (Cumple)</w:t>
            </w:r>
          </w:p>
        </w:tc>
      </w:tr>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Brechas</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8"/>
                <w:szCs w:val="18"/>
              </w:rPr>
              <w:t xml:space="preserve">3 (Crítico: 0 · Medio-Alto: 0 · Medio: 3 · Bajo: 0)</w:t>
            </w:r>
          </w:p>
        </w:tc>
      </w:tr>
    </w:tbl>
    <w:p>
      <w:pPr>
        <w:pStyle w:val="Heading3"/>
        <w:keepNext/>
      </w:pPr>
      <w:r>
        <w:rPr>
          <w:rFonts w:ascii="Arial" w:cs="Arial" w:eastAsia="Arial" w:hAnsi="Arial"/>
        </w:rPr>
        <w:t xml:space="preserve">Situación actual</w:t>
      </w:r>
    </w:p>
    <w:p>
      <w:pPr>
        <w:spacing w:after="120" w:before="0" w:line="276"/>
        <w:jc w:val="both"/>
      </w:pPr>
      <w:r>
        <w:rPr>
          <w:rFonts w:ascii="Arial" w:cs="Arial" w:eastAsia="Arial" w:hAnsi="Arial"/>
          <w:b w:val="false"/>
          <w:bCs w:val="false"/>
          <w:sz w:val="21"/>
          <w:szCs w:val="21"/>
        </w:rPr>
        <w:t xml:space="preserve">Ancón cuenta con una Junta Directiva activa y con un Comité de Riesgo y Cumplimiento que, durante el período, se rigió por el Reglamento AA_GOBCORP03 (V03, junio de 2019), que citaba correctamente el Acuerdo SSRP 2-2016. Destacamos que la Oficial de Cumplimiento reporta directamente a la Junta Directiva, lo que le da la posición jerárquica que la función requiere, y que el Departamento incorporó una asistente de apoyo.</w:t>
      </w:r>
    </w:p>
    <w:p>
      <w:pPr>
        <w:spacing w:after="120" w:before="0" w:line="276"/>
        <w:jc w:val="both"/>
      </w:pPr>
      <w:r>
        <w:rPr>
          <w:rFonts w:ascii="Arial" w:cs="Arial" w:eastAsia="Arial" w:hAnsi="Arial"/>
          <w:b w:val="false"/>
          <w:bCs w:val="false"/>
          <w:sz w:val="21"/>
          <w:szCs w:val="21"/>
        </w:rPr>
        <w:t xml:space="preserve">El Cuadro de Trazabilidad presentado por Ancón ordena con claridad el ciclo de decisiones. En octubre de 2023 el Comité aprobó las matrices de riesgo de consumidores, proveedores y colaboradores y la adecuación de políticas y metodologías. En la sesión del 17 de abril de 2024 aprobó por unanimidad el Manual, las políticas, la matriz de productos, el manual de monitoreo, los formularios y la declaración jurada, las evaluaciones de riesgo y la reprogramación del Plan 2024, y ratificó las excepciones operativas. En 2025 ratificó la actualización de matrices, redefinió excepciones, aprobó la reprogramación del Plan 2025 y designó al proveedor de esta evaluación. Dentro del período se cuenta, además, con el acta del 28 de mayo de 2025 y con los informes de seguimiento presentados al Comité. La ratificación del Manual por la Junta Directiva se apoya en la certificación del Secretario de la Junta que Ancón aportó.</w:t>
      </w:r>
    </w:p>
    <w:p>
      <w:pPr>
        <w:spacing w:after="120" w:before="0" w:line="276"/>
        <w:jc w:val="both"/>
      </w:pPr>
      <w:r>
        <w:rPr>
          <w:rFonts w:ascii="Arial" w:cs="Arial" w:eastAsia="Arial" w:hAnsi="Arial"/>
          <w:b w:val="false"/>
          <w:bCs w:val="false"/>
          <w:sz w:val="21"/>
          <w:szCs w:val="21"/>
        </w:rPr>
        <w:t xml:space="preserve">Después del período, la entidad actualizó su marco de gobierno corporativo conforme al Acuerdo SSRP No. 3 de 19 de junio de 2025: actualizó el Manual de Gobierno Corporativo, el Reglamento del Comité y el Manual de Control Interno, adoptó una política de transacciones con partes relacionadas, separó el Comité de Cumplimiento del de Riesgo y realizó su primera autoevaluación de comités. Valoramos estos avances, que corrigen los vacíos que pudieran tener los documentos vigentes durante el período. Las brechas se concentran en la evidencia: según la aclaración de Ancón, en los trimestres II a IV de 2024 el Comité sesionó para dar seguimiento, sin nuevas aprobaciones, pero las copias de esas actas no han sido aportadas; y el acta de Junta que designa a la Oficial de Cumplimiento está pendiente de entrega.</w:t>
      </w:r>
    </w:p>
    <w:p>
      <w:pPr>
        <w:pStyle w:val="Heading3"/>
        <w:keepNext/>
      </w:pPr>
      <w:r>
        <w:rPr>
          <w:rFonts w:ascii="Arial" w:cs="Arial" w:eastAsia="Arial" w:hAnsi="Arial"/>
        </w:rPr>
        <w:t xml:space="preserve">Elementos revisados sin hallazgos</w:t>
      </w:r>
    </w:p>
    <w:p>
      <w:pPr>
        <w:spacing w:after="120" w:before="0" w:line="276"/>
        <w:jc w:val="both"/>
      </w:pPr>
      <w:r>
        <w:rPr>
          <w:rFonts w:ascii="Arial" w:cs="Arial" w:eastAsia="Arial" w:hAnsi="Arial"/>
          <w:b w:val="false"/>
          <w:bCs w:val="false"/>
          <w:sz w:val="21"/>
          <w:szCs w:val="21"/>
        </w:rPr>
        <w:t xml:space="preserve">El Manual de Gobierno Corporativo, el Manual de Control Interno, el Reglamento del Comité de Cumplimiento y el acta de Junta que lo aprueba, los organigramas de la entidad y del Departamento de Cumplimiento, las hojas de vida de la Oficial y de su equipo, la Resolución OAL-362, el informe de la última evaluación independiente, el informe de supervisión de la SSRP (DSR-0924-2023, con 14 hallazgos) con su matriz de cierre y los cinco informes presentados al Comité no generaron hallazgos de riesgo. Ancón indicó que la política de transacciones con partes relacionadas no existía durante el período; la adoptó a finales de 2025.</w:t>
      </w:r>
    </w:p>
    <w:p>
      <w:pPr>
        <w:pStyle w:val="Heading3"/>
        <w:keepNext/>
      </w:pPr>
      <w:r>
        <w:rPr>
          <w:rFonts w:ascii="Arial" w:cs="Arial" w:eastAsia="Arial" w:hAnsi="Arial"/>
        </w:rPr>
        <w:t xml:space="preserve">Brechas identificadas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4840"/>
        <w:gridCol w:w="2400"/>
        <w:gridCol w:w="500"/>
        <w:gridCol w:w="860"/>
      </w:tblGrid>
      <w:tr>
        <w:trPr>
          <w:cantSplit/>
          <w:tblHeader/>
        </w:trPr>
        <w:tc>
          <w:tcPr>
            <w:tcW w:type="dxa" w:w="7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484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Brecha</w:t>
            </w:r>
          </w:p>
        </w:tc>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Base normativa</w:t>
            </w:r>
          </w:p>
        </w:tc>
        <w:tc>
          <w:tcPr>
            <w:tcW w:type="dxa" w:w="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P:I</w:t>
            </w:r>
          </w:p>
        </w:tc>
        <w:tc>
          <w:tcPr>
            <w:tcW w:type="dxa" w:w="8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Nivel</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GC-01</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Actas del Comité de los trimestres II a IV de 2024 pendientes de entrega.</w:t>
            </w:r>
            <w:r>
              <w:rPr>
                <w:rFonts w:ascii="Arial" w:cs="Arial" w:eastAsia="Arial" w:hAnsi="Arial"/>
                <w:b w:val="false"/>
                <w:bCs w:val="false"/>
                <w:sz w:val="16"/>
                <w:szCs w:val="16"/>
              </w:rPr>
              <w:t xml:space="preserve"> Ancón indica que entre la sesión del 17 de abril de 2024 y la del 28 de mayo de 2025 hubo sesiones de seguimiento sin nuevas aprobaciones. Las actas del II, III y IV trimestre de 2024 no han sido aportadas, de modo que su celebración y el mínimo de sesiones anuales no pueden verificarse documentalmente. Las actas del 17-04-2024 y del 28-05-2025 sí se aportaron y se revisaron.</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Reglamento AA_GOBCORP03; Acuerdo 03-2022, Arts. 10 (num. 14) y 11</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2:3</w:t>
            </w:r>
          </w:p>
        </w:tc>
        <w:tc>
          <w:tcPr>
            <w:tcW w:type="dxa" w:w="8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GC-02</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Planificación de Auditoría Interna sin enfoque de riesgo explícito.</w:t>
            </w:r>
            <w:r>
              <w:rPr>
                <w:rFonts w:ascii="Arial" w:cs="Arial" w:eastAsia="Arial" w:hAnsi="Arial"/>
                <w:b w:val="false"/>
                <w:bCs w:val="false"/>
                <w:sz w:val="16"/>
                <w:szCs w:val="16"/>
              </w:rPr>
              <w:t xml:space="preserve"> Los Planes de Auditoría Interna 2024 y 2025 no evidencian una metodología de planificación basada en riesgos ni los elementos formales mínimos de aprobación, alcance, recursos asignados y reprogramación de trabajos no ejecutados; el Plan 2025 tampoco contempla la revisión del área de Cumplimiento. Por eso el Informe Anual de Auditoría Interna al Departamento de Cumplimiento presenta una inconsistencia con ese Plan, y conviene aclarar su alcance y su base de planificación. Valoramos que Auditoría Interna haya emitido ese informe.</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Ley 23 de 2015, Art. 45; Acuerdo 03-2022, Art. 18</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2:3</w:t>
            </w:r>
          </w:p>
        </w:tc>
        <w:tc>
          <w:tcPr>
            <w:tcW w:type="dxa" w:w="8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GC-03</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Acta de Junta que designa a la Oficial de Cumplimiento pendiente de entrega.</w:t>
            </w:r>
            <w:r>
              <w:rPr>
                <w:rFonts w:ascii="Arial" w:cs="Arial" w:eastAsia="Arial" w:hAnsi="Arial"/>
                <w:b w:val="false"/>
                <w:bCs w:val="false"/>
                <w:sz w:val="16"/>
                <w:szCs w:val="16"/>
              </w:rPr>
              <w:t xml:space="preserve"> La designación de la Oficial de Cumplimiento consta en la Resolución OAL-362 de 30 de diciembre de 2022. El acta de la Junta Directiva que la respalda está pendiente de entrega, por lo que no se evidencia el respaldo de la designación por parte del órgano de gobierno.</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Acuerdo 03-2022, Arts. 5 y 8</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2:3</w:t>
            </w:r>
          </w:p>
        </w:tc>
        <w:tc>
          <w:tcPr>
            <w:tcW w:type="dxa" w:w="8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r>
    </w:tbl>
    <w:p>
      <w:pPr>
        <w:pStyle w:val="Heading3"/>
        <w:keepNext/>
      </w:pPr>
      <w:r>
        <w:rPr>
          <w:rFonts w:ascii="Arial" w:cs="Arial" w:eastAsia="Arial" w:hAnsi="Arial"/>
        </w:rPr>
        <w:t xml:space="preserve">Riesgo regulatorio y posible observación de la SSRP</w:t>
      </w:r>
    </w:p>
    <w:p>
      <w:pPr>
        <w:spacing w:after="120" w:before="0" w:line="276"/>
        <w:jc w:val="both"/>
      </w:pPr>
      <w:r>
        <w:rPr>
          <w:rFonts w:ascii="Arial" w:cs="Arial" w:eastAsia="Arial" w:hAnsi="Arial"/>
          <w:b w:val="false"/>
          <w:bCs w:val="false"/>
          <w:sz w:val="21"/>
          <w:szCs w:val="21"/>
        </w:rPr>
        <w:t xml:space="preserve">La SSRP suele pedir, en una inspección, las actas de todas las sesiones del Comité y el respaldo de la designación del Oficial de Cumplimiento (Acuerdo 03-2022, Arts. 5, 8, 10 y 11). Son documentos que Ancón puede completar con rapidez, y la norma premia la iniciativa: subsanar por cuenta propia antes de una resolución sancionatoria constituye un atenuante (Art. 59, num. 1). En cuanto a Auditoría Interna, conviene que el plan anual deje constancia de la revisión de Cumplimiento, dada la exposición del área a riesgos regulatorios y reputacionales.</w:t>
      </w:r>
    </w:p>
    <w:p>
      <w:pPr>
        <w:pStyle w:val="Heading3"/>
        <w:keepNext/>
      </w:pPr>
      <w:r>
        <w:rPr>
          <w:rFonts w:ascii="Arial" w:cs="Arial" w:eastAsia="Arial" w:hAnsi="Arial"/>
        </w:rPr>
        <w:t xml:space="preserve">Recomendaciones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360"/>
        <w:gridCol w:w="1000"/>
      </w:tblGrid>
      <w:tr>
        <w:trPr>
          <w:cantSplit/>
          <w:tblHeader/>
        </w:trPr>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73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Recomendación</w:t>
            </w:r>
          </w:p>
        </w:tc>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Prioridad</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R-GC-01</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Completar el expediente de gobierno: las actas del Comité de los trimestres II a IV de 2024 (o, si no se levantaron, la certificación del Secretario sobre las sesiones de seguimiento) y el acta de Junta que designa a la Oficial de Cumplimiento, con su descripción de puesto.</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R-GC-02</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Elaborar el Plan de Auditoría Interna con metodología basada en riesgos y con sus elementos formales (universo auditable, objetivos y alcance, nivel de riesgo, recursos, responsables, cronograma y aprobación), incluir cada año la revisión de Cumplimiento y de las herramientas AML/CFT, y aclarar el alcance del informe anual de 2025.</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R-GC-03</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Evaluar la capacidad del Departamento de Cumplimiento para ejecutar todas sus funciones y la designación de un suplente del Oficial (ver OM-01 y OM-02).</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r>
    </w:tbl>
    <w:p>
      <w:pPr>
        <w:pStyle w:val="Heading3"/>
        <w:keepNext/>
      </w:pPr>
      <w:r>
        <w:rPr>
          <w:rFonts w:ascii="Arial" w:cs="Arial" w:eastAsia="Arial" w:hAnsi="Arial"/>
        </w:rPr>
        <w:t xml:space="preserve">Oportunidades de mejora y recomendaciones adicionales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cantSplit/>
          <w:tblHeader/>
        </w:trPr>
        <w:tc>
          <w:tcPr>
            <w:tcW w:type="dxa" w:w="8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1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Tipo</w:t>
            </w:r>
          </w:p>
        </w:tc>
        <w:tc>
          <w:tcPr>
            <w:tcW w:type="dxa" w:w="70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Descripción</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OM-01</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Recomendación</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Evaluación de capacidad del Departamento de Cumplimiento.</w:t>
            </w:r>
            <w:r>
              <w:rPr>
                <w:rFonts w:ascii="Arial" w:cs="Arial" w:eastAsia="Arial" w:hAnsi="Arial"/>
                <w:b w:val="false"/>
                <w:bCs w:val="false"/>
                <w:sz w:val="16"/>
                <w:szCs w:val="16"/>
              </w:rPr>
              <w:t xml:space="preserve"> Evaluar si los recursos humanos y tecnológicos del Departamento, y la dedicación del Oficial, son suficientes para ejecutar todas sus funciones frente al volumen de clientes, alertas y debidas diligencias.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OM-02</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Recomendación</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Suplente del Oficial de Cumplimiento.</w:t>
            </w:r>
            <w:r>
              <w:rPr>
                <w:rFonts w:ascii="Arial" w:cs="Arial" w:eastAsia="Arial" w:hAnsi="Arial"/>
                <w:b w:val="false"/>
                <w:bCs w:val="false"/>
                <w:sz w:val="16"/>
                <w:szCs w:val="16"/>
              </w:rPr>
              <w:t xml:space="preserve"> Evaluar la designación formal de un suplente del Oficial entre los miembros del Departamento, para asegurar la continuidad de la función.</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OM-03</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Oportunidad de mejora</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Calendario anual de reuniones del Comité.</w:t>
            </w:r>
            <w:r>
              <w:rPr>
                <w:rFonts w:ascii="Arial" w:cs="Arial" w:eastAsia="Arial" w:hAnsi="Arial"/>
                <w:b w:val="false"/>
                <w:bCs w:val="false"/>
                <w:sz w:val="16"/>
                <w:szCs w:val="16"/>
              </w:rPr>
              <w:t xml:space="preserve"> Si bien las reuniones se realizan con la periodicidad indicada en el Acuerdo 03-2022, mantener un calendario anual es importante para dar cumplimiento a esa periodicidad.</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OM-04</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Oportunidad de mejora</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Temario básico del Comité.</w:t>
            </w:r>
            <w:r>
              <w:rPr>
                <w:rFonts w:ascii="Arial" w:cs="Arial" w:eastAsia="Arial" w:hAnsi="Arial"/>
                <w:b w:val="false"/>
                <w:bCs w:val="false"/>
                <w:sz w:val="16"/>
                <w:szCs w:val="16"/>
              </w:rPr>
              <w:t xml:space="preserve"> Sería ventajoso contar con una agenda o temario de los puntos a tratar en las sesiones, que además sirva de base para los informes presentados.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OM-05</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Oportunidad de mejora</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Informes periódicos del Comité a la Junta e informe anual de gestión.</w:t>
            </w:r>
            <w:r>
              <w:rPr>
                <w:rFonts w:ascii="Arial" w:cs="Arial" w:eastAsia="Arial" w:hAnsi="Arial"/>
                <w:b w:val="false"/>
                <w:bCs w:val="false"/>
                <w:sz w:val="16"/>
                <w:szCs w:val="16"/>
              </w:rPr>
              <w:t xml:space="preserve"> El Acuerdo 03-2022 (Art. 10, num. 14) contempla los informes periódicos a la Junta Directiva; conviene formalizarlos, junto con un informe anual de gestión del Comité.</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OM-06</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Oportunidad de mejora</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Autoevaluación del Comité.</w:t>
            </w:r>
            <w:r>
              <w:rPr>
                <w:rFonts w:ascii="Arial" w:cs="Arial" w:eastAsia="Arial" w:hAnsi="Arial"/>
                <w:b w:val="false"/>
                <w:bCs w:val="false"/>
                <w:sz w:val="16"/>
                <w:szCs w:val="16"/>
              </w:rPr>
              <w:t xml:space="preserve"> El Comité debe autoevaluar su gestión; recomendamos fundamentarla en el Acuerdo 03-2022 y en el Acuerdo de Gobierno Corporativo, con soporte por respuesta.</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OM-07</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Oportunidad de mejora</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Canal de denuncias confidencial.</w:t>
            </w:r>
            <w:r>
              <w:rPr>
                <w:rFonts w:ascii="Arial" w:cs="Arial" w:eastAsia="Arial" w:hAnsi="Arial"/>
                <w:b w:val="false"/>
                <w:bCs w:val="false"/>
                <w:sz w:val="16"/>
                <w:szCs w:val="16"/>
              </w:rPr>
              <w:t xml:space="preserve"> Establecer un canal de denuncias confidencial para la organización, con opción de anonimato y protección frente a represalias.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OM-08</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Recomendación</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Política de Reclutamiento.</w:t>
            </w:r>
            <w:r>
              <w:rPr>
                <w:rFonts w:ascii="Arial" w:cs="Arial" w:eastAsia="Arial" w:hAnsi="Arial"/>
                <w:b w:val="false"/>
                <w:bCs w:val="false"/>
                <w:sz w:val="16"/>
                <w:szCs w:val="16"/>
              </w:rPr>
              <w:t xml:space="preserve"> Que el Oficial de Cumplimiento revise la política periódicamente, o como parte de una revisión de cumplimiento a Recursos Humanos, para garantizar su congruencia con la política Conoce a tu Colaborador.</w:t>
            </w:r>
          </w:p>
        </w:tc>
      </w:tr>
    </w:tbl>
    <w:p>
      <w:pPr>
        <w:pStyle w:val="Heading3"/>
        <w:keepNext/>
      </w:pPr>
      <w:r>
        <w:rPr>
          <w:rFonts w:ascii="Arial" w:cs="Arial" w:eastAsia="Arial" w:hAnsi="Arial"/>
        </w:rPr>
        <w:t xml:space="preserve">Ruta de 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Horizonte</w:t>
            </w:r>
          </w:p>
        </w:tc>
        <w:tc>
          <w:tcPr>
            <w:tcW w:type="dxa" w:w="69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Acciones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0–30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PA-01</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30–90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PA-11</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90–180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PA-13, PA-14, PA-15</w:t>
            </w:r>
          </w:p>
        </w:tc>
      </w:tr>
      <w:tr>
        <w:trPr>
          <w:cantSplit/>
        </w:trPr>
        <w:tc>
          <w:tcPr>
            <w:tcW w:type="dxa" w:w="24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Hacia el Acuerdo 07-2025</w:t>
            </w:r>
          </w:p>
        </w:tc>
        <w:tc>
          <w:tcPr>
            <w:tcW w:type="dxa" w:w="696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RM-02, RM-03, RM-18 (ver Sección 11)</w:t>
            </w:r>
          </w:p>
        </w:tc>
      </w:tr>
    </w:tbl>
    <w:p>
      <w:pPr>
        <w:pStyle w:val="Heading2"/>
        <w:pageBreakBefore/>
      </w:pPr>
      <w:r>
        <w:rPr>
          <w:rFonts w:ascii="Arial" w:cs="Arial" w:eastAsia="Arial" w:hAnsi="Arial"/>
        </w:rPr>
        <w:t xml:space="preserve">6.2 Políticas y Procedimientos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Calificación</w:t>
            </w:r>
          </w:p>
        </w:tc>
        <w:tc>
          <w:tcPr>
            <w:tcW w:type="dxa" w:w="736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Nivel 4 – BAJO (Cumple)</w:t>
            </w:r>
          </w:p>
        </w:tc>
      </w:tr>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Brechas</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8"/>
                <w:szCs w:val="18"/>
              </w:rPr>
              <w:t xml:space="preserve">2 (Crítico: 0 · Medio-Alto: 0 · Medio: 1 · Bajo: 1)</w:t>
            </w:r>
          </w:p>
        </w:tc>
      </w:tr>
    </w:tbl>
    <w:p>
      <w:pPr>
        <w:pStyle w:val="Heading3"/>
        <w:keepNext/>
      </w:pPr>
      <w:r>
        <w:rPr>
          <w:rFonts w:ascii="Arial" w:cs="Arial" w:eastAsia="Arial" w:hAnsi="Arial"/>
        </w:rPr>
        <w:t xml:space="preserve">Situación actual</w:t>
      </w:r>
    </w:p>
    <w:p>
      <w:pPr>
        <w:spacing w:after="120" w:before="0" w:line="276"/>
        <w:jc w:val="both"/>
      </w:pPr>
      <w:r>
        <w:rPr>
          <w:rFonts w:ascii="Arial" w:cs="Arial" w:eastAsia="Arial" w:hAnsi="Arial"/>
          <w:b w:val="false"/>
          <w:bCs w:val="false"/>
          <w:sz w:val="21"/>
          <w:szCs w:val="21"/>
        </w:rPr>
        <w:t xml:space="preserve">Revisamos el Manual de Prevención MPREMET-21 (v3.0, octubre de 2023) y las políticas que lo complementan: Conoce al Consumidor (CONCLI-15), Herramientas Tecnológicas (GESADHE-12), Perfil Financiero y Transaccional (MPRMOPTR-20), Capacitación (CAPAC-8 y CAPPCCASC-13), Reserva y Confidencialidad (RESYCON-7), Conoce a tu Colaborador (CONASEM-5 y DPRPACO-17), Sujetos Regulados del Grupo B (CONSUREG-10 y DPRPASO-19), Sujetos Obligados del Grupo A (CONCOMGF-11) y Proveedores (CONTUPROV-6 y DPRPAPR-18). Todos citan correctamente el Acuerdo 03-2022 y fueron aprobados por el Comité el 17 de abril de 2024.</w:t>
      </w:r>
    </w:p>
    <w:p>
      <w:pPr>
        <w:spacing w:after="120" w:before="0" w:line="276"/>
        <w:jc w:val="both"/>
      </w:pPr>
      <w:r>
        <w:rPr>
          <w:rFonts w:ascii="Arial" w:cs="Arial" w:eastAsia="Arial" w:hAnsi="Arial"/>
          <w:b w:val="false"/>
          <w:bCs w:val="false"/>
          <w:sz w:val="21"/>
          <w:szCs w:val="21"/>
        </w:rPr>
        <w:t xml:space="preserve">La base documental tiene fortalezas claras: el Manual cubre los tres niveles de debida diligencia, la clasificación de riesgo y el tratamiento de PEP; CONCLI-15 distingue bien entre persona natural y jurídica; RESYCON-7 incorpora la Ley 81 de 2019 y controles como DLP, cifrado y bloqueo de USB; y el catálogo de Señales de Alerta 2025 es un documento actualizado y útil. En las políticas de colaboradores, CONASEM-5 incluye una sección de monitoreo de conducta con señales de alerta concretas y define un expediente mínimo razonablemente completo; DPRPACO-17 formaliza el proceso de actualización con un plazo de cinco días hábiles para que el colaborador entregue la información, y remite expresamente a CONASEM-5, lo que da coherencia entre ambas.</w:t>
      </w:r>
    </w:p>
    <w:p>
      <w:pPr>
        <w:spacing w:after="120" w:before="0" w:line="276"/>
        <w:jc w:val="both"/>
      </w:pPr>
      <w:r>
        <w:rPr>
          <w:rFonts w:ascii="Arial" w:cs="Arial" w:eastAsia="Arial" w:hAnsi="Arial"/>
          <w:b w:val="false"/>
          <w:bCs w:val="false"/>
          <w:sz w:val="21"/>
          <w:szCs w:val="21"/>
        </w:rPr>
        <w:t xml:space="preserve">Las políticas de capacitación (CAPAC-8, V3.0 de agosto de 2023, y CAPPCCASC-13, V1.0 de junio de 2023) definen las necesidades y la frecuencia de la formación con un enfoque basado en riesgo, segmentan bien a sus destinatarios, exigen que el Comité apruebe el cronograma anual y registran la participación por modalidad. Los exámenes se realizan a través de la plataforma de capacitación y tienen puntuación, lo que valoramos. Ambas tienen el marco legal y las definiciones homologados, y CAPAC-8 documenta que su versión vigente se actualizó por la entrada en vigor del Acuerdo 03-2022.</w:t>
      </w:r>
    </w:p>
    <w:p>
      <w:pPr>
        <w:pStyle w:val="Heading3"/>
        <w:keepNext/>
      </w:pPr>
      <w:r>
        <w:rPr>
          <w:rFonts w:ascii="Arial" w:cs="Arial" w:eastAsia="Arial" w:hAnsi="Arial"/>
        </w:rPr>
        <w:t xml:space="preserve">Elementos revisados sin hallazgos</w:t>
      </w:r>
    </w:p>
    <w:p>
      <w:pPr>
        <w:spacing w:after="120" w:before="0" w:line="276"/>
        <w:jc w:val="both"/>
      </w:pPr>
      <w:r>
        <w:rPr>
          <w:rFonts w:ascii="Arial" w:cs="Arial" w:eastAsia="Arial" w:hAnsi="Arial"/>
          <w:b w:val="false"/>
          <w:bCs w:val="false"/>
          <w:sz w:val="21"/>
          <w:szCs w:val="21"/>
        </w:rPr>
        <w:t xml:space="preserve">El Manual de Prevención y el acta del Comité que lo aprueba; las políticas de identificación y verificación del consumidor, Conozca al Consumidor y debida diligencia del subyacente que cede el riesgo; Conoce a tu Colaborador y su actualización; reserva y confidencialidad; herramientas tecnológicas; capacitación (introductoria y para canales de comercialización); conservación de documentos; actualización de clientes; y el acta del Comité que aprueba las políticas no generaron hallazgos de riesgo. Algunas políticas tienen oportunidades de mejora que se detallan más abajo.</w:t>
      </w:r>
    </w:p>
    <w:p>
      <w:pPr>
        <w:pStyle w:val="Heading3"/>
        <w:keepNext/>
      </w:pPr>
      <w:r>
        <w:rPr>
          <w:rFonts w:ascii="Arial" w:cs="Arial" w:eastAsia="Arial" w:hAnsi="Arial"/>
        </w:rPr>
        <w:t xml:space="preserve">Brechas identificadas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4840"/>
        <w:gridCol w:w="2400"/>
        <w:gridCol w:w="500"/>
        <w:gridCol w:w="860"/>
      </w:tblGrid>
      <w:tr>
        <w:trPr>
          <w:cantSplit/>
          <w:tblHeader/>
        </w:trPr>
        <w:tc>
          <w:tcPr>
            <w:tcW w:type="dxa" w:w="7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484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Brecha</w:t>
            </w:r>
          </w:p>
        </w:tc>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Base normativa</w:t>
            </w:r>
          </w:p>
        </w:tc>
        <w:tc>
          <w:tcPr>
            <w:tcW w:type="dxa" w:w="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P:I</w:t>
            </w:r>
          </w:p>
        </w:tc>
        <w:tc>
          <w:tcPr>
            <w:tcW w:type="dxa" w:w="8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Nivel</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PP-01</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Cuadros de control de versiones desactualizados.</w:t>
            </w:r>
            <w:r>
              <w:rPr>
                <w:rFonts w:ascii="Arial" w:cs="Arial" w:eastAsia="Arial" w:hAnsi="Arial"/>
                <w:b w:val="false"/>
                <w:bCs w:val="false"/>
                <w:sz w:val="16"/>
                <w:szCs w:val="16"/>
              </w:rPr>
              <w:t xml:space="preserve"> Los cuadros de control de las políticas de sujetos obligados del Grupo A (CONCOMGF-11) y del Grupo B (CONSUREG-10), de actualización de sujetos regulados del Grupo B (DPRPASO-19) y de proveedores (CONTUPROV-6 y DPRPAPR-18) no reflejan la versión vigente, la fecha de aprobación, la instancia aprobadora ni las modificaciones, a pesar de que los documentos ya fueron presentados y aprobados por las instancias del marco de gobierno corporativo de Ancón.</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Manual del Sistema de Control Interno, secc. 6.1; Acuerdo 03-2022, Arts. 14 y 15</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3:1</w:t>
            </w:r>
          </w:p>
        </w:tc>
        <w:tc>
          <w:tcPr>
            <w:tcW w:type="dxa" w:w="86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BAJO</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PP-02</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Política de Perfil Financiero y Transaccional con oportunidades de fortalecimiento.</w:t>
            </w:r>
            <w:r>
              <w:rPr>
                <w:rFonts w:ascii="Arial" w:cs="Arial" w:eastAsia="Arial" w:hAnsi="Arial"/>
                <w:b w:val="false"/>
                <w:bCs w:val="false"/>
                <w:sz w:val="16"/>
                <w:szCs w:val="16"/>
              </w:rPr>
              <w:t xml:space="preserve"> Se observaron oportunidades de fortalecer la política MPRMOPTR-20 en la definición, la actualización y el uso del perfil financiero y transaccional de los consumidores como base del monitoreo transaccional.</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Acuerdo 03-2022, Arts. 10 (num. 9), 20 y 30</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3:2</w:t>
            </w:r>
          </w:p>
        </w:tc>
        <w:tc>
          <w:tcPr>
            <w:tcW w:type="dxa" w:w="8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r>
    </w:tbl>
    <w:p>
      <w:pPr>
        <w:pStyle w:val="Heading3"/>
        <w:keepNext/>
      </w:pPr>
      <w:r>
        <w:rPr>
          <w:rFonts w:ascii="Arial" w:cs="Arial" w:eastAsia="Arial" w:hAnsi="Arial"/>
        </w:rPr>
        <w:t xml:space="preserve">Riesgo regulatorio y posible observación de la SSRP</w:t>
      </w:r>
    </w:p>
    <w:p>
      <w:pPr>
        <w:spacing w:after="120" w:before="0" w:line="276"/>
        <w:jc w:val="both"/>
      </w:pPr>
      <w:r>
        <w:rPr>
          <w:rFonts w:ascii="Arial" w:cs="Arial" w:eastAsia="Arial" w:hAnsi="Arial"/>
          <w:b w:val="false"/>
          <w:bCs w:val="false"/>
          <w:sz w:val="21"/>
          <w:szCs w:val="21"/>
        </w:rPr>
        <w:t xml:space="preserve">Un Manual que no se ajusta al tamaño y la complejidad de la entidad es infracción leve (Art. 61, num. 6, del Acuerdo 03-2022). En este componente la exposición es baja: las brechas son de forma y de fortalecimiento. La SSRP suele verificar que las políticas estén aprobadas, vigentes y trazables, por lo que conviene que los cuadros de control reflejen la versión y la aprobación efectivas de cada documento.</w:t>
      </w:r>
    </w:p>
    <w:p>
      <w:pPr>
        <w:pStyle w:val="Heading3"/>
        <w:keepNext/>
      </w:pPr>
      <w:r>
        <w:rPr>
          <w:rFonts w:ascii="Arial" w:cs="Arial" w:eastAsia="Arial" w:hAnsi="Arial"/>
        </w:rPr>
        <w:t xml:space="preserve">Recomendaciones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360"/>
        <w:gridCol w:w="1000"/>
      </w:tblGrid>
      <w:tr>
        <w:trPr>
          <w:cantSplit/>
          <w:tblHeader/>
        </w:trPr>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73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Recomendación</w:t>
            </w:r>
          </w:p>
        </w:tc>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Prioridad</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R-PP-01</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Actualizar de inmediato los cuadros de control de las políticas para que reflejen la versión vigente, la fecha de aprobación, la instancia aprobadora y cualquier modificación; y revisar en conjunto CONSUREG-10 y DPRPASO-19 para homologar su contenido, criterios, definiciones, lineamientos y responsabilidades.</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R-PP-02</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Fortalecer la política MPRMOPTR-20 en la definición, la actualización y el uso del perfil de los consumidores como base del monitoreo transaccional.</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r>
    </w:tbl>
    <w:p>
      <w:pPr>
        <w:pStyle w:val="Heading3"/>
        <w:keepNext/>
      </w:pPr>
      <w:r>
        <w:rPr>
          <w:rFonts w:ascii="Arial" w:cs="Arial" w:eastAsia="Arial" w:hAnsi="Arial"/>
        </w:rPr>
        <w:t xml:space="preserve">Oportunidades de mejora y recomendaciones adicionales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cantSplit/>
          <w:tblHeader/>
        </w:trPr>
        <w:tc>
          <w:tcPr>
            <w:tcW w:type="dxa" w:w="8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1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Tipo</w:t>
            </w:r>
          </w:p>
        </w:tc>
        <w:tc>
          <w:tcPr>
            <w:tcW w:type="dxa" w:w="70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Descripción</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OM-09</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Recomendación</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Control de constancias de capacitación en la política.</w:t>
            </w:r>
            <w:r>
              <w:rPr>
                <w:rFonts w:ascii="Arial" w:cs="Arial" w:eastAsia="Arial" w:hAnsi="Arial"/>
                <w:b w:val="false"/>
                <w:bCs w:val="false"/>
                <w:sz w:val="16"/>
                <w:szCs w:val="16"/>
              </w:rPr>
              <w:t xml:space="preserve"> Reflejar en la política una forma más apegada a la realidad para que el Oficial lleve el control del porcentaje de colaboradores capacitados y de sus constancias, sin depender de Recursos Humanos.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OM-10</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Oportunidad de mejora</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Checklist de documentación mínima del colaborador.</w:t>
            </w:r>
            <w:r>
              <w:rPr>
                <w:rFonts w:ascii="Arial" w:cs="Arial" w:eastAsia="Arial" w:hAnsi="Arial"/>
                <w:b w:val="false"/>
                <w:bCs w:val="false"/>
                <w:sz w:val="16"/>
                <w:szCs w:val="16"/>
              </w:rPr>
              <w:t xml:space="preserve"> Contar con un checklist para la documentación mínima de debida diligencia del colaborador (política Conozca a su Empleado).</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OM-11</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Oportunidad de mejora</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Periodicidad de actualización de colaboradores.</w:t>
            </w:r>
            <w:r>
              <w:rPr>
                <w:rFonts w:ascii="Arial" w:cs="Arial" w:eastAsia="Arial" w:hAnsi="Arial"/>
                <w:b w:val="false"/>
                <w:bCs w:val="false"/>
                <w:sz w:val="16"/>
                <w:szCs w:val="16"/>
              </w:rPr>
              <w:t xml:space="preserve"> Establecer un período anual para las actualizaciones de expedientes, verificar que se cumpla, y evaluar actualizaciones por nivel de riesgo.</w:t>
            </w:r>
          </w:p>
        </w:tc>
      </w:tr>
    </w:tbl>
    <w:p>
      <w:pPr>
        <w:pStyle w:val="Heading3"/>
        <w:keepNext/>
      </w:pPr>
      <w:r>
        <w:rPr>
          <w:rFonts w:ascii="Arial" w:cs="Arial" w:eastAsia="Arial" w:hAnsi="Arial"/>
        </w:rPr>
        <w:t xml:space="preserve">Ruta de 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Horizonte</w:t>
            </w:r>
          </w:p>
        </w:tc>
        <w:tc>
          <w:tcPr>
            <w:tcW w:type="dxa" w:w="69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Acciones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0–30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PA-02</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30–90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PA-10</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90–180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PA-16 (oportunidades de mejora de políticas)</w:t>
            </w:r>
          </w:p>
        </w:tc>
      </w:tr>
      <w:tr>
        <w:trPr>
          <w:cantSplit/>
        </w:trPr>
        <w:tc>
          <w:tcPr>
            <w:tcW w:type="dxa" w:w="24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Hacia el Acuerdo 07-2025</w:t>
            </w:r>
          </w:p>
        </w:tc>
        <w:tc>
          <w:tcPr>
            <w:tcW w:type="dxa" w:w="696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RM-01, RM-05, RM-22 (ver Sección 11)</w:t>
            </w:r>
          </w:p>
        </w:tc>
      </w:tr>
    </w:tbl>
    <w:p>
      <w:pPr>
        <w:pStyle w:val="Heading2"/>
        <w:pageBreakBefore/>
      </w:pPr>
      <w:r>
        <w:rPr>
          <w:rFonts w:ascii="Arial" w:cs="Arial" w:eastAsia="Arial" w:hAnsi="Arial"/>
        </w:rPr>
        <w:t xml:space="preserve">6.3 Programa Anual de Cumplimiento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Calificación</w:t>
            </w:r>
          </w:p>
        </w:tc>
        <w:tc>
          <w:tcPr>
            <w:tcW w:type="dxa" w:w="736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Nivel 4 – BAJO (Cumple)</w:t>
            </w:r>
          </w:p>
        </w:tc>
      </w:tr>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Brechas</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8"/>
                <w:szCs w:val="18"/>
              </w:rPr>
              <w:t xml:space="preserve">0 (Crítico: 0 · Medio-Alto: 0 · Medio: 0 · Bajo: 0)</w:t>
            </w:r>
          </w:p>
        </w:tc>
      </w:tr>
    </w:tbl>
    <w:p>
      <w:pPr>
        <w:pStyle w:val="Heading3"/>
        <w:keepNext/>
      </w:pPr>
      <w:r>
        <w:rPr>
          <w:rFonts w:ascii="Arial" w:cs="Arial" w:eastAsia="Arial" w:hAnsi="Arial"/>
        </w:rPr>
        <w:t xml:space="preserve">Situación actual</w:t>
      </w:r>
    </w:p>
    <w:p>
      <w:pPr>
        <w:spacing w:after="120" w:before="0" w:line="276"/>
        <w:jc w:val="both"/>
      </w:pPr>
      <w:r>
        <w:rPr>
          <w:rFonts w:ascii="Arial" w:cs="Arial" w:eastAsia="Arial" w:hAnsi="Arial"/>
          <w:b w:val="false"/>
          <w:bCs w:val="false"/>
          <w:sz w:val="21"/>
          <w:szCs w:val="21"/>
        </w:rPr>
        <w:t xml:space="preserve">Ancón aportó los programas anuales y cronogramas de 2024 y 2025, el Informe de Gestión Anual 2024 con su resumen ejecutivo y el cronograma de cierre, los memoriales y correos de remisión a la SSRP y el acta de Junta que aprueba el Informe de Gestión 2023. Según la aclaración de Ancón, la reprogramación del Plan 2024 se aprobó en el Comité el 17 de abril de 2024 y la del Plan 2025 en las sesiones de 2025. La aprobación y la ratificación de los programas y del Informe de Gestión se validaron con las actas y con la certificación del Secretario de la Junta Directiva aportadas por Ancón.</w:t>
      </w:r>
    </w:p>
    <w:p>
      <w:pPr>
        <w:spacing w:after="120" w:before="0" w:line="276"/>
        <w:jc w:val="both"/>
      </w:pPr>
      <w:r>
        <w:rPr>
          <w:rFonts w:ascii="Arial" w:cs="Arial" w:eastAsia="Arial" w:hAnsi="Arial"/>
          <w:b w:val="false"/>
          <w:bCs w:val="false"/>
          <w:sz w:val="21"/>
          <w:szCs w:val="21"/>
        </w:rPr>
        <w:t xml:space="preserve">A esto se suman cinco informes de seguimiento presentados al Comité (I trimestre de 2024, de 31 de marzo de 2024; II trimestre de 2024, de 4 de julio de 2024; III y IV trimestre de 2024, en un solo informe de 3 de enero de 2025; I trimestre de 2025, de 10 de abril de 2025; y II trimestre de 2025, de 10 de julio de 2025) y evidencia de capacitaciones introductorias, generales y especializadas, de la formación de la Oficial y de una jornada de sensibilización para la Junta, que incluyó una presentación sobre señales de alerta. Es una base sólida: en este componente no identificamos brechas de riesgo, y las oportunidades de mejora apuntan a reforzar la formalidad de la aprobación y a medir mejor el avance.</w:t>
      </w:r>
    </w:p>
    <w:p>
      <w:pPr>
        <w:pStyle w:val="Heading3"/>
        <w:keepNext/>
      </w:pPr>
      <w:r>
        <w:rPr>
          <w:rFonts w:ascii="Arial" w:cs="Arial" w:eastAsia="Arial" w:hAnsi="Arial"/>
        </w:rPr>
        <w:t xml:space="preserve">Elementos revisados sin hallazgos</w:t>
      </w:r>
    </w:p>
    <w:p>
      <w:pPr>
        <w:spacing w:after="120" w:before="0" w:line="276"/>
        <w:jc w:val="both"/>
      </w:pPr>
      <w:r>
        <w:rPr>
          <w:rFonts w:ascii="Arial" w:cs="Arial" w:eastAsia="Arial" w:hAnsi="Arial"/>
          <w:b w:val="false"/>
          <w:bCs w:val="false"/>
          <w:sz w:val="21"/>
          <w:szCs w:val="21"/>
        </w:rPr>
        <w:t xml:space="preserve">Los programas y cronogramas 2024 y 2025, el Informe de Gestión Anual 2024 con su resumen ejecutivo y cronograma de cierre, los memoriales y correos de remisión a la SSRP, las actas de aprobación y de ratificación de los programas y del Informe de Gestión, el acta de Junta del Informe de Gestión 2023, las capacitaciones realizadas (introductorias, común y general, especializadas, la del Oficial y la jornada de sensibilización de la Junta), el cuadro de capacitaciones 2024-2025, el ejemplo de certificado y los sustentos adicionales no generaron hallazgos de riesgo.</w:t>
      </w:r>
    </w:p>
    <w:p>
      <w:pPr>
        <w:pStyle w:val="Heading3"/>
        <w:keepNext/>
      </w:pPr>
      <w:r>
        <w:rPr>
          <w:rFonts w:ascii="Arial" w:cs="Arial" w:eastAsia="Arial" w:hAnsi="Arial"/>
        </w:rPr>
        <w:t xml:space="preserve">Brechas identificadas</w:t>
      </w:r>
    </w:p>
    <w:p>
      <w:pPr>
        <w:spacing w:after="120" w:before="0" w:line="276"/>
        <w:jc w:val="both"/>
      </w:pPr>
      <w:r>
        <w:rPr>
          <w:rFonts w:ascii="Arial" w:cs="Arial" w:eastAsia="Arial" w:hAnsi="Arial"/>
          <w:b w:val="false"/>
          <w:bCs w:val="false"/>
          <w:sz w:val="21"/>
          <w:szCs w:val="21"/>
        </w:rPr>
        <w:t xml:space="preserve">No se identificaron brechas con nivel de riesgo en este componente. Los elementos evaluados se encontraron conformes a la regulación y al estándar de evaluación con enfoque basado en riesgo; las oportunidades de mejora, si las hay, se detallan más abajo.</w:t>
      </w:r>
    </w:p>
    <w:p>
      <w:pPr>
        <w:pStyle w:val="Heading3"/>
        <w:keepNext/>
      </w:pPr>
      <w:r>
        <w:rPr>
          <w:rFonts w:ascii="Arial" w:cs="Arial" w:eastAsia="Arial" w:hAnsi="Arial"/>
        </w:rPr>
        <w:t xml:space="preserve">Riesgo regulatorio y posible observación de la SSRP</w:t>
      </w:r>
    </w:p>
    <w:p>
      <w:pPr>
        <w:spacing w:after="120" w:before="0" w:line="276"/>
        <w:jc w:val="both"/>
      </w:pPr>
      <w:r>
        <w:rPr>
          <w:rFonts w:ascii="Arial" w:cs="Arial" w:eastAsia="Arial" w:hAnsi="Arial"/>
          <w:b w:val="false"/>
          <w:bCs w:val="false"/>
          <w:sz w:val="21"/>
          <w:szCs w:val="21"/>
        </w:rPr>
        <w:t xml:space="preserve">No ejecutar el programa de capacitación es infracción leve (Art. 61, num. 5) y no actuar a tiempo frente a observaciones de la SSRP es de gravedad media (Art. 62, num. 11), pero ninguna de estas situaciones se identificó en el período. La exposición es baja: mantener a disposición las actas de aprobación y de ratificación, y los acuses de remisión, deja a la entidad en una posición sólida ante la SSRP.</w:t>
      </w:r>
    </w:p>
    <w:p>
      <w:pPr>
        <w:pStyle w:val="Heading3"/>
        <w:keepNext/>
      </w:pPr>
      <w:r>
        <w:rPr>
          <w:rFonts w:ascii="Arial" w:cs="Arial" w:eastAsia="Arial" w:hAnsi="Arial"/>
        </w:rPr>
        <w:t xml:space="preserve">Oportunidades de mejora y recomendaciones adicionales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cantSplit/>
          <w:tblHeader/>
        </w:trPr>
        <w:tc>
          <w:tcPr>
            <w:tcW w:type="dxa" w:w="8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1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Tipo</w:t>
            </w:r>
          </w:p>
        </w:tc>
        <w:tc>
          <w:tcPr>
            <w:tcW w:type="dxa" w:w="70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Descripción</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OM-12</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Oportunidad de mejora</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Contenido de los informes trimestrales y de las actas.</w:t>
            </w:r>
            <w:r>
              <w:rPr>
                <w:rFonts w:ascii="Arial" w:cs="Arial" w:eastAsia="Arial" w:hAnsi="Arial"/>
                <w:b w:val="false"/>
                <w:bCs w:val="false"/>
                <w:sz w:val="16"/>
                <w:szCs w:val="16"/>
              </w:rPr>
              <w:t xml:space="preserve"> Incorporar información integral sobre las actividades de monitoreo (alertas generadas, analizadas y atendidas; PEP identificadas y aprobadas) e incluir en el cronograma anual la elaboración y presentación de los informes trimestrales, con su periodicidad y fechas.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OM-13</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Oportunidad de mejora</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Aprobación y ratificación de programas e Informe de Gestión.</w:t>
            </w:r>
            <w:r>
              <w:rPr>
                <w:rFonts w:ascii="Arial" w:cs="Arial" w:eastAsia="Arial" w:hAnsi="Arial"/>
                <w:b w:val="false"/>
                <w:bCs w:val="false"/>
                <w:sz w:val="16"/>
                <w:szCs w:val="16"/>
              </w:rPr>
              <w:t xml:space="preserve"> La aprobación del Plan Anual, del Cronograma y del Informe de Gestión se validó con la certificación del Secretario de la Junta; se recomienda mantener a disposición las actas de Junta y que la aprobación se dé primero en el Comité y luego se ratifique en la Junta.</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OM-14</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Oportunidad de mejora</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Constancias y contenido de capacitación.</w:t>
            </w:r>
            <w:r>
              <w:rPr>
                <w:rFonts w:ascii="Arial" w:cs="Arial" w:eastAsia="Arial" w:hAnsi="Arial"/>
                <w:b w:val="false"/>
                <w:bCs w:val="false"/>
                <w:sz w:val="16"/>
                <w:szCs w:val="16"/>
              </w:rPr>
              <w:t xml:space="preserve"> Encontrar la manera de acceder a la información de participación de los colaboradores en los cursos de la Academia Multinacional; actualizar periódicamente sus contenidos (algunos no se han actualizado desde 2023); reforzar las capacitaciones especializadas para abarcar todas las áreas críticas; y evaluar talleres sobre reportes de operaciones sospechosas.</w:t>
            </w:r>
          </w:p>
        </w:tc>
      </w:tr>
    </w:tbl>
    <w:p>
      <w:pPr>
        <w:pStyle w:val="Heading3"/>
        <w:keepNext/>
      </w:pPr>
      <w:r>
        <w:rPr>
          <w:rFonts w:ascii="Arial" w:cs="Arial" w:eastAsia="Arial" w:hAnsi="Arial"/>
        </w:rPr>
        <w:t xml:space="preserve">Ruta de 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Horizonte</w:t>
            </w:r>
          </w:p>
        </w:tc>
        <w:tc>
          <w:tcPr>
            <w:tcW w:type="dxa" w:w="69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Acciones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0–30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Sin acciones requeridas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30–90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Sin acciones requeridas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90–180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PA-13, PA-16 (oportunidades de mejora)</w:t>
            </w:r>
          </w:p>
        </w:tc>
      </w:tr>
      <w:tr>
        <w:trPr>
          <w:cantSplit/>
        </w:trPr>
        <w:tc>
          <w:tcPr>
            <w:tcW w:type="dxa" w:w="24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Hacia el Acuerdo 07-2025</w:t>
            </w:r>
          </w:p>
        </w:tc>
        <w:tc>
          <w:tcPr>
            <w:tcW w:type="dxa" w:w="696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RM-04, RM-20, RM-24 (ver Sección 11)</w:t>
            </w:r>
          </w:p>
        </w:tc>
      </w:tr>
    </w:tbl>
    <w:p>
      <w:pPr>
        <w:pStyle w:val="Heading2"/>
        <w:pageBreakBefore/>
      </w:pPr>
      <w:r>
        <w:rPr>
          <w:rFonts w:ascii="Arial" w:cs="Arial" w:eastAsia="Arial" w:hAnsi="Arial"/>
        </w:rPr>
        <w:t xml:space="preserve">6.4 Monitoreo Transaccional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Calificación</w:t>
            </w:r>
          </w:p>
        </w:tc>
        <w:tc>
          <w:tcPr>
            <w:tcW w:type="dxa" w:w="736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Nivel 4 – BAJO (Cumple)</w:t>
            </w:r>
          </w:p>
        </w:tc>
      </w:tr>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Brechas</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8"/>
                <w:szCs w:val="18"/>
              </w:rPr>
              <w:t xml:space="preserve">2 (Crítico: 0 · Medio-Alto: 0 · Medio: 2 · Bajo: 0)</w:t>
            </w:r>
          </w:p>
        </w:tc>
      </w:tr>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Alcance</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8"/>
                <w:szCs w:val="18"/>
              </w:rPr>
              <w:t xml:space="preserve">Incluye el sistema de monitoreo y la gestión de alertas.</w:t>
            </w:r>
          </w:p>
        </w:tc>
      </w:tr>
    </w:tbl>
    <w:p>
      <w:pPr>
        <w:pStyle w:val="Heading3"/>
        <w:keepNext/>
      </w:pPr>
      <w:r>
        <w:rPr>
          <w:rFonts w:ascii="Arial" w:cs="Arial" w:eastAsia="Arial" w:hAnsi="Arial"/>
        </w:rPr>
        <w:t xml:space="preserve">Situación actual</w:t>
      </w:r>
    </w:p>
    <w:p>
      <w:pPr>
        <w:spacing w:after="120" w:before="0" w:line="276"/>
        <w:jc w:val="both"/>
      </w:pPr>
      <w:r>
        <w:rPr>
          <w:rFonts w:ascii="Arial" w:cs="Arial" w:eastAsia="Arial" w:hAnsi="Arial"/>
          <w:b w:val="false"/>
          <w:bCs w:val="false"/>
          <w:sz w:val="21"/>
          <w:szCs w:val="21"/>
        </w:rPr>
        <w:t xml:space="preserve">Hoy el monitoreo transaccional se hace de forma manual y al cierre de cada mes. Como mejora al ambiente de control, durante 2025 Ancón inició el desarrollo de una herramienta de monitoreo que automatiza la gestión de las alertas, y el documento de requerimientos del sistema (DNR Alertas Monitoreo) ya está elaborado. Valoramos este avance y recomendamos darle un cronograma comprometido de puesta en producción.</w:t>
      </w:r>
    </w:p>
    <w:p>
      <w:pPr>
        <w:spacing w:after="120" w:before="0" w:line="276"/>
        <w:jc w:val="both"/>
      </w:pPr>
      <w:r>
        <w:rPr>
          <w:rFonts w:ascii="Arial" w:cs="Arial" w:eastAsia="Arial" w:hAnsi="Arial"/>
          <w:b w:val="false"/>
          <w:bCs w:val="false"/>
          <w:sz w:val="21"/>
          <w:szCs w:val="21"/>
        </w:rPr>
        <w:t xml:space="preserve">Hay una base valiosa sobre la cual construir: trece tipologías parametrizadas con umbrales (primas superiores a USD 50,000, cancelaciones en los primeros 12 meses, pagos a terceros, cambios de beneficiario), un Informe de Tipologías de Lavado de Dinero propio del sector, un Informe de Fraude presentado a la Junta el 9 de junio de 2025, el catálogo de Señales de Alerta 2025, una muestra de alerta de monitoreo y registros de alertas de cancelaciones anticipadas, pagos de reclamos a personas distintas del asegurado y pérdidas totales. En las entrevistas, Sucursales y Reclamos de Automóvil describieron tipologías técnicamente sólidas (fraccionamiento de seguros de vida, corredores que retienen pagos y manipulación de chasis o motor) y las medidas correctivas aplicadas.</w:t>
      </w:r>
    </w:p>
    <w:p>
      <w:pPr>
        <w:pStyle w:val="Heading3"/>
        <w:keepNext/>
      </w:pPr>
      <w:r>
        <w:rPr>
          <w:rFonts w:ascii="Arial" w:cs="Arial" w:eastAsia="Arial" w:hAnsi="Arial"/>
        </w:rPr>
        <w:t xml:space="preserve">Elementos revisados sin hallazgos</w:t>
      </w:r>
    </w:p>
    <w:p>
      <w:pPr>
        <w:spacing w:after="120" w:before="0" w:line="276"/>
        <w:jc w:val="both"/>
      </w:pPr>
      <w:r>
        <w:rPr>
          <w:rFonts w:ascii="Arial" w:cs="Arial" w:eastAsia="Arial" w:hAnsi="Arial"/>
          <w:b w:val="false"/>
          <w:bCs w:val="false"/>
          <w:sz w:val="21"/>
          <w:szCs w:val="21"/>
        </w:rPr>
        <w:t xml:space="preserve">La herramienta de monitoreo (DEIVID), el listado de señales de alerta (13 tipologías con parámetros y umbrales), el catálogo de tipologías de la UAF, el listado de tipologías y casos evaluados, el Informe de Tipologías de Lavado de Dinero, el Informe de Fraude, el listado de alertas generadas, el listado de condiciones y reglas, el documento de requerimientos y el listado de pólizas rechazadas o canceladas por coincidencias con listas no generaron hallazgos de riesgo.</w:t>
      </w:r>
    </w:p>
    <w:p>
      <w:pPr>
        <w:pStyle w:val="Heading3"/>
        <w:keepNext/>
      </w:pPr>
      <w:r>
        <w:rPr>
          <w:rFonts w:ascii="Arial" w:cs="Arial" w:eastAsia="Arial" w:hAnsi="Arial"/>
        </w:rPr>
        <w:t xml:space="preserve">Brechas identificadas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4840"/>
        <w:gridCol w:w="2400"/>
        <w:gridCol w:w="500"/>
        <w:gridCol w:w="860"/>
      </w:tblGrid>
      <w:tr>
        <w:trPr>
          <w:cantSplit/>
          <w:tblHeader/>
        </w:trPr>
        <w:tc>
          <w:tcPr>
            <w:tcW w:type="dxa" w:w="7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484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Brecha</w:t>
            </w:r>
          </w:p>
        </w:tc>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Base normativa</w:t>
            </w:r>
          </w:p>
        </w:tc>
        <w:tc>
          <w:tcPr>
            <w:tcW w:type="dxa" w:w="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P:I</w:t>
            </w:r>
          </w:p>
        </w:tc>
        <w:tc>
          <w:tcPr>
            <w:tcW w:type="dxa" w:w="8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Nivel</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MT-01</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Monitoreo transaccional con brechas de automatización.</w:t>
            </w:r>
            <w:r>
              <w:rPr>
                <w:rFonts w:ascii="Arial" w:cs="Arial" w:eastAsia="Arial" w:hAnsi="Arial"/>
                <w:b w:val="false"/>
                <w:bCs w:val="false"/>
                <w:sz w:val="16"/>
                <w:szCs w:val="16"/>
              </w:rPr>
              <w:t xml:space="preserve"> El monitoreo se realiza de forma manual y mensual, lo que limita la capacidad de detectar de forma oportuna y completa las operaciones inusuales. Como mejora al ambiente de control, durante 2025 Ancón inició el desarrollo de la herramienta de monitoreo que automatiza la gestión de alertas; completarla permitirá cerrar esta brecha.</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Acuerdo 03-2022, Arts. 10 (nums. 8 y 9)</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2:3</w:t>
            </w:r>
          </w:p>
        </w:tc>
        <w:tc>
          <w:tcPr>
            <w:tcW w:type="dxa" w:w="8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MT-02</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Alertas cerradas sin listado de falsos positivos.</w:t>
            </w:r>
            <w:r>
              <w:rPr>
                <w:rFonts w:ascii="Arial" w:cs="Arial" w:eastAsia="Arial" w:hAnsi="Arial"/>
                <w:b w:val="false"/>
                <w:bCs w:val="false"/>
                <w:sz w:val="16"/>
                <w:szCs w:val="16"/>
              </w:rPr>
              <w:t xml:space="preserve"> Ancón indicó que no mantiene un listado de las alertas cerradas como falsos positivos, por lo que no es posible evidenciar el análisis, la justificación y el cierre de cada alerta generada por el sistema de monitoreo. Ancón sí aportó registros de alertas procesadas (cancelaciones anticipadas, pagos de reclamos a personas distintas del asegurado y pérdidas totales), que muestran actividad operativa de monitoreo.</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Acuerdo 03-2022, Art. 43</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3:2</w:t>
            </w:r>
          </w:p>
        </w:tc>
        <w:tc>
          <w:tcPr>
            <w:tcW w:type="dxa" w:w="8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r>
    </w:tbl>
    <w:p>
      <w:pPr>
        <w:pStyle w:val="Heading3"/>
        <w:keepNext/>
      </w:pPr>
      <w:r>
        <w:rPr>
          <w:rFonts w:ascii="Arial" w:cs="Arial" w:eastAsia="Arial" w:hAnsi="Arial"/>
        </w:rPr>
        <w:t xml:space="preserve">Riesgo regulatorio y posible observación de la SSRP</w:t>
      </w:r>
    </w:p>
    <w:p>
      <w:pPr>
        <w:spacing w:after="120" w:before="0" w:line="276"/>
        <w:jc w:val="both"/>
      </w:pPr>
      <w:r>
        <w:rPr>
          <w:rFonts w:ascii="Arial" w:cs="Arial" w:eastAsia="Arial" w:hAnsi="Arial"/>
          <w:b w:val="false"/>
          <w:bCs w:val="false"/>
          <w:sz w:val="21"/>
          <w:szCs w:val="21"/>
        </w:rPr>
        <w:t xml:space="preserve">Un sistema de detección de operaciones inusuales que no se aplica o no se vigila adecuadamente es infracción de gravedad media (Art. 62, nums. 1 y 10). En este caso, el avance del desarrollo de la herramienta y la actividad operativa de monitoreo evidenciada son factores favorables. Es probable que la SSRP solicite el cronograma de la herramienta, el listado de alertas del período y la forma en que se cerraron.</w:t>
      </w:r>
    </w:p>
    <w:p>
      <w:pPr>
        <w:pStyle w:val="Heading3"/>
        <w:keepNext/>
      </w:pPr>
      <w:r>
        <w:rPr>
          <w:rFonts w:ascii="Arial" w:cs="Arial" w:eastAsia="Arial" w:hAnsi="Arial"/>
        </w:rPr>
        <w:t xml:space="preserve">Recomendaciones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360"/>
        <w:gridCol w:w="1000"/>
      </w:tblGrid>
      <w:tr>
        <w:trPr>
          <w:cantSplit/>
          <w:tblHeader/>
        </w:trPr>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73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Recomendación</w:t>
            </w:r>
          </w:p>
        </w:tc>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Prioridad</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R-MT-01</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Aprobar un cronograma de puesta en producción de la herramienta de monitoreo con hitos, responsable y reporte periódico al Comité, y documentar controles compensatorios mientras no esté automatizada.</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R-MT-02</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Formalizar el registro y cierre de alertas, incluidos los falsos positivos (fecha, área, analista, descripción, resultado, aprobador y fecha de cierre), con reporte trimestral al Comité.</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R-MT-03</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Llevar las 13 tipologías y el catálogo de Señales de Alerta 2025 a reglas parametrizadas en la herramienta, y documentar su calibración.</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r>
    </w:tbl>
    <w:p>
      <w:pPr>
        <w:pStyle w:val="Heading3"/>
        <w:keepNext/>
      </w:pPr>
      <w:r>
        <w:rPr>
          <w:rFonts w:ascii="Arial" w:cs="Arial" w:eastAsia="Arial" w:hAnsi="Arial"/>
        </w:rPr>
        <w:t xml:space="preserve">Ruta de 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Horizonte</w:t>
            </w:r>
          </w:p>
        </w:tc>
        <w:tc>
          <w:tcPr>
            <w:tcW w:type="dxa" w:w="69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Acciones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0–30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Sin acciones requeridas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30–90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PA-08, PA-09</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90–180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Seguimiento en el Comité (PA-09)</w:t>
            </w:r>
          </w:p>
        </w:tc>
      </w:tr>
      <w:tr>
        <w:trPr>
          <w:cantSplit/>
        </w:trPr>
        <w:tc>
          <w:tcPr>
            <w:tcW w:type="dxa" w:w="24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Hacia el Acuerdo 07-2025</w:t>
            </w:r>
          </w:p>
        </w:tc>
        <w:tc>
          <w:tcPr>
            <w:tcW w:type="dxa" w:w="696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RM-16, RM-22 (ver Sección 11)</w:t>
            </w:r>
          </w:p>
        </w:tc>
      </w:tr>
    </w:tbl>
    <w:p>
      <w:pPr>
        <w:pStyle w:val="Heading2"/>
        <w:pageBreakBefore/>
      </w:pPr>
      <w:r>
        <w:rPr>
          <w:rFonts w:ascii="Arial" w:cs="Arial" w:eastAsia="Arial" w:hAnsi="Arial"/>
        </w:rPr>
        <w:t xml:space="preserve">6.5 Debida Diligencia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Calificación</w:t>
            </w:r>
          </w:p>
        </w:tc>
        <w:tc>
          <w:tcPr>
            <w:tcW w:type="dxa" w:w="736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Nivel 4 – BAJO (Cumple)</w:t>
            </w:r>
          </w:p>
        </w:tc>
      </w:tr>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Brechas</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8"/>
                <w:szCs w:val="18"/>
              </w:rPr>
              <w:t xml:space="preserve">3 (Crítico: 0 · Medio-Alto: 0 · Medio: 3 · Bajo: 0)</w:t>
            </w:r>
          </w:p>
        </w:tc>
      </w:tr>
    </w:tbl>
    <w:p>
      <w:pPr>
        <w:pStyle w:val="Heading3"/>
        <w:keepNext/>
      </w:pPr>
      <w:r>
        <w:rPr>
          <w:rFonts w:ascii="Arial" w:cs="Arial" w:eastAsia="Arial" w:hAnsi="Arial"/>
        </w:rPr>
        <w:t xml:space="preserve">Situación actual</w:t>
      </w:r>
    </w:p>
    <w:p>
      <w:pPr>
        <w:spacing w:after="120" w:before="0" w:line="276"/>
        <w:jc w:val="both"/>
      </w:pPr>
      <w:r>
        <w:rPr>
          <w:rFonts w:ascii="Arial" w:cs="Arial" w:eastAsia="Arial" w:hAnsi="Arial"/>
          <w:b w:val="false"/>
          <w:bCs w:val="false"/>
          <w:sz w:val="21"/>
          <w:szCs w:val="21"/>
        </w:rPr>
        <w:t xml:space="preserve">El diseño de la debida diligencia es sólido. CONCLI-15 está bien estructurada; Sucursales y el área comercial conocen los requisitos por nivel de riesgo; Producción actúa como segunda revisión; Cobros devuelve primas solo al contratante, salvo autorización formal; y la Matriz de Riesgo de Colaboradores está aprobada e implementada, con un tratamiento diferenciado para colaboradores PEP. La entidad usa Inspektor y Visor Judicial, y aportó evidencia de barridos de listas sobre la cartera y de pólizas rechazadas o canceladas por coincidencias, lo que confirma que el control de listas funciona. La oportunidad de mejora está en la calidad de la ejecución, como muestran las pruebas.</w:t>
      </w:r>
    </w:p>
    <w:p>
      <w:pPr>
        <w:spacing w:after="120" w:before="0" w:line="276"/>
        <w:jc w:val="both"/>
      </w:pPr>
      <w:r>
        <w:rPr>
          <w:rFonts w:ascii="Arial" w:cs="Arial" w:eastAsia="Arial" w:hAnsi="Arial"/>
          <w:b w:val="false"/>
          <w:bCs w:val="false"/>
          <w:sz w:val="21"/>
          <w:szCs w:val="21"/>
        </w:rPr>
        <w:t xml:space="preserve">Revisamos 85 expedientes de clientes (57 personas naturales y 28 jurídicas): 73 (85.88 %) tenían una o más observaciones y 12 (14.12 %) estaban completos. También revisamos 33 de 181 expedientes de colaboradores (18.2 %): el nivel de riesgo del colaborador está actualizado en el 100 % de la muestra, lo que valoramos como una fortaleza del proceso de Conoce a tu Colaborador. Como oportunidad de mejora, en algunos expedientes no constan los certificados de capacitación y conviene ordenar los expedientes con un checklist y documentar las evaluaciones de desempeño con una metodología medible (OM-14 y OM-15).</w:t>
      </w:r>
    </w:p>
    <w:p>
      <w:pPr>
        <w:pStyle w:val="Heading3"/>
        <w:keepNext/>
      </w:pPr>
      <w:r>
        <w:rPr>
          <w:rFonts w:ascii="Arial" w:cs="Arial" w:eastAsia="Arial" w:hAnsi="Arial"/>
        </w:rPr>
        <w:t xml:space="preserve">Elementos revisados sin hallazgos</w:t>
      </w:r>
    </w:p>
    <w:p>
      <w:pPr>
        <w:spacing w:after="120" w:before="0" w:line="276"/>
        <w:jc w:val="both"/>
      </w:pPr>
      <w:r>
        <w:rPr>
          <w:rFonts w:ascii="Arial" w:cs="Arial" w:eastAsia="Arial" w:hAnsi="Arial"/>
          <w:b w:val="false"/>
          <w:bCs w:val="false"/>
          <w:sz w:val="21"/>
          <w:szCs w:val="21"/>
        </w:rPr>
        <w:t xml:space="preserve">La matriz de riesgo y la metodología de clientes, la clasificación del nivel de riesgo de clientes, las matrices y metodologías de colaboradores y de proveedores, la herramienta de revisión en listas de riesgo con su acta de aprobación y la constancia de barridos, los formularios CTC, el procedimiento de revisión de noticias y doce de las trece entrevistas realizadas no generaron hallazgos de riesgo.</w:t>
      </w:r>
    </w:p>
    <w:p>
      <w:pPr>
        <w:pStyle w:val="Heading3"/>
        <w:keepNext/>
      </w:pPr>
      <w:r>
        <w:rPr>
          <w:rFonts w:ascii="Arial" w:cs="Arial" w:eastAsia="Arial" w:hAnsi="Arial"/>
        </w:rPr>
        <w:t xml:space="preserve">Brechas identificadas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4840"/>
        <w:gridCol w:w="2400"/>
        <w:gridCol w:w="500"/>
        <w:gridCol w:w="860"/>
      </w:tblGrid>
      <w:tr>
        <w:trPr>
          <w:cantSplit/>
          <w:tblHeader/>
        </w:trPr>
        <w:tc>
          <w:tcPr>
            <w:tcW w:type="dxa" w:w="7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484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Brecha</w:t>
            </w:r>
          </w:p>
        </w:tc>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Base normativa</w:t>
            </w:r>
          </w:p>
        </w:tc>
        <w:tc>
          <w:tcPr>
            <w:tcW w:type="dxa" w:w="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P:I</w:t>
            </w:r>
          </w:p>
        </w:tc>
        <w:tc>
          <w:tcPr>
            <w:tcW w:type="dxa" w:w="8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Nivel</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DD-01</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Observaciones en el 85.88 % de los expedientes de clientes.</w:t>
            </w:r>
            <w:r>
              <w:rPr>
                <w:rFonts w:ascii="Arial" w:cs="Arial" w:eastAsia="Arial" w:hAnsi="Arial"/>
                <w:b w:val="false"/>
                <w:bCs w:val="false"/>
                <w:sz w:val="16"/>
                <w:szCs w:val="16"/>
              </w:rPr>
              <w:t xml:space="preserve"> De los 85 expedientes revisados, 73 presentaron una o más observaciones. Las más frecuentes fueron: formularios CTC ausentes, incompletos, de otro cliente o en versiones anteriores; formularios sin firma o firmados por terceros; perfil financiero, actividad e información tributaria incompletos; preguntas sobre condición PEP sin responder; identificaciones ausentes, ilegibles, vencidas o de otra persona; y consultas en Inspektor y Visor Judicial sin evidencia o hechas sobre otra persona, con un caso verificado después de la emisión. En personas jurídicas se encontraron certificados de Registro Público vencidos o no disponibles, avisos de operación sin firma, documentos de otra sociedad y aprobaciones especiales faltantes.</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Ley 23 de 2015, Arts. 26, 27, 28 y 36; D.E. 35 de 2022, Arts. 12, 13, 17 y 18; Acuerdo 03-2022, Arts. 19, 21 a 24 y 62 (nums. 1 y 4)</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3:2</w:t>
            </w:r>
          </w:p>
        </w:tc>
        <w:tc>
          <w:tcPr>
            <w:tcW w:type="dxa" w:w="8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DD-02</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Listado de clientes con documentación pendiente sin trazabilidad.</w:t>
            </w:r>
            <w:r>
              <w:rPr>
                <w:rFonts w:ascii="Arial" w:cs="Arial" w:eastAsia="Arial" w:hAnsi="Arial"/>
                <w:b w:val="false"/>
                <w:bCs w:val="false"/>
                <w:sz w:val="16"/>
                <w:szCs w:val="16"/>
              </w:rPr>
              <w:t xml:space="preserve"> El listado de clientes con documentación pendiente gestionados bajo excepción no contiene el motivo de cada excepción, la persona o área responsable de subsanarla ni la fecha límite establecida. Esto limita la capacidad de Cumplimiento para monitorear las excepciones, identificar los casos vencidos o pendientes de regularización y evidenciar las gestiones realizadas.</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Acuerdo 03-2022, Art. 19</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3:2</w:t>
            </w:r>
          </w:p>
        </w:tc>
        <w:tc>
          <w:tcPr>
            <w:tcW w:type="dxa" w:w="8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DD-03</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Sin catálogo ni base de datos de proveedores activos.</w:t>
            </w:r>
            <w:r>
              <w:rPr>
                <w:rFonts w:ascii="Arial" w:cs="Arial" w:eastAsia="Arial" w:hAnsi="Arial"/>
                <w:b w:val="false"/>
                <w:bCs w:val="false"/>
                <w:sz w:val="16"/>
                <w:szCs w:val="16"/>
              </w:rPr>
              <w:t xml:space="preserve"> El catálogo de proveedores activos del 1 de julio de 2024 al 30 de junio de 2025 no pudo obtenerse porque Ancón no mantiene una base de datos de proveedores activos, lo que dificulta aplicar y evidenciar la debida diligencia sobre ellos.</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Acuerdo 03-2022, Arts. 10 (num. 13) y 15 (num. 9)</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3:2</w:t>
            </w:r>
          </w:p>
        </w:tc>
        <w:tc>
          <w:tcPr>
            <w:tcW w:type="dxa" w:w="8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r>
    </w:tbl>
    <w:p>
      <w:pPr>
        <w:pStyle w:val="Heading3"/>
        <w:keepNext/>
      </w:pPr>
      <w:r>
        <w:rPr>
          <w:rFonts w:ascii="Arial" w:cs="Arial" w:eastAsia="Arial" w:hAnsi="Arial"/>
        </w:rPr>
        <w:t xml:space="preserve">Riesgo regulatorio y posible observación de la SSRP</w:t>
      </w:r>
    </w:p>
    <w:p>
      <w:pPr>
        <w:spacing w:after="120" w:before="0" w:line="276"/>
        <w:jc w:val="both"/>
      </w:pPr>
      <w:r>
        <w:rPr>
          <w:rFonts w:ascii="Arial" w:cs="Arial" w:eastAsia="Arial" w:hAnsi="Arial"/>
          <w:b w:val="false"/>
          <w:bCs w:val="false"/>
          <w:sz w:val="21"/>
          <w:szCs w:val="21"/>
        </w:rPr>
        <w:t xml:space="preserve">No contar con procedimientos de identificación y verificación, o no aplicarlos bien, es infracción de gravedad media (Art. 62, nums. 1 y 4 del Acuerdo 03-2022). Como la SSRP revisa muestras de expedientes (D.E. 35, Art. 6), con el nivel de observaciones encontrado es probable que surjan hallazgos si no se subsana. La buena noticia es que el diseño es sólido, que el control de listas opera y que subsanar por iniciativa propia es un atenuante (Art. 59, num. 1).</w:t>
      </w:r>
    </w:p>
    <w:p>
      <w:pPr>
        <w:pStyle w:val="Heading3"/>
        <w:keepNext/>
      </w:pPr>
      <w:r>
        <w:rPr>
          <w:rFonts w:ascii="Arial" w:cs="Arial" w:eastAsia="Arial" w:hAnsi="Arial"/>
        </w:rPr>
        <w:t xml:space="preserve">Recomendaciones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360"/>
        <w:gridCol w:w="1000"/>
      </w:tblGrid>
      <w:tr>
        <w:trPr>
          <w:cantSplit/>
          <w:tblHeader/>
        </w:trPr>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73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Recomendación</w:t>
            </w:r>
          </w:p>
        </w:tc>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Prioridad</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R-DD-01</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Fortalecer los controles previos a la vinculación y a la emisión: validar que los formularios estén completos, firmados y acompañados de la documentación requerida (salvo excepciones formalmente autorizadas), reforzar la revisión de calidad del CTC (campos obligatorios, consistencia con los documentos, firmas, vigencia y versión del formulario) y controlar que cada documento se asocie al expediente correcto.</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R-DD-02</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Asegurar que las consultas en listas y fuentes externas se hagan oportunamente sobre el cliente, el representante legal, los beneficiarios finales y demás personas que correspondan, y conservar su evidencia en el expediente.</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R-DD-03</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Aprobar un plan de remediación de los 73 expedientes observados, con la deficiencia, la acción requerida, el responsable, la fecha límite y el estado de cada caso, priorizando los clientes de riesgo medio y alto.</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R-DD-04</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Fortalecer el registro de excepciones con el cliente, la documentación pendiente, el motivo y la fecha de la excepción, el responsable, la fecha límite, el estado y la fecha de subsanación, con seguimiento periódico y escalamiento de los casos próximos a vencer o vencidos.</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R-DD-05</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Revisar cada trimestre una muestra de expedientes (segunda línea), con indicadores de error por área, para medir la efectividad de las correcciones y decidir si hay que reforzar procedimientos, controles o capacitación.</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R-DD-06</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Mantener un catálogo o base de datos de proveedores activos y centralizar su gestión en una sola área responsable de la debida diligencia aplicable (ver OM-17).</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r>
    </w:tbl>
    <w:p>
      <w:pPr>
        <w:pStyle w:val="Heading3"/>
        <w:keepNext/>
      </w:pPr>
      <w:r>
        <w:rPr>
          <w:rFonts w:ascii="Arial" w:cs="Arial" w:eastAsia="Arial" w:hAnsi="Arial"/>
        </w:rPr>
        <w:t xml:space="preserve">Oportunidades de mejora y recomendaciones adicionales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cantSplit/>
          <w:tblHeader/>
        </w:trPr>
        <w:tc>
          <w:tcPr>
            <w:tcW w:type="dxa" w:w="8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1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Tipo</w:t>
            </w:r>
          </w:p>
        </w:tc>
        <w:tc>
          <w:tcPr>
            <w:tcW w:type="dxa" w:w="70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Descripción</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OM-15</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Oportunidad de mejora</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Orden de los expedientes de colaboradores y evaluación de desempeño.</w:t>
            </w:r>
            <w:r>
              <w:rPr>
                <w:rFonts w:ascii="Arial" w:cs="Arial" w:eastAsia="Arial" w:hAnsi="Arial"/>
                <w:b w:val="false"/>
                <w:bCs w:val="false"/>
                <w:sz w:val="16"/>
                <w:szCs w:val="16"/>
              </w:rPr>
              <w:t xml:space="preserve"> Ordenar los expedientes de colaboradores con un checklist y documentar las evaluaciones de desempeño bajo una metodología medible.</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OM-16</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Oportunidad de mejora</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Matriz propia de Fianzas.</w:t>
            </w:r>
            <w:r>
              <w:rPr>
                <w:rFonts w:ascii="Arial" w:cs="Arial" w:eastAsia="Arial" w:hAnsi="Arial"/>
                <w:b w:val="false"/>
                <w:bCs w:val="false"/>
                <w:sz w:val="16"/>
                <w:szCs w:val="16"/>
              </w:rPr>
              <w:t xml:space="preserve"> Incorporar la matriz que utiliza Fianzas en el módulo institucional de perfil de riesgo, o como requisito adicional para el producto de fianzas.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OM-17</w:t>
            </w:r>
          </w:p>
        </w:tc>
        <w:tc>
          <w:tcPr>
            <w:tcW w:type="dxa" w:w="15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Recomendación</w:t>
            </w:r>
          </w:p>
        </w:tc>
        <w:tc>
          <w:tcPr>
            <w:tcW w:type="dxa" w:w="7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Gestión centralizada de proveedores.</w:t>
            </w:r>
            <w:r>
              <w:rPr>
                <w:rFonts w:ascii="Arial" w:cs="Arial" w:eastAsia="Arial" w:hAnsi="Arial"/>
                <w:b w:val="false"/>
                <w:bCs w:val="false"/>
                <w:sz w:val="16"/>
                <w:szCs w:val="16"/>
              </w:rPr>
              <w:t xml:space="preserve"> Centralizar la gestión de proveedores en una sola área responsable de la debida diligencia aplicable, y evidenciar la actualización periódica de la debida diligencia de los proveedores en sus expedientes.</w:t>
            </w:r>
          </w:p>
        </w:tc>
      </w:tr>
    </w:tbl>
    <w:p>
      <w:pPr>
        <w:pStyle w:val="Heading3"/>
        <w:keepNext/>
      </w:pPr>
      <w:r>
        <w:rPr>
          <w:rFonts w:ascii="Arial" w:cs="Arial" w:eastAsia="Arial" w:hAnsi="Arial"/>
        </w:rPr>
        <w:t xml:space="preserve">Ruta de 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Horizonte</w:t>
            </w:r>
          </w:p>
        </w:tc>
        <w:tc>
          <w:tcPr>
            <w:tcW w:type="dxa" w:w="69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Acciones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0–30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Sin acciones requeridas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30–90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PA-05, PA-06, PA-07</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90–180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PA-16, PA-17</w:t>
            </w:r>
          </w:p>
        </w:tc>
      </w:tr>
      <w:tr>
        <w:trPr>
          <w:cantSplit/>
        </w:trPr>
        <w:tc>
          <w:tcPr>
            <w:tcW w:type="dxa" w:w="24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Hacia el Acuerdo 07-2025</w:t>
            </w:r>
          </w:p>
        </w:tc>
        <w:tc>
          <w:tcPr>
            <w:tcW w:type="dxa" w:w="696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RM-08, RM-09, RM-10, RM-11, RM-12, RM-13 (ver Sección 11)</w:t>
            </w:r>
          </w:p>
        </w:tc>
      </w:tr>
    </w:tbl>
    <w:p>
      <w:pPr>
        <w:pStyle w:val="Heading2"/>
        <w:pageBreakBefore/>
      </w:pPr>
      <w:r>
        <w:rPr>
          <w:rFonts w:ascii="Arial" w:cs="Arial" w:eastAsia="Arial" w:hAnsi="Arial"/>
        </w:rPr>
        <w:t xml:space="preserve">6.6 Evaluación de Riesgo AML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Calificación</w:t>
            </w:r>
          </w:p>
        </w:tc>
        <w:tc>
          <w:tcPr>
            <w:tcW w:type="dxa" w:w="736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Nivel 4 – BAJO (Cumple)</w:t>
            </w:r>
          </w:p>
        </w:tc>
      </w:tr>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Brechas</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8"/>
                <w:szCs w:val="18"/>
              </w:rPr>
              <w:t xml:space="preserve">1 (Crítico: 0 · Medio-Alto: 0 · Medio: 1 · Bajo: 0)</w:t>
            </w:r>
          </w:p>
        </w:tc>
      </w:tr>
    </w:tbl>
    <w:p>
      <w:pPr>
        <w:pStyle w:val="Heading3"/>
        <w:keepNext/>
      </w:pPr>
      <w:r>
        <w:rPr>
          <w:rFonts w:ascii="Arial" w:cs="Arial" w:eastAsia="Arial" w:hAnsi="Arial"/>
        </w:rPr>
        <w:t xml:space="preserve">Situación actual</w:t>
      </w:r>
    </w:p>
    <w:p>
      <w:pPr>
        <w:spacing w:after="120" w:before="0" w:line="276"/>
        <w:jc w:val="both"/>
      </w:pPr>
      <w:r>
        <w:rPr>
          <w:rFonts w:ascii="Arial" w:cs="Arial" w:eastAsia="Arial" w:hAnsi="Arial"/>
          <w:b w:val="false"/>
          <w:bCs w:val="false"/>
          <w:sz w:val="21"/>
          <w:szCs w:val="21"/>
        </w:rPr>
        <w:t xml:space="preserve">En 2022 la SSRP determinó que la Matriz de Riesgo institucional solo cubría riesgos operativos, sin contemplar los factores de riesgo BC/FT/FPADM. Según el Cuadro de Trazabilidad, el Comité aprobó en octubre de 2023 las matrices de riesgo de consumidores, proveedores y colaboradores; el 17 de abril de 2024, la matriz de productos y su metodología y las evaluaciones de riesgo de Recursos Humanos y de procesos; y ratificó en 2025 la actualización de las matrices de productos, clientes, proveedores, empleados y provincias.</w:t>
      </w:r>
    </w:p>
    <w:p>
      <w:pPr>
        <w:spacing w:after="120" w:before="0" w:line="276"/>
        <w:jc w:val="both"/>
      </w:pPr>
      <w:r>
        <w:rPr>
          <w:rFonts w:ascii="Arial" w:cs="Arial" w:eastAsia="Arial" w:hAnsi="Arial"/>
          <w:b w:val="false"/>
          <w:bCs w:val="false"/>
          <w:sz w:val="21"/>
          <w:szCs w:val="21"/>
        </w:rPr>
        <w:t xml:space="preserve">Ancón aportó la Matriz de Riesgo de BC/FT/FPADM de la compañía con su metodología, las matrices de clientes, colaboradores y proveedores, la metodología de clasificación del riesgo de clientes y las evaluaciones por proceso de Emisión (v2, 21 de julio de 2025, con metodología adecuada) y de Reclamos (v0, 21 de julio de 2025), además de la Hoja Modelo ERM. Todos estos documentos se revisaron sin observar hallazgos de riesgo. Lo pendiente es el acta de Junta que respalda la aprobación de la matriz.</w:t>
      </w:r>
    </w:p>
    <w:p>
      <w:pPr>
        <w:pStyle w:val="Heading3"/>
        <w:keepNext/>
      </w:pPr>
      <w:r>
        <w:rPr>
          <w:rFonts w:ascii="Arial" w:cs="Arial" w:eastAsia="Arial" w:hAnsi="Arial"/>
        </w:rPr>
        <w:t xml:space="preserve">Elementos revisados sin hallazgos</w:t>
      </w:r>
    </w:p>
    <w:p>
      <w:pPr>
        <w:spacing w:after="120" w:before="0" w:line="276"/>
        <w:jc w:val="both"/>
      </w:pPr>
      <w:r>
        <w:rPr>
          <w:rFonts w:ascii="Arial" w:cs="Arial" w:eastAsia="Arial" w:hAnsi="Arial"/>
          <w:b w:val="false"/>
          <w:bCs w:val="false"/>
          <w:sz w:val="21"/>
          <w:szCs w:val="21"/>
        </w:rPr>
        <w:t xml:space="preserve">La Matriz de Riesgo de BC/FT/FPADM de la compañía y su metodología, las evaluaciones de riesgo en Emisión y en Registro de Reclamos y la Hoja Modelo ERM no generaron hallazgos de riesgo.</w:t>
      </w:r>
    </w:p>
    <w:p>
      <w:pPr>
        <w:pStyle w:val="Heading3"/>
        <w:keepNext/>
      </w:pPr>
      <w:r>
        <w:rPr>
          <w:rFonts w:ascii="Arial" w:cs="Arial" w:eastAsia="Arial" w:hAnsi="Arial"/>
        </w:rPr>
        <w:t xml:space="preserve">Brechas identificadas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4840"/>
        <w:gridCol w:w="2400"/>
        <w:gridCol w:w="500"/>
        <w:gridCol w:w="860"/>
      </w:tblGrid>
      <w:tr>
        <w:trPr>
          <w:cantSplit/>
          <w:tblHeader/>
        </w:trPr>
        <w:tc>
          <w:tcPr>
            <w:tcW w:type="dxa" w:w="7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484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Brecha</w:t>
            </w:r>
          </w:p>
        </w:tc>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Base normativa</w:t>
            </w:r>
          </w:p>
        </w:tc>
        <w:tc>
          <w:tcPr>
            <w:tcW w:type="dxa" w:w="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P:I</w:t>
            </w:r>
          </w:p>
        </w:tc>
        <w:tc>
          <w:tcPr>
            <w:tcW w:type="dxa" w:w="8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Nivel</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ER-01</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Acta de Junta que aprueba la matriz de riesgo pendiente de entrega.</w:t>
            </w:r>
            <w:r>
              <w:rPr>
                <w:rFonts w:ascii="Arial" w:cs="Arial" w:eastAsia="Arial" w:hAnsi="Arial"/>
                <w:b w:val="false"/>
                <w:bCs w:val="false"/>
                <w:sz w:val="16"/>
                <w:szCs w:val="16"/>
              </w:rPr>
              <w:t xml:space="preserve"> No se aportó el acta de la Junta Directiva donde conste la aprobación (última actualización) de la Matriz de Riesgo de BC/FT/FPADM, por lo que no se evidencia su aprobación formal por el órgano de gobierno. Según la aclaración de Ancón, el Comité sí la aprobó.</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Acuerdo 03-2022, Arts. 10 (nums. 4 a 6), 11 y 17</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2:3</w:t>
            </w:r>
          </w:p>
        </w:tc>
        <w:tc>
          <w:tcPr>
            <w:tcW w:type="dxa" w:w="8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r>
    </w:tbl>
    <w:p>
      <w:pPr>
        <w:pStyle w:val="Heading3"/>
        <w:keepNext/>
      </w:pPr>
      <w:r>
        <w:rPr>
          <w:rFonts w:ascii="Arial" w:cs="Arial" w:eastAsia="Arial" w:hAnsi="Arial"/>
        </w:rPr>
        <w:t xml:space="preserve">Riesgo regulatorio y posible observación de la SSRP</w:t>
      </w:r>
    </w:p>
    <w:p>
      <w:pPr>
        <w:spacing w:after="120" w:before="0" w:line="276"/>
        <w:jc w:val="both"/>
      </w:pPr>
      <w:r>
        <w:rPr>
          <w:rFonts w:ascii="Arial" w:cs="Arial" w:eastAsia="Arial" w:hAnsi="Arial"/>
          <w:b w:val="false"/>
          <w:bCs w:val="false"/>
          <w:sz w:val="21"/>
          <w:szCs w:val="21"/>
        </w:rPr>
        <w:t xml:space="preserve">No tener una evaluación de riesgos acorde con la realidad de clientes, productos, zonas y canales es infracción leve (Art. 61, num. 7). La matriz institucional es la pieza que justifica todo lo demás, por lo que suele ser lo primero que pide el supervisor; tener a mano el acta de aprobación de la Junta cierra el ciclo de gobierno.</w:t>
      </w:r>
    </w:p>
    <w:p>
      <w:pPr>
        <w:pStyle w:val="Heading3"/>
        <w:keepNext/>
      </w:pPr>
      <w:r>
        <w:rPr>
          <w:rFonts w:ascii="Arial" w:cs="Arial" w:eastAsia="Arial" w:hAnsi="Arial"/>
        </w:rPr>
        <w:t xml:space="preserve">Recomendaciones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360"/>
        <w:gridCol w:w="1000"/>
      </w:tblGrid>
      <w:tr>
        <w:trPr>
          <w:cantSplit/>
          <w:tblHeader/>
        </w:trPr>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73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Recomendación</w:t>
            </w:r>
          </w:p>
        </w:tc>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Prioridad</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R-ER-01</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Aportar el acta de Junta Directiva (o la certificación del Secretario) que respalda la aprobación de la matriz de riesgo BC/FT/FPADM y mantener la evidencia de cada actualización (aprobación del Comité y ratificación de la Junta).</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r>
    </w:tbl>
    <w:p>
      <w:pPr>
        <w:pStyle w:val="Heading3"/>
        <w:keepNext/>
      </w:pPr>
      <w:r>
        <w:rPr>
          <w:rFonts w:ascii="Arial" w:cs="Arial" w:eastAsia="Arial" w:hAnsi="Arial"/>
        </w:rPr>
        <w:t xml:space="preserve">Ruta de 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Horizonte</w:t>
            </w:r>
          </w:p>
        </w:tc>
        <w:tc>
          <w:tcPr>
            <w:tcW w:type="dxa" w:w="69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Acciones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0–30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PA-01</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30–90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Sin acciones adicionales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90–180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Sin acciones adicionales</w:t>
            </w:r>
          </w:p>
        </w:tc>
      </w:tr>
      <w:tr>
        <w:trPr>
          <w:cantSplit/>
        </w:trPr>
        <w:tc>
          <w:tcPr>
            <w:tcW w:type="dxa" w:w="24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Hacia el Acuerdo 07-2025</w:t>
            </w:r>
          </w:p>
        </w:tc>
        <w:tc>
          <w:tcPr>
            <w:tcW w:type="dxa" w:w="696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RM-06, RM-07, RM-14 (ver Sección 11)</w:t>
            </w:r>
          </w:p>
        </w:tc>
      </w:tr>
    </w:tbl>
    <w:p>
      <w:pPr>
        <w:pStyle w:val="Heading2"/>
        <w:pageBreakBefore/>
      </w:pPr>
      <w:r>
        <w:rPr>
          <w:rFonts w:ascii="Arial" w:cs="Arial" w:eastAsia="Arial" w:hAnsi="Arial"/>
        </w:rPr>
        <w:t xml:space="preserve">6.7 Reportes Regulatorios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Calificación</w:t>
            </w:r>
          </w:p>
        </w:tc>
        <w:tc>
          <w:tcPr>
            <w:tcW w:type="dxa" w:w="736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Nivel 4 – BAJO (Cumple)</w:t>
            </w:r>
          </w:p>
        </w:tc>
      </w:tr>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Brechas</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8"/>
                <w:szCs w:val="18"/>
              </w:rPr>
              <w:t xml:space="preserve">3 (Crítico: 0 · Medio-Alto: 0 · Medio: 3 · Bajo: 0)</w:t>
            </w:r>
          </w:p>
        </w:tc>
      </w:tr>
    </w:tbl>
    <w:p>
      <w:pPr>
        <w:pStyle w:val="Heading3"/>
        <w:keepNext/>
      </w:pPr>
      <w:r>
        <w:rPr>
          <w:rFonts w:ascii="Arial" w:cs="Arial" w:eastAsia="Arial" w:hAnsi="Arial"/>
        </w:rPr>
        <w:t xml:space="preserve">Situación actual</w:t>
      </w:r>
    </w:p>
    <w:p>
      <w:pPr>
        <w:spacing w:after="120" w:before="0" w:line="276"/>
        <w:jc w:val="both"/>
      </w:pPr>
      <w:r>
        <w:rPr>
          <w:rFonts w:ascii="Arial" w:cs="Arial" w:eastAsia="Arial" w:hAnsi="Arial"/>
          <w:b w:val="false"/>
          <w:bCs w:val="false"/>
          <w:sz w:val="21"/>
          <w:szCs w:val="21"/>
        </w:rPr>
        <w:t xml:space="preserve">Según la información aportada por Ancón, durante el período no se presentaron ROS a la UAF. Hay señales positivas: Cobros ha reportado casos a Cumplimiento, existen remisiones documentadas a la SSRP (memoriales y correos de remisión de los programas y de los Informes de Gestión) y Ancón preparó una matriz de seguimiento del cierre de los hallazgos de la SSRP. Además, el personal describió la comunicación con la Oficial de Cumplimiento como fluida, oportuna y accesible, con una cultura de consultar ante la duda.</w:t>
      </w:r>
    </w:p>
    <w:p>
      <w:pPr>
        <w:spacing w:after="120" w:before="0" w:line="276"/>
        <w:jc w:val="both"/>
      </w:pPr>
      <w:r>
        <w:rPr>
          <w:rFonts w:ascii="Arial" w:cs="Arial" w:eastAsia="Arial" w:hAnsi="Arial"/>
          <w:b w:val="false"/>
          <w:bCs w:val="false"/>
          <w:sz w:val="21"/>
          <w:szCs w:val="21"/>
        </w:rPr>
        <w:t xml:space="preserve">En las entrevistas se conoció que en 2024 Fianzas detectó una carta de referencia bancaria con indicios de alteración, declinó la operación (el cliente fue rechazado) y no lo comunicó a la Oficial de Cumplimiento. Ese caso, junto con la ausencia de ROS, muestra la importancia de reforzar la capacitación en ROS y el escalamiento de los casos identificados en las áreas comerciales.</w:t>
      </w:r>
    </w:p>
    <w:p>
      <w:pPr>
        <w:pStyle w:val="Heading3"/>
        <w:keepNext/>
      </w:pPr>
      <w:r>
        <w:rPr>
          <w:rFonts w:ascii="Arial" w:cs="Arial" w:eastAsia="Arial" w:hAnsi="Arial"/>
        </w:rPr>
        <w:t xml:space="preserve">Elementos revisados sin hallazgos</w:t>
      </w:r>
    </w:p>
    <w:p>
      <w:pPr>
        <w:spacing w:after="120" w:before="0" w:line="276"/>
        <w:jc w:val="both"/>
      </w:pPr>
      <w:r>
        <w:rPr>
          <w:rFonts w:ascii="Arial" w:cs="Arial" w:eastAsia="Arial" w:hAnsi="Arial"/>
          <w:b w:val="false"/>
          <w:bCs w:val="false"/>
          <w:sz w:val="21"/>
          <w:szCs w:val="21"/>
        </w:rPr>
        <w:t xml:space="preserve">Los memoriales y correos de remisión de los programas y de los Informes de Gestión a la SSRP y la matriz de seguimiento del cierre de los hallazgos de la SSRP no generaron hallazgos de riesgo.</w:t>
      </w:r>
    </w:p>
    <w:p>
      <w:pPr>
        <w:pStyle w:val="Heading3"/>
        <w:keepNext/>
      </w:pPr>
      <w:r>
        <w:rPr>
          <w:rFonts w:ascii="Arial" w:cs="Arial" w:eastAsia="Arial" w:hAnsi="Arial"/>
        </w:rPr>
        <w:t xml:space="preserve">Brechas identificadas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4840"/>
        <w:gridCol w:w="2400"/>
        <w:gridCol w:w="500"/>
        <w:gridCol w:w="860"/>
      </w:tblGrid>
      <w:tr>
        <w:trPr>
          <w:cantSplit/>
          <w:tblHeader/>
        </w:trPr>
        <w:tc>
          <w:tcPr>
            <w:tcW w:type="dxa" w:w="7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484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Brecha</w:t>
            </w:r>
          </w:p>
        </w:tc>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Base normativa</w:t>
            </w:r>
          </w:p>
        </w:tc>
        <w:tc>
          <w:tcPr>
            <w:tcW w:type="dxa" w:w="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P:I</w:t>
            </w:r>
          </w:p>
        </w:tc>
        <w:tc>
          <w:tcPr>
            <w:tcW w:type="dxa" w:w="8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Nivel</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RR-01</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Sin ROS en el período ni registro de operaciones inusuales.</w:t>
            </w:r>
            <w:r>
              <w:rPr>
                <w:rFonts w:ascii="Arial" w:cs="Arial" w:eastAsia="Arial" w:hAnsi="Arial"/>
                <w:b w:val="false"/>
                <w:bCs w:val="false"/>
                <w:sz w:val="16"/>
                <w:szCs w:val="16"/>
              </w:rPr>
              <w:t xml:space="preserve"> La ausencia de ROS no es, por sí misma, un incumplimiento. Sin embargo, no se evidencian ROS ni un registro de operaciones inusuales que deje constancia del análisis, del responsable y de la decisión de no reportar, y esta situación se relaciona con la necesidad de reforzar la capacitación en materia de ROS y con el escalamiento de casos identificados en las áreas comerciales.</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Ley 23 de 2015, Art. 54; D.E. 35 de 2022, Arts. 23 y 25; Acuerdo 03-2022, Arts. 43 y 44</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2:3</w:t>
            </w:r>
          </w:p>
        </w:tc>
        <w:tc>
          <w:tcPr>
            <w:tcW w:type="dxa" w:w="8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RR-02</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Caso de Fianzas 2024 no escalado a Cumplimiento.</w:t>
            </w:r>
            <w:r>
              <w:rPr>
                <w:rFonts w:ascii="Arial" w:cs="Arial" w:eastAsia="Arial" w:hAnsi="Arial"/>
                <w:b w:val="false"/>
                <w:bCs w:val="false"/>
                <w:sz w:val="16"/>
                <w:szCs w:val="16"/>
              </w:rPr>
              <w:t xml:space="preserve"> En 2024 Fianzas detectó una carta de referencia bancaria con indicios de alteración y declinó la operación, pero no lo comunicó a la Oficial de Cumplimiento. Declinar una operación no reemplaza el reporte interno: la obligación incluye las tentativas, y sin ese reporte Cumplimiento no pudo evaluar si correspondía un ROS.</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Ley 23 de 2015, Art. 54; D.E. 35 de 2022, Arts. 25 y 29 (num. 1, lit. e); Acuerdo 03-2022, Arts. 43 y 44</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2:3</w:t>
            </w:r>
          </w:p>
        </w:tc>
        <w:tc>
          <w:tcPr>
            <w:tcW w:type="dxa" w:w="8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RR-03</w:t>
            </w:r>
          </w:p>
        </w:tc>
        <w:tc>
          <w:tcPr>
            <w:tcW w:type="dxa" w:w="484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
            </w:r>
            <w:r>
              <w:rPr>
                <w:rFonts w:ascii="Arial" w:cs="Arial" w:eastAsia="Arial" w:hAnsi="Arial"/>
                <w:b/>
                <w:bCs/>
                <w:sz w:val="16"/>
                <w:szCs w:val="16"/>
              </w:rPr>
              <w:t xml:space="preserve">Reportes de efectivo del período pendientes de entrega.</w:t>
            </w:r>
            <w:r>
              <w:rPr>
                <w:rFonts w:ascii="Arial" w:cs="Arial" w:eastAsia="Arial" w:hAnsi="Arial"/>
                <w:b w:val="false"/>
                <w:bCs w:val="false"/>
                <w:sz w:val="16"/>
                <w:szCs w:val="16"/>
              </w:rPr>
              <w:t xml:space="preserve"> No se aportaron los reportes de transacciones en efectivo y cuasi efectivo del período, por lo que no puede validarse su control y su reporte a la UAF dentro de los cinco primeros días hábiles de cada mes.</w:t>
            </w:r>
          </w:p>
        </w:tc>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Ley 23 de 2015, Art. 53; D.E. 35 de 2022, Art. 24; Acuerdo 03-2022, Art. 42</w:t>
            </w:r>
          </w:p>
        </w:tc>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2:3</w:t>
            </w:r>
          </w:p>
        </w:tc>
        <w:tc>
          <w:tcPr>
            <w:tcW w:type="dxa" w:w="8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MEDIO</w:t>
            </w:r>
          </w:p>
        </w:tc>
      </w:tr>
    </w:tbl>
    <w:p>
      <w:pPr>
        <w:pStyle w:val="Heading3"/>
        <w:keepNext/>
      </w:pPr>
      <w:r>
        <w:rPr>
          <w:rFonts w:ascii="Arial" w:cs="Arial" w:eastAsia="Arial" w:hAnsi="Arial"/>
        </w:rPr>
        <w:t xml:space="preserve">Riesgo regulatorio y posible observación de la SSRP</w:t>
      </w:r>
    </w:p>
    <w:p>
      <w:pPr>
        <w:spacing w:after="120" w:before="0" w:line="276"/>
        <w:jc w:val="both"/>
      </w:pPr>
      <w:r>
        <w:rPr>
          <w:rFonts w:ascii="Arial" w:cs="Arial" w:eastAsia="Arial" w:hAnsi="Arial"/>
          <w:b w:val="false"/>
          <w:bCs w:val="false"/>
          <w:sz w:val="21"/>
          <w:szCs w:val="21"/>
        </w:rPr>
        <w:t xml:space="preserve">No comunicar operaciones sospechosas es infracción de gravedad media (Art. 62, num. 5 del Acuerdo 03-2022). Por eso recomendamos analizar y documentar el caso de Fianzas cuanto antes y dejar registro de las decisiones de no reportar. La norma premia la iniciativa: subsanar por cuenta propia antes de una resolución sancionatoria constituye un atenuante (Art. 59, num. 1).</w:t>
      </w:r>
    </w:p>
    <w:p>
      <w:pPr>
        <w:pStyle w:val="Heading3"/>
        <w:keepNext/>
      </w:pPr>
      <w:r>
        <w:rPr>
          <w:rFonts w:ascii="Arial" w:cs="Arial" w:eastAsia="Arial" w:hAnsi="Arial"/>
        </w:rPr>
        <w:t xml:space="preserve">Recomendaciones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360"/>
        <w:gridCol w:w="1000"/>
      </w:tblGrid>
      <w:tr>
        <w:trPr>
          <w:cantSplit/>
          <w:tblHeader/>
        </w:trPr>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73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Recomendación</w:t>
            </w:r>
          </w:p>
        </w:tc>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Prioridad</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R-RR-01</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Analizar el caso de Fianzas de 2024, documentar el análisis y la decisión y, si procede, presentar el ROS explicando la oportunidad del reporte.</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R-RR-02</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Aprobar un procedimiento de operaciones inusuales y sospechosas con registro único y registro de decisiones de no reportar; enviar una circular recordando que toda señal de alerta se reporta, aunque la operación no se concrete; y reforzar la capacitación en ROS, incluidos talleres para las áreas comerciales.</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r>
      <w:tr>
        <w:trPr>
          <w:cantSplit/>
        </w:trPr>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R-RR-03</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Conciliar los reportes de efectivo y cuasi efectivo del período y conservar sus acuses; considerar controles para las transacciones en efectivo y validar periódicamente la actualización de las políticas, procesos y procedimientos.</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r>
    </w:tbl>
    <w:p>
      <w:pPr>
        <w:pStyle w:val="Heading3"/>
        <w:keepNext/>
      </w:pPr>
      <w:r>
        <w:rPr>
          <w:rFonts w:ascii="Arial" w:cs="Arial" w:eastAsia="Arial" w:hAnsi="Arial"/>
        </w:rPr>
        <w:t xml:space="preserve">Ruta de 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Horizonte</w:t>
            </w:r>
          </w:p>
        </w:tc>
        <w:tc>
          <w:tcPr>
            <w:tcW w:type="dxa" w:w="69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Acciones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0–30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PA-03, PA-04</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30–90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PA-12</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90–180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Seguimiento permanente en el Comité</w:t>
            </w:r>
          </w:p>
        </w:tc>
      </w:tr>
      <w:tr>
        <w:trPr>
          <w:cantSplit/>
        </w:trPr>
        <w:tc>
          <w:tcPr>
            <w:tcW w:type="dxa" w:w="24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Hacia el Acuerdo 07-2025</w:t>
            </w:r>
          </w:p>
        </w:tc>
        <w:tc>
          <w:tcPr>
            <w:tcW w:type="dxa" w:w="696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RM-15, RM-16, RM-17 (ver Sección 11)</w:t>
            </w:r>
          </w:p>
        </w:tc>
      </w:tr>
    </w:tbl>
    <w:p>
      <w:pPr>
        <w:pStyle w:val="Heading2"/>
        <w:pageBreakBefore/>
      </w:pPr>
      <w:r>
        <w:rPr>
          <w:rFonts w:ascii="Arial" w:cs="Arial" w:eastAsia="Arial" w:hAnsi="Arial"/>
        </w:rPr>
        <w:t xml:space="preserve">6.8 Conservación de Documentos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Calificación</w:t>
            </w:r>
          </w:p>
        </w:tc>
        <w:tc>
          <w:tcPr>
            <w:tcW w:type="dxa" w:w="736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Nivel 4 – BAJO (Cumple)</w:t>
            </w:r>
          </w:p>
        </w:tc>
      </w:tr>
      <w:tr>
        <w:trPr>
          <w:cantSplit/>
        </w:trPr>
        <w:tc>
          <w:tcPr>
            <w:tcW w:type="dxa" w:w="2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8"/>
                <w:szCs w:val="18"/>
              </w:rPr>
              <w:t xml:space="preserve">Brechas</w:t>
            </w:r>
          </w:p>
        </w:tc>
        <w:tc>
          <w:tcPr>
            <w:tcW w:type="dxa" w:w="7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8"/>
                <w:szCs w:val="18"/>
              </w:rPr>
              <w:t xml:space="preserve">0 (Crítico: 0 · Medio-Alto: 0 · Medio: 0 · Bajo: 0)</w:t>
            </w:r>
          </w:p>
        </w:tc>
      </w:tr>
    </w:tbl>
    <w:p>
      <w:pPr>
        <w:pStyle w:val="Heading3"/>
        <w:keepNext/>
      </w:pPr>
      <w:r>
        <w:rPr>
          <w:rFonts w:ascii="Arial" w:cs="Arial" w:eastAsia="Arial" w:hAnsi="Arial"/>
        </w:rPr>
        <w:t xml:space="preserve">Situación actual</w:t>
      </w:r>
    </w:p>
    <w:p>
      <w:pPr>
        <w:spacing w:after="120" w:before="0" w:line="276"/>
        <w:jc w:val="both"/>
      </w:pPr>
      <w:r>
        <w:rPr>
          <w:rFonts w:ascii="Arial" w:cs="Arial" w:eastAsia="Arial" w:hAnsi="Arial"/>
          <w:b w:val="false"/>
          <w:bCs w:val="false"/>
          <w:sz w:val="21"/>
          <w:szCs w:val="21"/>
        </w:rPr>
        <w:t xml:space="preserve">Ancón cuenta con una política de conservación de documentos, aprobada por el Comité el 17 de abril de 2024, que se revisó sin observar hallazgos de riesgo, y RESYCON-7 contempla controles tecnológicos (DLP de Office 365, cifrado y bloqueo de USB) y la Ley 81 de 2019. La capacidad de reconstruir operaciones depende, sobre todo, de la calidad de los expedientes: las observaciones de la prueba de expedientes se tratan en DD-01 y DD-02, y su subsanación fortalece también la conservación de documentos.</w:t>
      </w:r>
    </w:p>
    <w:p>
      <w:pPr>
        <w:pStyle w:val="Heading3"/>
        <w:keepNext/>
      </w:pPr>
      <w:r>
        <w:rPr>
          <w:rFonts w:ascii="Arial" w:cs="Arial" w:eastAsia="Arial" w:hAnsi="Arial"/>
        </w:rPr>
        <w:t xml:space="preserve">Elementos revisados sin hallazgos</w:t>
      </w:r>
    </w:p>
    <w:p>
      <w:pPr>
        <w:spacing w:after="120" w:before="0" w:line="276"/>
        <w:jc w:val="both"/>
      </w:pPr>
      <w:r>
        <w:rPr>
          <w:rFonts w:ascii="Arial" w:cs="Arial" w:eastAsia="Arial" w:hAnsi="Arial"/>
          <w:b w:val="false"/>
          <w:bCs w:val="false"/>
          <w:sz w:val="21"/>
          <w:szCs w:val="21"/>
        </w:rPr>
        <w:t xml:space="preserve">La política de conservación de documentos y su aprobación por el Comité, la política de reserva y confidencialidad (RESYCON-7) y los formularios CTC utilizados por la compañía no generaron hallazgos de riesgo.</w:t>
      </w:r>
    </w:p>
    <w:p>
      <w:pPr>
        <w:pStyle w:val="Heading3"/>
        <w:keepNext/>
      </w:pPr>
      <w:r>
        <w:rPr>
          <w:rFonts w:ascii="Arial" w:cs="Arial" w:eastAsia="Arial" w:hAnsi="Arial"/>
        </w:rPr>
        <w:t xml:space="preserve">Brechas identificadas</w:t>
      </w:r>
    </w:p>
    <w:p>
      <w:pPr>
        <w:spacing w:after="120" w:before="0" w:line="276"/>
        <w:jc w:val="both"/>
      </w:pPr>
      <w:r>
        <w:rPr>
          <w:rFonts w:ascii="Arial" w:cs="Arial" w:eastAsia="Arial" w:hAnsi="Arial"/>
          <w:b w:val="false"/>
          <w:bCs w:val="false"/>
          <w:sz w:val="21"/>
          <w:szCs w:val="21"/>
        </w:rPr>
        <w:t xml:space="preserve">No se identificaron brechas con nivel de riesgo en este componente. Los elementos evaluados se encontraron conformes a la regulación y al estándar de evaluación con enfoque basado en riesgo; las oportunidades de mejora, si las hay, se detallan más abajo.</w:t>
      </w:r>
    </w:p>
    <w:p>
      <w:pPr>
        <w:pStyle w:val="Heading3"/>
        <w:keepNext/>
      </w:pPr>
      <w:r>
        <w:rPr>
          <w:rFonts w:ascii="Arial" w:cs="Arial" w:eastAsia="Arial" w:hAnsi="Arial"/>
        </w:rPr>
        <w:t xml:space="preserve">Riesgo regulatorio y posible observación de la SSRP</w:t>
      </w:r>
    </w:p>
    <w:p>
      <w:pPr>
        <w:spacing w:after="120" w:before="0" w:line="276"/>
        <w:jc w:val="both"/>
      </w:pPr>
      <w:r>
        <w:rPr>
          <w:rFonts w:ascii="Arial" w:cs="Arial" w:eastAsia="Arial" w:hAnsi="Arial"/>
          <w:b w:val="false"/>
          <w:bCs w:val="false"/>
          <w:sz w:val="21"/>
          <w:szCs w:val="21"/>
        </w:rPr>
        <w:t xml:space="preserve">No conservar los registros por el plazo legal o no tener copia de seguridad del registro de efectivo son infracciones de gravedad media (Art. 62, num. 2); ninguna de esas situaciones se identificó en el período. El archivo es, sobre todo, la forma en que la entidad demuestra que cumple, por lo que la subsanación de expedientes (PA-05) es la mejor inversión en este componente.</w:t>
      </w:r>
    </w:p>
    <w:p>
      <w:pPr>
        <w:pStyle w:val="Heading3"/>
        <w:keepNext/>
      </w:pPr>
      <w:r>
        <w:rPr>
          <w:rFonts w:ascii="Arial" w:cs="Arial" w:eastAsia="Arial" w:hAnsi="Arial"/>
        </w:rPr>
        <w:t xml:space="preserve">Ruta de 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Horizonte</w:t>
            </w:r>
          </w:p>
        </w:tc>
        <w:tc>
          <w:tcPr>
            <w:tcW w:type="dxa" w:w="69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Acciones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0–30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Sin acciones requeridas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30–90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PA-05 (subsanación de expedientes)</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90–180 días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Sin acciones adicionales</w:t>
            </w:r>
          </w:p>
        </w:tc>
      </w:tr>
      <w:tr>
        <w:trPr>
          <w:cantSplit/>
        </w:trPr>
        <w:tc>
          <w:tcPr>
            <w:tcW w:type="dxa" w:w="24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Hacia el Acuerdo 07-2025</w:t>
            </w:r>
          </w:p>
        </w:tc>
        <w:tc>
          <w:tcPr>
            <w:tcW w:type="dxa" w:w="696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RM-23 (ver Sección 11)</w:t>
            </w:r>
          </w:p>
        </w:tc>
      </w:tr>
    </w:tbl>
    <w:p>
      <w:pPr>
        <w:sectPr>
          <w:headerReference w:type="default" r:id="rId6"/>
          <w:footerReference w:type="default" r:id="rId7"/>
          <w:pgSz w:w="12240" w:h="15840" w:orient="portrait"/>
          <w:pgMar w:top="1440" w:right="1440" w:bottom="1300" w:left="1440" w:header="708" w:footer="708" w:gutter="0"/>
          <w:pgNumType/>
          <w:docGrid w:linePitch="360"/>
        </w:sectPr>
      </w:pPr>
    </w:p>
    <w:p>
      <w:pPr>
        <w:pStyle w:val="Heading1"/>
      </w:pPr>
      <w:r>
        <w:rPr>
          <w:rFonts w:ascii="Arial" w:cs="Arial" w:eastAsia="Arial" w:hAnsi="Arial"/>
        </w:rPr>
        <w:t xml:space="preserve">7. Matriz de Riesgo GSM</w:t>
      </w:r>
    </w:p>
    <w:p>
      <w:pPr>
        <w:spacing w:after="120" w:before="0" w:line="276"/>
        <w:jc w:val="both"/>
      </w:pPr>
      <w:r>
        <w:rPr>
          <w:rFonts w:ascii="Arial" w:cs="Arial" w:eastAsia="Arial" w:hAnsi="Arial"/>
          <w:b w:val="false"/>
          <w:bCs w:val="false"/>
          <w:sz w:val="21"/>
          <w:szCs w:val="21"/>
        </w:rPr>
        <w:t xml:space="preserve">La matriz valora cada brecha del período por su probabilidad (P) y su impacto (I) con la metodología descrita en la Sección 5. El resultado es el mapa de calor siguiente, que concentra 13 brechas de nivel medio y 1 de nivel bajo, sin brechas críticas ni medio-altas. La matriz completa, con sus fórmulas, el mapa de calor y el registro de oportunidades de mejora, se entrega en el archivo Excel "ANCON_Matriz_Riesgo_GSM_2024-2025" adjunto a este informe.</w:t>
      </w:r>
    </w:p>
    <w:p>
      <w:pPr>
        <w:pStyle w:val="Heading2"/>
      </w:pPr>
      <w:r>
        <w:rPr>
          <w:rFonts w:ascii="Arial" w:cs="Arial" w:eastAsia="Arial" w:hAnsi="Arial"/>
        </w:rPr>
        <w:t xml:space="preserve">7.1 Mapa de calor</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560"/>
        <w:gridCol w:w="2080"/>
        <w:gridCol w:w="2080"/>
        <w:gridCol w:w="2080"/>
        <w:gridCol w:w="2080"/>
        <w:gridCol w:w="2080"/>
      </w:tblGrid>
      <w:tr>
        <w:trPr>
          <w:cantSplit/>
          <w:tblHeader/>
        </w:trPr>
        <w:tc>
          <w:tcPr>
            <w:tcW w:type="dxa" w:w="25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Probabilidad / Impacto</w:t>
            </w:r>
          </w:p>
        </w:tc>
        <w:tc>
          <w:tcPr>
            <w:tcW w:type="dxa" w:w="208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1 – Insignificante</w:t>
            </w:r>
          </w:p>
        </w:tc>
        <w:tc>
          <w:tcPr>
            <w:tcW w:type="dxa" w:w="208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2 – Menor</w:t>
            </w:r>
          </w:p>
        </w:tc>
        <w:tc>
          <w:tcPr>
            <w:tcW w:type="dxa" w:w="208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3 – Moderado</w:t>
            </w:r>
          </w:p>
        </w:tc>
        <w:tc>
          <w:tcPr>
            <w:tcW w:type="dxa" w:w="208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4 – Mayor</w:t>
            </w:r>
          </w:p>
        </w:tc>
        <w:tc>
          <w:tcPr>
            <w:tcW w:type="dxa" w:w="208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5 – Catastrófico</w:t>
            </w:r>
          </w:p>
        </w:tc>
      </w:tr>
      <w:tr>
        <w:trPr>
          <w:cantSplit/>
        </w:trPr>
        <w:tc>
          <w:tcPr>
            <w:tcW w:type="dxa" w:w="256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5 – Frecuente</w:t>
            </w:r>
          </w:p>
        </w:tc>
        <w:tc>
          <w:tcPr>
            <w:tcW w:type="dxa" w:w="208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E06666"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E06666"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E06666"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r>
      <w:tr>
        <w:trPr>
          <w:cantSplit/>
        </w:trPr>
        <w:tc>
          <w:tcPr>
            <w:tcW w:type="dxa" w:w="256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4 – Probable</w:t>
            </w:r>
          </w:p>
        </w:tc>
        <w:tc>
          <w:tcPr>
            <w:tcW w:type="dxa" w:w="208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E06666"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E06666"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r>
      <w:tr>
        <w:trPr>
          <w:cantSplit/>
        </w:trPr>
        <w:tc>
          <w:tcPr>
            <w:tcW w:type="dxa" w:w="256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3 – Ocasional</w:t>
            </w:r>
          </w:p>
        </w:tc>
        <w:tc>
          <w:tcPr>
            <w:tcW w:type="dxa" w:w="208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center"/>
            </w:pPr>
            <w:r>
              <w:rPr>
                <w:rFonts w:ascii="Arial" w:cs="Arial" w:eastAsia="Arial" w:hAnsi="Arial"/>
                <w:b/>
                <w:bCs/>
                <w:sz w:val="22"/>
                <w:szCs w:val="22"/>
              </w:rPr>
              <w:t xml:space="preserve">1</w:t>
            </w:r>
          </w:p>
        </w:tc>
        <w:tc>
          <w:tcPr>
            <w:tcW w:type="dxa" w:w="208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22"/>
                <w:szCs w:val="22"/>
              </w:rPr>
              <w:t xml:space="preserve">5</w:t>
            </w:r>
          </w:p>
        </w:tc>
        <w:tc>
          <w:tcPr>
            <w:tcW w:type="dxa" w:w="208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E06666"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r>
      <w:tr>
        <w:trPr>
          <w:cantSplit/>
        </w:trPr>
        <w:tc>
          <w:tcPr>
            <w:tcW w:type="dxa" w:w="256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2 – Posible</w:t>
            </w:r>
          </w:p>
        </w:tc>
        <w:tc>
          <w:tcPr>
            <w:tcW w:type="dxa" w:w="208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22"/>
                <w:szCs w:val="22"/>
              </w:rPr>
              <w:t xml:space="preserve">8</w:t>
            </w:r>
          </w:p>
        </w:tc>
        <w:tc>
          <w:tcPr>
            <w:tcW w:type="dxa" w:w="208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r>
      <w:tr>
        <w:trPr>
          <w:cantSplit/>
        </w:trPr>
        <w:tc>
          <w:tcPr>
            <w:tcW w:type="dxa" w:w="256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1 – Improbable</w:t>
            </w:r>
          </w:p>
        </w:tc>
        <w:tc>
          <w:tcPr>
            <w:tcW w:type="dxa" w:w="208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c>
          <w:tcPr>
            <w:tcW w:type="dxa" w:w="208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6"/>
                <w:szCs w:val="16"/>
              </w:rPr>
              <w:t xml:space="preserve">–</w:t>
            </w:r>
          </w:p>
        </w:tc>
      </w:tr>
    </w:tbl>
    <w:p>
      <w:pPr>
        <w:spacing w:after="6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560"/>
        <w:gridCol w:w="1400"/>
        <w:gridCol w:w="9000"/>
      </w:tblGrid>
      <w:tr>
        <w:trPr>
          <w:cantSplit/>
          <w:tblHeader/>
        </w:trPr>
        <w:tc>
          <w:tcPr>
            <w:tcW w:type="dxa" w:w="25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Resumen</w:t>
            </w:r>
          </w:p>
        </w:tc>
        <w:tc>
          <w:tcPr>
            <w:tcW w:type="dxa" w:w="1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Cantidad</w:t>
            </w:r>
          </w:p>
        </w:tc>
        <w:tc>
          <w:tcPr>
            <w:tcW w:type="dxa" w:w="9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Acción requerida</w:t>
            </w:r>
          </w:p>
        </w:tc>
      </w:tr>
      <w:tr>
        <w:trPr>
          <w:cantSplit/>
        </w:trPr>
        <w:tc>
          <w:tcPr>
            <w:tcW w:type="dxa" w:w="2560"/>
            <w:tcBorders>
              <w:top w:val="single" w:color="B7C4CA" w:sz="4"/>
              <w:left w:val="single" w:color="B7C4CA" w:sz="4"/>
              <w:bottom w:val="single" w:color="B7C4CA" w:sz="4"/>
              <w:right w:val="single" w:color="B7C4CA" w:sz="4"/>
            </w:tcBorders>
            <w:shd w:fill="E066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7"/>
                <w:szCs w:val="17"/>
              </w:rPr>
              <w:t xml:space="preserve">CRÍTICO</w:t>
            </w:r>
          </w:p>
        </w:tc>
        <w:tc>
          <w:tcPr>
            <w:tcW w:type="dxa" w:w="1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7"/>
                <w:szCs w:val="17"/>
              </w:rPr>
              <w:t xml:space="preserve">0</w:t>
            </w:r>
          </w:p>
        </w:tc>
        <w:tc>
          <w:tcPr>
            <w:tcW w:type="dxa" w:w="9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Acción inmediata (0-30 días); reporte a la Junta y al Oficial de Cumplimiento.</w:t>
            </w:r>
          </w:p>
        </w:tc>
      </w:tr>
      <w:tr>
        <w:trPr>
          <w:cantSplit/>
        </w:trPr>
        <w:tc>
          <w:tcPr>
            <w:tcW w:type="dxa" w:w="256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7"/>
                <w:szCs w:val="17"/>
              </w:rPr>
              <w:t xml:space="preserve">MEDIO-ALTO</w:t>
            </w:r>
          </w:p>
        </w:tc>
        <w:tc>
          <w:tcPr>
            <w:tcW w:type="dxa" w:w="1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7"/>
                <w:szCs w:val="17"/>
              </w:rPr>
              <w:t xml:space="preserve">0</w:t>
            </w:r>
          </w:p>
        </w:tc>
        <w:tc>
          <w:tcPr>
            <w:tcW w:type="dxa" w:w="9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Plan de acción formal (30-60 días); monitoreo mensual.</w:t>
            </w:r>
          </w:p>
        </w:tc>
      </w:tr>
      <w:tr>
        <w:trPr>
          <w:cantSplit/>
        </w:trPr>
        <w:tc>
          <w:tcPr>
            <w:tcW w:type="dxa" w:w="256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7"/>
                <w:szCs w:val="17"/>
              </w:rPr>
              <w:t xml:space="preserve">MEDIO</w:t>
            </w:r>
          </w:p>
        </w:tc>
        <w:tc>
          <w:tcPr>
            <w:tcW w:type="dxa" w:w="1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7"/>
                <w:szCs w:val="17"/>
              </w:rPr>
              <w:t xml:space="preserve">13</w:t>
            </w:r>
          </w:p>
        </w:tc>
        <w:tc>
          <w:tcPr>
            <w:tcW w:type="dxa" w:w="9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Medidas correctivas (60-90 días); monitoreo trimestral.</w:t>
            </w:r>
          </w:p>
        </w:tc>
      </w:tr>
      <w:tr>
        <w:trPr>
          <w:cantSplit/>
        </w:trPr>
        <w:tc>
          <w:tcPr>
            <w:tcW w:type="dxa" w:w="256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center"/>
            </w:pPr>
            <w:r>
              <w:rPr>
                <w:rFonts w:ascii="Arial" w:cs="Arial" w:eastAsia="Arial" w:hAnsi="Arial"/>
                <w:b/>
                <w:bCs/>
                <w:sz w:val="17"/>
                <w:szCs w:val="17"/>
              </w:rPr>
              <w:t xml:space="preserve">BAJO</w:t>
            </w:r>
          </w:p>
        </w:tc>
        <w:tc>
          <w:tcPr>
            <w:tcW w:type="dxa" w:w="1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7"/>
                <w:szCs w:val="17"/>
              </w:rPr>
              <w:t xml:space="preserve">1</w:t>
            </w:r>
          </w:p>
        </w:tc>
        <w:tc>
          <w:tcPr>
            <w:tcW w:type="dxa" w:w="9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Controles mínimos; monitoreo semestral.</w:t>
            </w:r>
          </w:p>
        </w:tc>
      </w:tr>
      <w:tr>
        <w:trPr>
          <w:cantSplit/>
        </w:trPr>
        <w:tc>
          <w:tcPr>
            <w:tcW w:type="dxa" w:w="256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Total de brechas</w:t>
            </w:r>
          </w:p>
        </w:tc>
        <w:tc>
          <w:tcPr>
            <w:tcW w:type="dxa" w:w="14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center"/>
            </w:pPr>
            <w:r>
              <w:rPr>
                <w:rFonts w:ascii="Arial" w:cs="Arial" w:eastAsia="Arial" w:hAnsi="Arial"/>
                <w:b/>
                <w:bCs/>
                <w:sz w:val="17"/>
                <w:szCs w:val="17"/>
              </w:rPr>
              <w:t xml:space="preserve">14</w:t>
            </w:r>
          </w:p>
        </w:tc>
        <w:tc>
          <w:tcPr>
            <w:tcW w:type="dxa" w:w="9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
            </w:r>
          </w:p>
        </w:tc>
      </w:tr>
      <w:tr>
        <w:trPr>
          <w:cantSplit/>
        </w:trPr>
        <w:tc>
          <w:tcPr>
            <w:tcW w:type="dxa" w:w="256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center"/>
            </w:pPr>
            <w:r>
              <w:rPr>
                <w:rFonts w:ascii="Arial" w:cs="Arial" w:eastAsia="Arial" w:hAnsi="Arial"/>
                <w:b/>
                <w:bCs/>
                <w:sz w:val="17"/>
                <w:szCs w:val="17"/>
              </w:rPr>
              <w:t xml:space="preserve">OPT. DE MEJORA</w:t>
            </w:r>
          </w:p>
        </w:tc>
        <w:tc>
          <w:tcPr>
            <w:tcW w:type="dxa" w:w="1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7"/>
                <w:szCs w:val="17"/>
              </w:rPr>
              <w:t xml:space="preserve">41</w:t>
            </w:r>
          </w:p>
        </w:tc>
        <w:tc>
          <w:tcPr>
            <w:tcW w:type="dxa" w:w="9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24 mejoras hacia el Acuerdo 07-2025 (Sección 11) y 17 oportunidades de mejora y recomendaciones del período.</w:t>
            </w:r>
          </w:p>
        </w:tc>
      </w:tr>
      <w:tr>
        <w:trPr>
          <w:cantSplit/>
        </w:trPr>
        <w:tc>
          <w:tcPr>
            <w:tcW w:type="dxa" w:w="256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Revisados sin hallazgos</w:t>
            </w:r>
          </w:p>
        </w:tc>
        <w:tc>
          <w:tcPr>
            <w:tcW w:type="dxa" w:w="14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center"/>
            </w:pPr>
            <w:r>
              <w:rPr>
                <w:rFonts w:ascii="Arial" w:cs="Arial" w:eastAsia="Arial" w:hAnsi="Arial"/>
                <w:b/>
                <w:bCs/>
                <w:sz w:val="17"/>
                <w:szCs w:val="17"/>
              </w:rPr>
              <w:t xml:space="preserve">55</w:t>
            </w:r>
          </w:p>
        </w:tc>
        <w:tc>
          <w:tcPr>
            <w:tcW w:type="dxa" w:w="9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Requerimientos revisados conformes a la regulación y al estándar de evaluación con enfoque basado en riesgo (de 92 requerimientos; ver Anexo C).</w:t>
            </w:r>
          </w:p>
        </w:tc>
      </w:tr>
    </w:tbl>
    <w:p>
      <w:pPr>
        <w:pStyle w:val="Heading2"/>
        <w:pageBreakBefore/>
      </w:pPr>
      <w:r>
        <w:rPr>
          <w:rFonts w:ascii="Arial" w:cs="Arial" w:eastAsia="Arial" w:hAnsi="Arial"/>
        </w:rPr>
        <w:t xml:space="preserve">7.2 Registro de brechas ordenado por nivel de riesgo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60"/>
        <w:gridCol w:w="3580"/>
        <w:gridCol w:w="1700"/>
        <w:gridCol w:w="1300"/>
        <w:gridCol w:w="1300"/>
        <w:gridCol w:w="560"/>
        <w:gridCol w:w="820"/>
        <w:gridCol w:w="1240"/>
        <w:gridCol w:w="1700"/>
      </w:tblGrid>
      <w:tr>
        <w:trPr>
          <w:cantSplit/>
          <w:tblHeader/>
        </w:trPr>
        <w:tc>
          <w:tcPr>
            <w:tcW w:type="dxa" w:w="7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358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Brecha</w:t>
            </w:r>
          </w:p>
        </w:tc>
        <w:tc>
          <w:tcPr>
            <w:tcW w:type="dxa" w:w="17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Componente</w:t>
            </w:r>
          </w:p>
        </w:tc>
        <w:tc>
          <w:tcPr>
            <w:tcW w:type="dxa" w:w="13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Probabilidad</w:t>
            </w:r>
          </w:p>
        </w:tc>
        <w:tc>
          <w:tcPr>
            <w:tcW w:type="dxa" w:w="13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Impacto</w:t>
            </w:r>
          </w:p>
        </w:tc>
        <w:tc>
          <w:tcPr>
            <w:tcW w:type="dxa" w:w="5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P:I</w:t>
            </w:r>
          </w:p>
        </w:tc>
        <w:tc>
          <w:tcPr>
            <w:tcW w:type="dxa" w:w="82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Puntaje</w:t>
            </w:r>
          </w:p>
        </w:tc>
        <w:tc>
          <w:tcPr>
            <w:tcW w:type="dxa" w:w="124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Nivel</w:t>
            </w:r>
          </w:p>
        </w:tc>
        <w:tc>
          <w:tcPr>
            <w:tcW w:type="dxa" w:w="17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Plan</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DD-01</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Observaciones en el 85.88 % de los expedientes de clientes</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Debida Diligencia</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Ocasional (3)</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Menor (2)</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3:2</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6</w:t>
            </w:r>
          </w:p>
        </w:tc>
        <w:tc>
          <w:tcPr>
            <w:tcW w:type="dxa" w:w="124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MEDIO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PA-05</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DD-02</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Listado de clientes con documentación pendiente sin trazabilidad</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Debida Diligencia</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Ocasional (3)</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Menor (2)</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3:2</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6</w:t>
            </w:r>
          </w:p>
        </w:tc>
        <w:tc>
          <w:tcPr>
            <w:tcW w:type="dxa" w:w="124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MEDIO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PA-06</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DD-03</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Sin catálogo ni base de datos de proveedores activos</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Debida Diligencia</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Ocasional (3)</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Menor (2)</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3:2</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6</w:t>
            </w:r>
          </w:p>
        </w:tc>
        <w:tc>
          <w:tcPr>
            <w:tcW w:type="dxa" w:w="124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MEDIO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PA-07</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ER-01</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Acta de Junta que aprueba la matriz de riesgo pendiente de entrega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Evaluación de Riesgo AML</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Posible (2)</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Moderado (3)</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2:3</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6</w:t>
            </w:r>
          </w:p>
        </w:tc>
        <w:tc>
          <w:tcPr>
            <w:tcW w:type="dxa" w:w="124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MEDIO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PA-01</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GC-01</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Actas del Comité de los trimestres II a IV de 2024 pendientes de entrega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Gobierno Corporativo</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Posible (2)</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Moderado (3)</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2:3</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6</w:t>
            </w:r>
          </w:p>
        </w:tc>
        <w:tc>
          <w:tcPr>
            <w:tcW w:type="dxa" w:w="124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MEDIO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PA-01</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GC-02</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Planificación de Auditoría Interna sin enfoque de riesgo explícito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Gobierno Corporativo</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Posible (2)</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Moderado (3)</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2:3</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6</w:t>
            </w:r>
          </w:p>
        </w:tc>
        <w:tc>
          <w:tcPr>
            <w:tcW w:type="dxa" w:w="124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MEDIO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PA-11</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GC-03</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Acta de Junta que designa a la Oficial de Cumplimiento pendiente de entrega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Gobierno Corporativo</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Posible (2)</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Moderado (3)</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2:3</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6</w:t>
            </w:r>
          </w:p>
        </w:tc>
        <w:tc>
          <w:tcPr>
            <w:tcW w:type="dxa" w:w="124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MEDIO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PA-01</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MT-01</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Monitoreo transaccional con brechas de automatización</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Monitoreo Transaccional</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Posible (2)</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Moderado (3)</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2:3</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6</w:t>
            </w:r>
          </w:p>
        </w:tc>
        <w:tc>
          <w:tcPr>
            <w:tcW w:type="dxa" w:w="124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MEDIO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PA-09</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MT-02</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Alertas cerradas sin listado de falsos positivos</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Monitoreo Transaccional</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Ocasional (3)</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Menor (2)</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3:2</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6</w:t>
            </w:r>
          </w:p>
        </w:tc>
        <w:tc>
          <w:tcPr>
            <w:tcW w:type="dxa" w:w="124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MEDIO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PA-08</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PP-02</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Política de Perfil Financiero y Transaccional con oportunidades de fortalecimiento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Políticas y Procedimientos</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Ocasional (3)</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Menor (2)</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3:2</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6</w:t>
            </w:r>
          </w:p>
        </w:tc>
        <w:tc>
          <w:tcPr>
            <w:tcW w:type="dxa" w:w="124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MEDIO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PA-10</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RR-01</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Sin ROS en el período ni registro de operaciones inusuales</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Reportes Regulatorios</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Posible (2)</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Moderado (3)</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2:3</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6</w:t>
            </w:r>
          </w:p>
        </w:tc>
        <w:tc>
          <w:tcPr>
            <w:tcW w:type="dxa" w:w="124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MEDIO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PA-12</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RR-02</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Caso de Fianzas 2024 no escalado a Cumplimiento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Reportes Regulatorios</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Posible (2)</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Moderado (3)</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2:3</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6</w:t>
            </w:r>
          </w:p>
        </w:tc>
        <w:tc>
          <w:tcPr>
            <w:tcW w:type="dxa" w:w="124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MEDIO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PA-04</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RR-03</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Reportes de efectivo del período pendientes de entrega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Reportes Regulatorios</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Posible (2)</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Moderado (3)</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2:3</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6</w:t>
            </w:r>
          </w:p>
        </w:tc>
        <w:tc>
          <w:tcPr>
            <w:tcW w:type="dxa" w:w="124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MEDIO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PA-03</w:t>
            </w:r>
          </w:p>
        </w:tc>
      </w:tr>
      <w:tr>
        <w:trPr>
          <w:cantSplit/>
        </w:trPr>
        <w:tc>
          <w:tcPr>
            <w:tcW w:type="dxa" w:w="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PP-01</w:t>
            </w:r>
          </w:p>
        </w:tc>
        <w:tc>
          <w:tcPr>
            <w:tcW w:type="dxa" w:w="358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Cuadros de control de versiones desactualizados</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Políticas y Procedimientos</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Ocasional (3)</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Insignificante (1)</w:t>
            </w:r>
          </w:p>
        </w:tc>
        <w:tc>
          <w:tcPr>
            <w:tcW w:type="dxa" w:w="5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3:1</w:t>
            </w:r>
          </w:p>
        </w:tc>
        <w:tc>
          <w:tcPr>
            <w:tcW w:type="dxa" w:w="82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3</w:t>
            </w:r>
          </w:p>
        </w:tc>
        <w:tc>
          <w:tcPr>
            <w:tcW w:type="dxa" w:w="1240"/>
            <w:tcBorders>
              <w:top w:val="single" w:color="B7C4CA" w:sz="4"/>
              <w:left w:val="single" w:color="B7C4CA" w:sz="4"/>
              <w:bottom w:val="single" w:color="B7C4CA" w:sz="4"/>
              <w:right w:val="single" w:color="B7C4CA" w:sz="4"/>
            </w:tcBorders>
            <w:shd w:fill="93C47D" w:color="auto" w:val="clear"/>
            <w:tcMar>
              <w:top w:type="dxa" w:w="70"/>
              <w:left w:type="dxa" w:w="100"/>
              <w:bottom w:type="dxa" w:w="70"/>
              <w:right w:type="dxa" w:w="100"/>
            </w:tcMar>
            <w:vAlign w:val="top"/>
          </w:tcPr>
          <w:p>
            <w:pPr>
              <w:spacing w:after="40" w:line="252"/>
              <w:jc w:val="center"/>
            </w:pPr>
            <w:r>
              <w:rPr>
                <w:rFonts w:ascii="Arial" w:cs="Arial" w:eastAsia="Arial" w:hAnsi="Arial"/>
                <w:b/>
                <w:bCs/>
                <w:sz w:val="15"/>
                <w:szCs w:val="15"/>
              </w:rPr>
              <w:t xml:space="preserve">BAJO</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PA-02</w:t>
            </w:r>
          </w:p>
        </w:tc>
      </w:tr>
    </w:tbl>
    <w:p>
      <w:pPr>
        <w:spacing w:after="120" w:before="120" w:line="276"/>
        <w:jc w:val="both"/>
      </w:pPr>
      <w:r>
        <w:rPr>
          <w:rFonts w:ascii="Arial" w:cs="Arial" w:eastAsia="Arial" w:hAnsi="Arial"/>
          <w:b w:val="false"/>
          <w:bCs w:val="false"/>
          <w:sz w:val="18"/>
          <w:szCs w:val="18"/>
        </w:rPr>
        <w:t xml:space="preserve">Rangos de multa del Acuerdo 03-2022: infracciones leves de B/.5,000 a B/.15,000 (Art. 61); de gravedad media, más de B/.15,000 y hasta B/.1,000,000 (Art. 62); de gravedad máxima, más de B/.1,000,000 y hasta B/.5,000,000 (Art. 63). La Superintendencia puede imponer, además, la prohibición de operar ciertos ramos o la suspensión o cancelación de la licencia (Arts. 55 y 56).</w:t>
      </w:r>
    </w:p>
    <w:p>
      <w:pPr>
        <w:sectPr>
          <w:headerReference w:type="default" r:id="rId8"/>
          <w:footerReference w:type="default" r:id="rId9"/>
          <w:pgSz w:w="15840" w:h="12240" w:orient="landscape"/>
          <w:pgMar w:top="1200" w:right="1440" w:bottom="1200" w:left="1440" w:header="708" w:footer="708" w:gutter="0"/>
          <w:pgNumType/>
          <w:docGrid w:linePitch="360"/>
        </w:sectPr>
      </w:pPr>
    </w:p>
    <w:p>
      <w:pPr>
        <w:pStyle w:val="Heading1"/>
      </w:pPr>
      <w:r>
        <w:rPr>
          <w:rFonts w:ascii="Arial" w:cs="Arial" w:eastAsia="Arial" w:hAnsi="Arial"/>
        </w:rPr>
        <w:t xml:space="preserve">8. Conclusiones</w:t>
      </w:r>
    </w:p>
    <w:p>
      <w:pPr>
        <w:spacing w:after="120" w:before="0" w:line="276"/>
        <w:jc w:val="both"/>
      </w:pPr>
      <w:r>
        <w:rPr>
          <w:rFonts w:ascii="Arial" w:cs="Arial" w:eastAsia="Arial" w:hAnsi="Arial"/>
          <w:b w:val="false"/>
          <w:bCs w:val="false"/>
          <w:sz w:val="21"/>
          <w:szCs w:val="21"/>
        </w:rPr>
        <w:t xml:space="preserve">Ancón ha hecho un esfuerzo sostenido por construir su programa de PBC/FT/FPADM. Tiene una arquitectura documental amplia, un ciclo de aprobaciones del Comité ordenado y explicado en su aclaración de aprobaciones, programas anuales y un Informe de Gestión Anual, una Oficial de Cumplimiento que reporta directamente a la Junta, barridos de listas sobre la cartera y una cultura de consulta valorada por las áreas. Además, durante 2025 inició el desarrollo de una herramienta de monitoreo que automatiza la gestión de alertas, una mejora concreta al ambiente de control.</w:t>
      </w:r>
    </w:p>
    <w:p>
      <w:pPr>
        <w:spacing w:after="120" w:before="0" w:line="276"/>
        <w:jc w:val="both"/>
      </w:pPr>
      <w:r>
        <w:rPr>
          <w:rFonts w:ascii="Arial" w:cs="Arial" w:eastAsia="Arial" w:hAnsi="Arial"/>
          <w:b w:val="false"/>
          <w:bCs w:val="false"/>
          <w:sz w:val="21"/>
          <w:szCs w:val="21"/>
        </w:rPr>
        <w:t xml:space="preserve">La mayoría de los elementos evaluados se encontró conforme a la regulación y al estándar de evaluación con enfoque basado en riesgo: de los 92 requerimientos de información revisados, 55 no presentan hallazgos y 19 solo tienen oportunidades de mejora o recomendaciones. Las 14 brechas identificadas son de nivel medio (13) y bajo (1); ninguna alcanza un nivel medio-alto o crítico.</w:t>
      </w:r>
    </w:p>
    <w:p>
      <w:pPr>
        <w:spacing w:after="120" w:before="0" w:line="276"/>
        <w:jc w:val="both"/>
      </w:pPr>
      <w:r>
        <w:rPr>
          <w:rFonts w:ascii="Arial" w:cs="Arial" w:eastAsia="Arial" w:hAnsi="Arial"/>
          <w:b w:val="false"/>
          <w:bCs w:val="false"/>
          <w:sz w:val="21"/>
          <w:szCs w:val="21"/>
        </w:rPr>
        <w:t xml:space="preserve">La causa de fondo de las brechas es la </w:t>
      </w:r>
      <w:r>
        <w:rPr>
          <w:rFonts w:ascii="Arial" w:cs="Arial" w:eastAsia="Arial" w:hAnsi="Arial"/>
          <w:b/>
          <w:bCs/>
          <w:sz w:val="21"/>
          <w:szCs w:val="21"/>
        </w:rPr>
        <w:t xml:space="preserve">distancia entre lo que está aprobado y lo que se puede demostrar que se ejecuta</w:t>
      </w:r>
      <w:r>
        <w:rPr>
          <w:rFonts w:ascii="Arial" w:cs="Arial" w:eastAsia="Arial" w:hAnsi="Arial"/>
          <w:b w:val="false"/>
          <w:bCs w:val="false"/>
          <w:sz w:val="21"/>
          <w:szCs w:val="21"/>
        </w:rPr>
        <w:t xml:space="preserve">. Las pruebas lo muestran en la debida diligencia: 73 de los 85 expedientes de clientes tienen observaciones, el listado de excepciones no permite dar seguimiento a cada caso y Ancón no mantiene una base de datos de proveedores activos. También se observa en el monitoreo, que sigue siendo manual mientras se completa la herramienta, y en los reportes: en el período no se presentaron ROS y el caso de Fianzas de 2024 muestra que no todas las señales de alerta llegan a Cumplimiento.</w:t>
      </w:r>
    </w:p>
    <w:p>
      <w:pPr>
        <w:spacing w:after="120" w:before="0" w:line="276"/>
        <w:jc w:val="both"/>
      </w:pPr>
      <w:r>
        <w:rPr>
          <w:rFonts w:ascii="Arial" w:cs="Arial" w:eastAsia="Arial" w:hAnsi="Arial"/>
          <w:b w:val="false"/>
          <w:bCs w:val="false"/>
          <w:sz w:val="21"/>
          <w:szCs w:val="21"/>
        </w:rPr>
        <w:t xml:space="preserve">La evidencia de gobierno del período es parcial: hay informes de seguimiento al Comité, un acta de mayo de 2025 y la aclaración de Ancón sobre las sesiones de 2024; pero las copias de las actas de los trimestres II a IV de 2024 y las actas de Junta de designación de la Oficial y de aprobación de la matriz de riesgo están pendientes de entrega. Completar ese expediente es una tarea relativamente sencilla y de alto impacto ante la SSRP.</w:t>
      </w:r>
    </w:p>
    <w:p>
      <w:pPr>
        <w:spacing w:after="120" w:before="0" w:line="276"/>
        <w:jc w:val="both"/>
      </w:pPr>
      <w:r>
        <w:rPr>
          <w:rFonts w:ascii="Arial" w:cs="Arial" w:eastAsia="Arial" w:hAnsi="Arial"/>
          <w:b w:val="false"/>
          <w:bCs w:val="false"/>
          <w:sz w:val="21"/>
          <w:szCs w:val="21"/>
        </w:rPr>
        <w:t xml:space="preserve">Nuestra conclusión es que el sistema de prevención se encuentra en </w:t>
      </w:r>
      <w:r>
        <w:rPr>
          <w:rFonts w:ascii="Arial" w:cs="Arial" w:eastAsia="Arial" w:hAnsi="Arial"/>
          <w:b/>
          <w:bCs/>
          <w:sz w:val="21"/>
          <w:szCs w:val="21"/>
        </w:rPr>
        <w:t xml:space="preserve">Nivel 4 – BAJO (Cumple)</w:t>
      </w:r>
      <w:r>
        <w:rPr>
          <w:rFonts w:ascii="Arial" w:cs="Arial" w:eastAsia="Arial" w:hAnsi="Arial"/>
          <w:b w:val="false"/>
          <w:bCs w:val="false"/>
          <w:sz w:val="21"/>
          <w:szCs w:val="21"/>
        </w:rPr>
        <w:t xml:space="preserve">, con brechas de nivel medio que requieren medidas correctivas en un plazo de 60 a 90 días. Si se ejecutan las acciones inmediatas —completar el expediente de gobierno, conciliar los reportes de efectivo, analizar el caso de Fianzas y actualizar los cuadros de control de las políticas—, la entidad estará en buena posición ante una eventual inspección.</w:t>
      </w:r>
    </w:p>
    <w:p>
      <w:pPr>
        <w:spacing w:after="120" w:before="0" w:line="276"/>
        <w:jc w:val="both"/>
      </w:pPr>
      <w:r>
        <w:rPr>
          <w:rFonts w:ascii="Arial" w:cs="Arial" w:eastAsia="Arial" w:hAnsi="Arial"/>
          <w:b w:val="false"/>
          <w:bCs w:val="false"/>
          <w:sz w:val="21"/>
          <w:szCs w:val="21"/>
        </w:rPr>
        <w:t xml:space="preserve">Por último, el cambio normativo es una oportunidad: como la remediación todavía está por ejecutarse, Ancón puede construirla directamente con el estándar del Acuerdo 07-2025 y resolver con un solo esfuerzo las brechas del período y la transición al nuevo marco. La Sección 11 está pensada para eso.</w:t>
      </w:r>
    </w:p>
    <w:p>
      <w:pPr>
        <w:pStyle w:val="Heading1"/>
        <w:pageBreakBefore/>
      </w:pPr>
      <w:r>
        <w:rPr>
          <w:rFonts w:ascii="Arial" w:cs="Arial" w:eastAsia="Arial" w:hAnsi="Arial"/>
        </w:rPr>
        <w:t xml:space="preserve">9. Recomendaciones Estratégicas y Decisiones Críticas</w:t>
      </w:r>
    </w:p>
    <w:p>
      <w:pPr>
        <w:spacing w:after="120" w:before="0" w:line="276"/>
        <w:jc w:val="both"/>
      </w:pPr>
      <w:r>
        <w:rPr>
          <w:rFonts w:ascii="Arial" w:cs="Arial" w:eastAsia="Arial" w:hAnsi="Arial"/>
          <w:b w:val="false"/>
          <w:bCs w:val="false"/>
          <w:sz w:val="21"/>
          <w:szCs w:val="21"/>
        </w:rPr>
        <w:t xml:space="preserve">Las recomendaciones operativas están detalladas por componente en la Sección 6. Aquí resumimos las decisiones que corresponden a la Junta Directiva y a la Alta Gerencia, porque sin ellas el resto del plan no puede avanzar.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000"/>
        <w:gridCol w:w="1600"/>
        <w:gridCol w:w="1300"/>
        <w:gridCol w:w="3060"/>
      </w:tblGrid>
      <w:tr>
        <w:trPr>
          <w:cantSplit/>
          <w:tblHeader/>
        </w:trPr>
        <w:tc>
          <w:tcPr>
            <w:tcW w:type="dxa" w:w="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w:t>
            </w:r>
          </w:p>
        </w:tc>
        <w:tc>
          <w:tcPr>
            <w:tcW w:type="dxa" w:w="3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Decisión requerida</w:t>
            </w:r>
          </w:p>
        </w:tc>
        <w:tc>
          <w:tcPr>
            <w:tcW w:type="dxa" w:w="16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Órgano</w:t>
            </w:r>
          </w:p>
        </w:tc>
        <w:tc>
          <w:tcPr>
            <w:tcW w:type="dxa" w:w="13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Oportunidad</w:t>
            </w:r>
          </w:p>
        </w:tc>
        <w:tc>
          <w:tcPr>
            <w:tcW w:type="dxa" w:w="30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Por qué es importante</w:t>
            </w:r>
          </w:p>
        </w:tc>
      </w:tr>
      <w:tr>
        <w:trPr>
          <w:cantSplit/>
        </w:trPr>
        <w:tc>
          <w:tcPr>
            <w:tcW w:type="dxa" w:w="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w:t>
            </w:r>
          </w:p>
        </w:tc>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Completar el expediente de gobierno: actas del Comité de 2024, acta de designación del Oficial de Cumplimiento y acta de aprobación de la matriz de riesgo.</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Comité / Junta Directiva</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30 días</w:t>
            </w:r>
          </w:p>
        </w:tc>
        <w:tc>
          <w:tcPr>
            <w:tcW w:type="dxa" w:w="3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Es lo primero que suele pedir la SSRP y se resuelve con documentos que Ancón ya tiene o puede certificar.</w:t>
            </w:r>
          </w:p>
        </w:tc>
      </w:tr>
      <w:tr>
        <w:trPr>
          <w:cantSplit/>
        </w:trPr>
        <w:tc>
          <w:tcPr>
            <w:tcW w:type="dxa" w:w="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w:t>
            </w:r>
          </w:p>
        </w:tc>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Aprobar el plan de remediación de los 73 expedientes de clientes observados y los controles previos a la vinculación y a la emisión.</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Gerencia General / Oficial de Cumplimiento</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30 días (plan)</w:t>
            </w:r>
          </w:p>
        </w:tc>
        <w:tc>
          <w:tcPr>
            <w:tcW w:type="dxa" w:w="3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Es la brecha de mayor volumen y la forma en que la entidad demuestra su debida diligencia.</w:t>
            </w:r>
          </w:p>
        </w:tc>
      </w:tr>
      <w:tr>
        <w:trPr>
          <w:cantSplit/>
        </w:trPr>
        <w:tc>
          <w:tcPr>
            <w:tcW w:type="dxa" w:w="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w:t>
            </w:r>
          </w:p>
        </w:tc>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Asignar fecha comprometida y recursos a la puesta en producción de la herramienta de monitoreo automatizado y formalizar el cierre de alertas.</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Gerencia General / Junta Directiva</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60 días</w:t>
            </w:r>
          </w:p>
        </w:tc>
        <w:tc>
          <w:tcPr>
            <w:tcW w:type="dxa" w:w="3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De ello depende el monitoreo oportuno y completo de operaciones inusuales.</w:t>
            </w:r>
          </w:p>
        </w:tc>
      </w:tr>
      <w:tr>
        <w:trPr>
          <w:cantSplit/>
        </w:trPr>
        <w:tc>
          <w:tcPr>
            <w:tcW w:type="dxa" w:w="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4</w:t>
            </w:r>
          </w:p>
        </w:tc>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Instruir el análisis del caso de Fianzas de 2024, el procedimiento de operaciones inusuales y sospechosas y la capacitación en ROS.</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Gerencia General / Oficial de Cumplimiento</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30 días</w:t>
            </w:r>
          </w:p>
        </w:tc>
        <w:tc>
          <w:tcPr>
            <w:tcW w:type="dxa" w:w="3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Evita una posible omisión de reporte y fortalece el escalamiento desde las áreas comerciales.</w:t>
            </w:r>
          </w:p>
        </w:tc>
      </w:tr>
      <w:tr>
        <w:trPr>
          <w:cantSplit/>
        </w:trPr>
        <w:tc>
          <w:tcPr>
            <w:tcW w:type="dxa" w:w="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5</w:t>
            </w:r>
          </w:p>
        </w:tc>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Aprobar un Plan de Auditoría Interna basado en riesgos que incluya la revisión de Cumplimiento.</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Comité / Auditoría Interna</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90 días</w:t>
            </w:r>
          </w:p>
        </w:tc>
        <w:tc>
          <w:tcPr>
            <w:tcW w:type="dxa" w:w="3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Da independencia y enfoque de riesgo a la tercera línea de defensa.</w:t>
            </w:r>
          </w:p>
        </w:tc>
      </w:tr>
      <w:tr>
        <w:trPr>
          <w:cantSplit/>
        </w:trPr>
        <w:tc>
          <w:tcPr>
            <w:tcW w:type="dxa" w:w="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w:t>
            </w:r>
          </w:p>
        </w:tc>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Evaluar la capacidad del Departamento de Cumplimiento y designar un suplente del Oficial.</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Junta Directiva</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90 días</w:t>
            </w:r>
          </w:p>
        </w:tc>
        <w:tc>
          <w:tcPr>
            <w:tcW w:type="dxa" w:w="3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Asegura que los recursos acompañen el volumen de la operación y la continuidad de la función.</w:t>
            </w:r>
          </w:p>
        </w:tc>
      </w:tr>
      <w:tr>
        <w:trPr>
          <w:cantSplit/>
        </w:trPr>
        <w:tc>
          <w:tcPr>
            <w:tcW w:type="dxa" w:w="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7</w:t>
            </w:r>
          </w:p>
        </w:tc>
        <w:tc>
          <w:tcPr>
            <w:tcW w:type="dxa" w:w="3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Adoptar la hoja de ruta hacia el Acuerdo 07-2025 (Sección 11) y confirmar que la adecuación de manuales y políticas esté formalizada.</w:t>
            </w:r>
          </w:p>
        </w:tc>
        <w:tc>
          <w:tcPr>
            <w:tcW w:type="dxa" w:w="1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Comité / Junta Directiva</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30 días</w:t>
            </w:r>
          </w:p>
        </w:tc>
        <w:tc>
          <w:tcPr>
            <w:tcW w:type="dxa" w:w="3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Evita duplicar esfuerzos y alinea la remediación con la norma vigente.</w:t>
            </w:r>
          </w:p>
        </w:tc>
      </w:tr>
    </w:tbl>
    <w:p>
      <w:pPr>
        <w:spacing w:after="120" w:before="120" w:line="276"/>
        <w:jc w:val="both"/>
      </w:pPr>
      <w:r>
        <w:rPr>
          <w:rFonts w:ascii="Arial" w:cs="Arial" w:eastAsia="Arial" w:hAnsi="Arial"/>
          <w:b w:val="false"/>
          <w:bCs w:val="false"/>
          <w:sz w:val="21"/>
          <w:szCs w:val="21"/>
        </w:rPr>
        <w:t xml:space="preserve"/>
      </w:r>
      <w:r>
        <w:rPr>
          <w:rFonts w:ascii="Arial" w:cs="Arial" w:eastAsia="Arial" w:hAnsi="Arial"/>
          <w:b/>
          <w:bCs/>
          <w:sz w:val="21"/>
          <w:szCs w:val="21"/>
        </w:rPr>
        <w:t xml:space="preserve">Dependencias:</w:t>
      </w:r>
      <w:r>
        <w:rPr>
          <w:rFonts w:ascii="Arial" w:cs="Arial" w:eastAsia="Arial" w:hAnsi="Arial"/>
          <w:b w:val="false"/>
          <w:bCs w:val="false"/>
          <w:sz w:val="21"/>
          <w:szCs w:val="21"/>
        </w:rPr>
        <w:t xml:space="preserve"> las acciones de monitoreo y de reportes dependen del avance de la herramienta de monitoreo (decisión 3) y de la capacidad del Departamento (decisión 6). Recomendamos que el Comité de Cumplimiento revise el avance del plan cada mes hasta su cierre y que el Oficial de Cumplimiento informe a la Junta en cada sesión trimestral.</w:t>
      </w:r>
    </w:p>
    <w:p>
      <w:pPr>
        <w:sectPr>
          <w:headerReference w:type="default" r:id="rId10"/>
          <w:footerReference w:type="default" r:id="rId11"/>
          <w:pgSz w:w="12240" w:h="15840" w:orient="portrait"/>
          <w:pgMar w:top="1440" w:right="1440" w:bottom="1300" w:left="1440" w:header="708" w:footer="708" w:gutter="0"/>
          <w:pgNumType/>
          <w:docGrid w:linePitch="360"/>
        </w:sectPr>
      </w:pPr>
    </w:p>
    <w:p>
      <w:pPr>
        <w:pStyle w:val="Heading1"/>
      </w:pPr>
      <w:r>
        <w:rPr>
          <w:rFonts w:ascii="Arial" w:cs="Arial" w:eastAsia="Arial" w:hAnsi="Arial"/>
        </w:rPr>
        <w:t xml:space="preserve">10. Plan de Acción Propuesto</w:t>
      </w:r>
    </w:p>
    <w:p>
      <w:pPr>
        <w:spacing w:after="120" w:before="0" w:line="276"/>
        <w:jc w:val="both"/>
      </w:pPr>
      <w:r>
        <w:rPr>
          <w:rFonts w:ascii="Arial" w:cs="Arial" w:eastAsia="Arial" w:hAnsi="Arial"/>
          <w:b w:val="false"/>
          <w:bCs w:val="false"/>
          <w:sz w:val="21"/>
          <w:szCs w:val="21"/>
        </w:rPr>
        <w:t xml:space="preserve">Este plan atiende las brechas del período y sus oportunidades de mejora. Los plazos cuentan desde que la Junta Directiva apruebe este informe y son consistentes con la acción requerida por nivel de riesgo de la matriz. Cada acción se cierra con la evidencia indicada, verificada por el Oficial de Cumplimiento y reportada al Comité. Recomendamos ejecutarlo con los criterios del Acuerdo 07-2025 descritos en la Sección 11. Componentes: GC Gobierno Corporativo; PP Políticas y Procedimientos; PAC Programa Anual; MT Monitoreo Transaccional; DD Debida Diligencia; ER Evaluación de Riesgo; RR Reportes Regulatorios; CD Conservación de Documentos.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00"/>
        <w:gridCol w:w="4660"/>
        <w:gridCol w:w="800"/>
        <w:gridCol w:w="1000"/>
        <w:gridCol w:w="2100"/>
        <w:gridCol w:w="1500"/>
        <w:gridCol w:w="2100"/>
      </w:tblGrid>
      <w:tr>
        <w:trPr>
          <w:cantSplit/>
          <w:tblHeader/>
        </w:trPr>
        <w:tc>
          <w:tcPr>
            <w:tcW w:type="dxa" w:w="8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46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Acción</w:t>
            </w:r>
          </w:p>
        </w:tc>
        <w:tc>
          <w:tcPr>
            <w:tcW w:type="dxa" w:w="8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Comp.</w:t>
            </w:r>
          </w:p>
        </w:tc>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Prioridad</w:t>
            </w:r>
          </w:p>
        </w:tc>
        <w:tc>
          <w:tcPr>
            <w:tcW w:type="dxa" w:w="21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Responsable</w:t>
            </w:r>
          </w:p>
        </w:tc>
        <w:tc>
          <w:tcPr>
            <w:tcW w:type="dxa" w:w="1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Plazo</w:t>
            </w:r>
          </w:p>
        </w:tc>
        <w:tc>
          <w:tcPr>
            <w:tcW w:type="dxa" w:w="21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Evidencia de cierre</w:t>
            </w:r>
          </w:p>
        </w:tc>
      </w:tr>
      <w:tr>
        <w:trPr>
          <w:cantSplit/>
        </w:trPr>
        <w:tc>
          <w:tcPr>
            <w:tcW w:type="dxa" w:w="800"/>
            <w:gridSpan w:val="7"/>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Horizonte 0–30 días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PA-01</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Completar el expediente de gobierno: actas del Comité de los trimestres II a IV de 2024 (o certificación del Secretario sobre las sesiones de seguimiento), acta de Junta que designa a la Oficial de Cumplimiento con su descripción de puesto y acta de Junta que aprueba la matriz de riesgo BC/FT/FPADM.</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GC / ER</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Secretaría del Comité / Oficial de Cumplimiento</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Expediente de gobierno completo</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PA-02</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Actualizar los cuadros de control de versiones de CONCOMGF-11, CONSUREG-10, DPRPASO-19, CONTUPROV-6 y DPRPAPR-18, y revisar en conjunto CONSUREG-10 y DPRPASO-19 para homologarlas.</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PP</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Oficial de Cumplimiento</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Cuadros de control actualizados; políticas homologadas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PA-03</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Conciliar los reportes de efectivo y cuasi efectivo enviados a la UAF durante el período y conservar los acuses; considerar controles para transacciones en efectivo.</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RR</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Oficial de Cumplimiento</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Conciliación y acuses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PA-04</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Analizar y documentar el caso de Fianzas 2024 y decidir sobre el ROS; enviar una circular sobre el reporte obligatorio de señales de alerta, incluidas tentativas.</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RR</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Oficial de Cumplimiento / Fianzas</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Expediente del caso; decisión firmada; circular</w:t>
            </w:r>
          </w:p>
        </w:tc>
      </w:tr>
      <w:tr>
        <w:trPr>
          <w:cantSplit/>
        </w:trPr>
        <w:tc>
          <w:tcPr>
            <w:tcW w:type="dxa" w:w="800"/>
            <w:gridSpan w:val="7"/>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Horizonte 30–90 días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PA-05</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Aprobar el plan de remediación de los 73 expedientes de clientes observados (deficiencia, acción, responsable, fecha límite y estado), reforzar los controles previos a la vinculación y a la emisión, y revisar cada trimestre una muestra de expedientes.</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DD</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Producción / Comercial / Oficial de Cumplimiento</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30 días (plan) / 90 días (ejecución)</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Plan aprobado; avance quincenal; informe trimestral de calidad</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PA-06</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Fortalecer el registro de excepciones de clientes con documentación pendiente (motivo, responsable, fecha límite, estado y subsanación) con seguimiento y escalamiento.</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DD</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Producción / Oficial de Cumplimiento</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Registro de excepciones en uso</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PA-07</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Crear y mantener un catálogo o base de datos de proveedores activos y centralizar en un área la debida diligencia de proveedores.</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DD</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Compras / Oficial de Cumplimiento</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90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Base de datos de proveedores; área responsable designada</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PA-08</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Formalizar el procedimiento de gestión y cierre de alertas, incluido el registro de falsos positivos, con formulario de datos mínimos y reporte trimestral al Comité.</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MT</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Oficial de Cumplimiento</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Procedimiento; formulario; reporte trimestral</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PA-09</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Aprobar el cronograma de puesta en producción de la herramienta de monitoreo cuyo desarrollo se inició en 2025, con hitos y responsable, y documentar los controles compensatorios mientras tanto.</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MT</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Tecnología / Gerencia General / Oficial de Cumplimiento</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30 días (plan) / 90 días (hitos)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Cronograma aprobado; avance reportado al Comité</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PA-10</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Fortalecer la política MPRMOPTR-20 en la definición, la actualización y el uso del perfil financiero y transaccional como base del monitoreo.</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PP</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Oficial de Cumplimiento</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90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Política actualizada y aprobada</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PA-11</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Elaborar el Plan de Auditoría Interna con metodología basada en riesgos y elementos formales, incluir la revisión de Cumplimiento y de las herramientas AML/CFT, y aclarar el alcance del informe anual.</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GC</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Auditoría Interna</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90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Plan aprobado</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PA-12</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Aprobar el procedimiento de operaciones inusuales y sospechosas con registro único y registro de decisiones de no reportar, y reforzar la capacitación en ROS, con talleres para las áreas comerciales.</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RR</w:t>
            </w:r>
          </w:p>
        </w:tc>
        <w:tc>
          <w:tcPr>
            <w:tcW w:type="dxa" w:w="1000"/>
            <w:tcBorders>
              <w:top w:val="single" w:color="B7C4CA" w:sz="4"/>
              <w:left w:val="single" w:color="B7C4CA" w:sz="4"/>
              <w:bottom w:val="single" w:color="B7C4CA" w:sz="4"/>
              <w:right w:val="single" w:color="B7C4CA" w:sz="4"/>
            </w:tcBorders>
            <w:shd w:fill="F0A04B"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Alta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Oficial de Cumplimiento / Recursos Humanos</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90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Procedimiento aprobado; constancias de capacitación</w:t>
            </w:r>
          </w:p>
        </w:tc>
      </w:tr>
      <w:tr>
        <w:trPr>
          <w:cantSplit/>
        </w:trPr>
        <w:tc>
          <w:tcPr>
            <w:tcW w:type="dxa" w:w="800"/>
            <w:gridSpan w:val="7"/>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Horizonte 90–180 días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PA-13</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Formalizar el gobierno del Comité: calendario anual, temario, informes periódicos a la Junta e informe anual de gestión, autoevaluación, contenido de los informes trimestrales y expediente de aprobación y ratificación de programas (OM-03 a OM-06, OM-12 y OM-13).</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GC / PAC</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Comité de Cumplimiento / Secretaría</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120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Calendario; temario; informes; autoevaluación</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PA-14</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Evaluar la capacidad del Departamento de Cumplimiento y designar un suplente del Oficial (OM-01 y OM-02).</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GC</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Gerencia General / Junta Directiva</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120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Estudio de capacidad; designación del suplente</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PA-15</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Implementar el canal de denuncias confidencial y revisar periódicamente la Política de Reclutamiento (OM-07 y OM-08).</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GC</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Recursos Humanos / Oficial de Cumplimiento</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150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Canal operativo; revisión documentada</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PA-16</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Atender las oportunidades de mejora de políticas, expedientes de colaboradores y capacitación (OM-09 a OM-11, OM-14 y OM-15).</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PP / DD / PAC</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Oficial de Cumplimiento / Recursos Humanos</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150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Políticas ajustadas; checklist; acceso a reportes de capacitación</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PA-17</w:t>
            </w:r>
          </w:p>
        </w:tc>
        <w:tc>
          <w:tcPr>
            <w:tcW w:type="dxa" w:w="4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Integrar la matriz propia de Fianzas al módulo institucional de perfil de riesgo (OM-16).</w:t>
            </w:r>
          </w:p>
        </w:tc>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DD</w:t>
            </w:r>
          </w:p>
        </w:tc>
        <w:tc>
          <w:tcPr>
            <w:tcW w:type="dxa" w:w="1000"/>
            <w:tcBorders>
              <w:top w:val="single" w:color="B7C4CA" w:sz="4"/>
              <w:left w:val="single" w:color="B7C4CA" w:sz="4"/>
              <w:bottom w:val="single" w:color="B7C4CA" w:sz="4"/>
              <w:right w:val="single" w:color="B7C4CA" w:sz="4"/>
            </w:tcBorders>
            <w:shd w:fill="FFD966"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Media</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Fianzas / Tecnología</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180 días</w:t>
            </w:r>
          </w:p>
        </w:tc>
        <w:tc>
          <w:tcPr>
            <w:tcW w:type="dxa" w:w="21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Evidencia en el módulo</w:t>
            </w:r>
          </w:p>
        </w:tc>
      </w:tr>
    </w:tbl>
    <w:p>
      <w:r>
        <w:br w:type="page"/>
      </w:r>
    </w:p>
    <w:p>
      <w:pPr>
        <w:pStyle w:val="Heading1"/>
      </w:pPr>
      <w:r>
        <w:rPr>
          <w:rFonts w:ascii="Arial" w:cs="Arial" w:eastAsia="Arial" w:hAnsi="Arial"/>
        </w:rPr>
        <w:t xml:space="preserve">11. Valor Agregado: Hoja de Ruta hacia el Acuerdo SSRP 07-2025</w:t>
      </w:r>
    </w:p>
    <w:p>
      <w:pPr>
        <w:pStyle w:val="Heading2"/>
      </w:pPr>
      <w:r>
        <w:rPr>
          <w:rFonts w:ascii="Arial" w:cs="Arial" w:eastAsia="Arial" w:hAnsi="Arial"/>
        </w:rPr>
        <w:t xml:space="preserve">11.1 Contexto y propósito</w:t>
      </w:r>
    </w:p>
    <w:p>
      <w:pPr>
        <w:spacing w:after="120" w:before="0" w:line="276"/>
        <w:jc w:val="both"/>
      </w:pPr>
      <w:r>
        <w:rPr>
          <w:rFonts w:ascii="Arial" w:cs="Arial" w:eastAsia="Arial" w:hAnsi="Arial"/>
          <w:b w:val="false"/>
          <w:bCs w:val="false"/>
          <w:sz w:val="21"/>
          <w:szCs w:val="21"/>
        </w:rPr>
        <w:t xml:space="preserve">El Acuerdo SSRP 07-2025 se publicó en Gaceta Oficial el 10 de diciembre de 2025 y rige desde esa fecha (Art. 48). Otorgó 60 días calendario para adecuar manuales, políticas y controles (Art. 46), derogó parcialmente el Acuerdo 03-2022 en lo relativo al Grupo A y derogó el Acuerdo 02-2015 sobre señales de alerta (Art. 47). Como se publicó después del período evaluado, no formó parte de nuestro alcance ni de las calificaciones de la Parte I.</w:t>
      </w:r>
    </w:p>
    <w:p>
      <w:pPr>
        <w:spacing w:after="120" w:before="0" w:line="276"/>
        <w:jc w:val="both"/>
      </w:pPr>
      <w:r>
        <w:rPr>
          <w:rFonts w:ascii="Arial" w:cs="Arial" w:eastAsia="Arial" w:hAnsi="Arial"/>
          <w:b w:val="false"/>
          <w:bCs w:val="false"/>
          <w:sz w:val="21"/>
          <w:szCs w:val="21"/>
        </w:rPr>
        <w:t xml:space="preserve">Con base en lo que observamos, preparamos este catálogo para que Ancón tenga una visión clara de qué cambia, dónde está hoy y qué conviene hacer. Cada mejora se relaciona con las brechas y con el componente correspondiente, de modo que el Plan de Acción y esta hoja de ruta se ejecuten como un solo esfuerzo. En la matriz de riesgo, estas mejoras se registran como oportunidades de mejora. Recomendamos que Ancón confirme, como primer paso, el estado de adecuación de su Manual y sus políticas a este Acuerdo.</w:t>
      </w:r>
    </w:p>
    <w:p>
      <w:pPr>
        <w:pStyle w:val="Heading2"/>
      </w:pPr>
      <w:r>
        <w:rPr>
          <w:rFonts w:ascii="Arial" w:cs="Arial" w:eastAsia="Arial" w:hAnsi="Arial"/>
        </w:rPr>
        <w:t xml:space="preserve">11.2 Hoja de ruta por fases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gridCol w:w="3600"/>
      </w:tblGrid>
      <w:tr>
        <w:trPr>
          <w:cantSplit/>
          <w:tblHeader/>
        </w:trPr>
        <w:tc>
          <w:tcPr>
            <w:tcW w:type="dxa" w:w="28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Fase</w:t>
            </w:r>
          </w:p>
        </w:tc>
        <w:tc>
          <w:tcPr>
            <w:tcW w:type="dxa" w:w="1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Horizonte</w:t>
            </w:r>
          </w:p>
        </w:tc>
        <w:tc>
          <w:tcPr>
            <w:tcW w:type="dxa" w:w="51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Propósito</w:t>
            </w:r>
          </w:p>
        </w:tc>
        <w:tc>
          <w:tcPr>
            <w:tcW w:type="dxa" w:w="36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Mejoras incluidas</w:t>
            </w:r>
          </w:p>
        </w:tc>
      </w:tr>
      <w:tr>
        <w:trPr>
          <w:cantSplit/>
        </w:trPr>
        <w:tc>
          <w:tcPr>
            <w:tcW w:type="dxa" w:w="2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Fase 1 – Asegurar lo esencial</w:t>
            </w:r>
          </w:p>
        </w:tc>
        <w:tc>
          <w:tcPr>
            <w:tcW w:type="dxa" w:w="1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0–30 días</w:t>
            </w:r>
          </w:p>
        </w:tc>
        <w:tc>
          <w:tcPr>
            <w:tcW w:type="dxa" w:w="5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Confirmar la adecuación normativa y resolver los temas que el nuevo régimen tipifica de forma expresa.</w:t>
            </w:r>
          </w:p>
        </w:tc>
        <w:tc>
          <w:tcPr>
            <w:tcW w:type="dxa" w:w="3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RM-01, RM-02, RM-03, RM-08, RM-11, RM-15, RM-16</w:t>
            </w:r>
          </w:p>
        </w:tc>
      </w:tr>
      <w:tr>
        <w:trPr>
          <w:cantSplit/>
        </w:trPr>
        <w:tc>
          <w:tcPr>
            <w:tcW w:type="dxa" w:w="2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Fase 2 – Alinear el modelo</w:t>
            </w:r>
          </w:p>
        </w:tc>
        <w:tc>
          <w:tcPr>
            <w:tcW w:type="dxa" w:w="1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30–120 días</w:t>
            </w:r>
          </w:p>
        </w:tc>
        <w:tc>
          <w:tcPr>
            <w:tcW w:type="dxa" w:w="5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Llevar la metodología de riesgo, la debida diligencia y el programa anual al estándar del Acuerdo 07-2025.</w:t>
            </w:r>
          </w:p>
        </w:tc>
        <w:tc>
          <w:tcPr>
            <w:tcW w:type="dxa" w:w="3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RM-04, RM-05, RM-06, RM-07, RM-09, RM-10, RM-12, RM-13, RM-17, RM-18, RM-19, RM-20, RM-24</w:t>
            </w:r>
          </w:p>
        </w:tc>
      </w:tr>
      <w:tr>
        <w:trPr>
          <w:cantSplit/>
        </w:trPr>
        <w:tc>
          <w:tcPr>
            <w:tcW w:type="dxa" w:w="2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Fase 3 – Optimizar y sostener</w:t>
            </w:r>
          </w:p>
        </w:tc>
        <w:tc>
          <w:tcPr>
            <w:tcW w:type="dxa" w:w="1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90–180 días</w:t>
            </w:r>
          </w:p>
        </w:tc>
        <w:tc>
          <w:tcPr>
            <w:tcW w:type="dxa" w:w="51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Consolidar buenas prácticas que dan permanencia al sistema.</w:t>
            </w:r>
          </w:p>
        </w:tc>
        <w:tc>
          <w:tcPr>
            <w:tcW w:type="dxa" w:w="3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RM-14, RM-21, RM-22, RM-23</w:t>
            </w:r>
          </w:p>
        </w:tc>
      </w:tr>
    </w:tbl>
    <w:p>
      <w:pPr>
        <w:pStyle w:val="Heading2"/>
        <w:pageBreakBefore/>
      </w:pPr>
      <w:r>
        <w:rPr>
          <w:rFonts w:ascii="Arial" w:cs="Arial" w:eastAsia="Arial" w:hAnsi="Arial"/>
        </w:rPr>
        <w:t xml:space="preserve">11.3 Catálogo de mejoras y optimizaciones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2500"/>
        <w:gridCol w:w="2300"/>
        <w:gridCol w:w="3660"/>
        <w:gridCol w:w="900"/>
        <w:gridCol w:w="1000"/>
      </w:tblGrid>
      <w:tr>
        <w:trPr>
          <w:cantSplit/>
          <w:tblHeader/>
        </w:trPr>
        <w:tc>
          <w:tcPr>
            <w:tcW w:type="dxa" w:w="7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19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Tema (artículo)</w:t>
            </w:r>
          </w:p>
        </w:tc>
        <w:tc>
          <w:tcPr>
            <w:tcW w:type="dxa" w:w="2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Qué cambia</w:t>
            </w:r>
          </w:p>
        </w:tc>
        <w:tc>
          <w:tcPr>
            <w:tcW w:type="dxa" w:w="23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Situación observada en Ancón</w:t>
            </w:r>
          </w:p>
        </w:tc>
        <w:tc>
          <w:tcPr>
            <w:tcW w:type="dxa" w:w="36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Mejora recomendada por GSM</w:t>
            </w:r>
          </w:p>
        </w:tc>
        <w:tc>
          <w:tcPr>
            <w:tcW w:type="dxa" w:w="9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Fase</w:t>
            </w:r>
          </w:p>
        </w:tc>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Comp.</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RM-01</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Adecuación del Manual y las políticas (Arts. 10, 11, 46 y 47)</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El Acuerdo rige desde el 10-12-2025 y dio 60 días para adecuar manuales y controles; deroga parcialmente el Acuerdo 03-2022 para el Grupo A.</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Los documentos revisados del período citan el Acuerdo 03-2022, como correspondía. Las entrevistas mencionan un Manual v4.0.</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Confirmar que la versión vigente del Manual y de cada política ya incorpora el Acuerdo 07-2025, con aprobación del Comité y ratificación de la Junta. Si quedara algún documento pendiente, cerrarlo en una sesión extraordinaria apoyada en una matriz de brechas.</w:t>
            </w:r>
          </w:p>
        </w:tc>
        <w:tc>
          <w:tcPr>
            <w:tcW w:type="dxa" w:w="900"/>
            <w:tcBorders>
              <w:top w:val="single" w:color="B7C4CA" w:sz="4"/>
              <w:left w:val="single" w:color="B7C4CA" w:sz="4"/>
              <w:bottom w:val="single" w:color="B7C4CA" w:sz="4"/>
              <w:right w:val="single" w:color="B7C4CA" w:sz="4"/>
            </w:tcBorders>
            <w:shd w:fill="FBE0C3"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1</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GC / PP</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RM-02</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Nombramiento del Oficial de Cumplimiento (Arts. 4 y 6)</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Notificación a la SSRP 15 días calendario antes del nombramiento para su aprobación; el candidato debe dejar cualquier función incompatible.</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La designación consta en la Resolución OAL-362; el acta de Junta que la respalda está pendiente (GC-03).</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Formalizar el expediente de designación bajo este estándar y, si cambia el titular, preparar el expediente del perfil para la SSRP.</w:t>
            </w:r>
          </w:p>
        </w:tc>
        <w:tc>
          <w:tcPr>
            <w:tcW w:type="dxa" w:w="900"/>
            <w:tcBorders>
              <w:top w:val="single" w:color="B7C4CA" w:sz="4"/>
              <w:left w:val="single" w:color="B7C4CA" w:sz="4"/>
              <w:bottom w:val="single" w:color="B7C4CA" w:sz="4"/>
              <w:right w:val="single" w:color="B7C4CA" w:sz="4"/>
            </w:tcBorders>
            <w:shd w:fill="FBE0C3"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1</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GC</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RM-03</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Informes trimestrales a Comité y Junta (Art. 7, lit. h)</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La periodicidad pasa a ser trimestral fija.</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Cinco informes de seguimiento al Comité en 2024-2025; se recomienda formalizar informes periódicos a la Junta (OM-05, OM-12).</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Calendarizar cuatro informes al año con un contenido estándar: avance del programa, alertas y ROS, riesgos, capacitación y observaciones.</w:t>
            </w:r>
          </w:p>
        </w:tc>
        <w:tc>
          <w:tcPr>
            <w:tcW w:type="dxa" w:w="900"/>
            <w:tcBorders>
              <w:top w:val="single" w:color="B7C4CA" w:sz="4"/>
              <w:left w:val="single" w:color="B7C4CA" w:sz="4"/>
              <w:bottom w:val="single" w:color="B7C4CA" w:sz="4"/>
              <w:right w:val="single" w:color="B7C4CA" w:sz="4"/>
            </w:tcBorders>
            <w:shd w:fill="FBE0C3"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1</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GC</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RM-04</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Programa de Cumplimiento (Art. 9)</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Contenido mínimo definido (literales a a i), alcance de grupo y remisión a la SSRP en los primeros 30 días del año.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Programas 2024 y 2025 aprobados y remitidos a la SSRP; mejora en el expediente de aprobación (OM-13).</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Estructurar el Programa 2027 con los nueve contenidos mínimos y un tablero de indicadores, y aprobarlo antes del 30 de enero de 2027.</w:t>
            </w:r>
          </w:p>
        </w:tc>
        <w:tc>
          <w:tcPr>
            <w:tcW w:type="dxa" w:w="9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PAC</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RM-05</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Políticas mínimas (Art. 11)</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Cinco políticas mínimas, incluida una de debida diligencia sobre relaciones de reaseguro.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Ancón ya cuenta con un conjunto más amplio de políticas (fortaleza).</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Mantener las políticas actuales como buena práctica y verificar que la de reaseguro cumpla el lit. b; aprobarlas en Comité y ratificarlas en Junta.</w:t>
            </w:r>
          </w:p>
        </w:tc>
        <w:tc>
          <w:tcPr>
            <w:tcW w:type="dxa" w:w="9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PP</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RM-06</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Evaluación de riesgo y apetito (Arts. 8 y 12)</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Las medidas de control deben responder al apetito de riesgo; la evaluación se hace con la periodicidad que fije el Manual y debe estar disponible para la SSRP.</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Matrices por factor y evaluaciones por proceso revisadas; pendiente el acta de Junta que aprueba la matriz (ER-01).</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Consolidar la matriz institucional bajo este estándar y acompañarla de una declaración de apetito de riesgo aprobada por la Junta, con límites e indicadores.</w:t>
            </w:r>
          </w:p>
        </w:tc>
        <w:tc>
          <w:tcPr>
            <w:tcW w:type="dxa" w:w="9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ER</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RM-07</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Variables de riesgo del cliente (Art. 23)</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Incorpora la residencia fiscal y exige escala alto, medio y bajo descrita en la metodología.</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La metodología de clasificación del riesgo del cliente se revisó sin hallazgos para el período.</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Verificar que las once variables del Art. 23 estén en el Módulo de Perfil de Riesgo y documentadas en la metodología.</w:t>
            </w:r>
          </w:p>
        </w:tc>
        <w:tc>
          <w:tcPr>
            <w:tcW w:type="dxa" w:w="9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ER</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RM-08</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Debida diligencia simplificada (Art. 15)</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No se permite en vida individual con ahorro, fianzas ni productos con devolución de prima.</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Fianzas utiliza una matriz propia (OM-16).</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Parametrizar en el sistema que estos productos no puedan recibir debida diligencia simplificada y llevar Fianzas al módulo institucional.</w:t>
            </w:r>
          </w:p>
        </w:tc>
        <w:tc>
          <w:tcPr>
            <w:tcW w:type="dxa" w:w="900"/>
            <w:tcBorders>
              <w:top w:val="single" w:color="B7C4CA" w:sz="4"/>
              <w:left w:val="single" w:color="B7C4CA" w:sz="4"/>
              <w:bottom w:val="single" w:color="B7C4CA" w:sz="4"/>
              <w:right w:val="single" w:color="B7C4CA" w:sz="4"/>
            </w:tcBorders>
            <w:shd w:fill="FBE0C3"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1</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DD</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RM-09</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Personas jurídicas y beneficiario final (Arts. 16 y 18)</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Lista de datos mínimos (incluidos estados financieros o declaración de renta), beneficiario final desde 10 % y abstención si persiste la duda.</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Documentación societaria incompleta o vencida en la muestra de expedientes (DD-01).</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Actualizar el CTC de persona jurídica con los campos del Art. 16 y un control de vigencia de certificados.</w:t>
            </w:r>
          </w:p>
        </w:tc>
        <w:tc>
          <w:tcPr>
            <w:tcW w:type="dxa" w:w="9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DD</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RM-10</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Debida diligencia ampliada (Art. 17)</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Supuestos obligatorios: efectivo de B/.10,000 o más sin justificación, vida con ahorro, PEP, jurisdicciones de riesgo y bienes de doble uso.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Consultas en listas sin evidencia en algunos expedientes (DD-01).</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Configurar disparadores automáticos de debida diligencia ampliada para cada supuesto del Art. 17.</w:t>
            </w:r>
          </w:p>
        </w:tc>
        <w:tc>
          <w:tcPr>
            <w:tcW w:type="dxa" w:w="9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DD</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RM-11</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Personas expuestas políticamente (Arts. 19 y 20)</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La aprobación de la relación corresponde al Gerente General; se prohíbe el trato discriminatorio.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Ancón identifica PEP en la vinculación y cuenta con un catálogo de clientes PEP; hay tratamiento diferenciado para colaboradores PEP.</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Ajustar el flujo de aprobación de PEP para que lo firme el Gerente General y automatizar su detección al poner en producción la herramienta de monitoreo (MT-01).</w:t>
            </w:r>
          </w:p>
        </w:tc>
        <w:tc>
          <w:tcPr>
            <w:tcW w:type="dxa" w:w="900"/>
            <w:tcBorders>
              <w:top w:val="single" w:color="B7C4CA" w:sz="4"/>
              <w:left w:val="single" w:color="B7C4CA" w:sz="4"/>
              <w:bottom w:val="single" w:color="B7C4CA" w:sz="4"/>
              <w:right w:val="single" w:color="B7C4CA" w:sz="4"/>
            </w:tcBorders>
            <w:shd w:fill="FBE0C3"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1</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DD</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RM-12</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Perfil financiero del contratante y pagador (Art. 21)</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Debe considerar patrimonio e ingresos fijos y variables del contratante o de quien paga la prima.</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Perfil financiero incompleto en algunos expedientes (DD-01) y política MPRMOPTR-20 por fortalecer (PP-02).</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Hacer obligatorios estos campos en el CTC y validarlos antes de emitir.</w:t>
            </w:r>
          </w:p>
        </w:tc>
        <w:tc>
          <w:tcPr>
            <w:tcW w:type="dxa" w:w="9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DD</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RM-13</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Jurisdicciones de riesgo (Art. 22)</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Se consideran sanciones de la UE, Reino Unido, ONU y EE. UU., y las jurisdicciones señaladas por el GAFI.</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Barridos de listas evidenciados y herramienta de revisión en listas revisada sin hallazgos.</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Mantener una lista de países de riesgo actualizada trimestralmente e integrada al perfil del cliente.</w:t>
            </w:r>
          </w:p>
        </w:tc>
        <w:tc>
          <w:tcPr>
            <w:tcW w:type="dxa" w:w="9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DD</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RM-14</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Nuevos productos y tecnologías (Art. 7, lit. c)</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Evaluación de riesgo previa al lanzamiento.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Evaluaciones de riesgo por proceso (Emisión y Reclamos) revisadas sin hallazgos.</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Incorporar un formulario de evaluación de riesgo obligatorio en el proceso de aprobación de productos y canales.</w:t>
            </w:r>
          </w:p>
        </w:tc>
        <w:tc>
          <w:tcPr>
            <w:tcW w:type="dxa" w:w="9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3</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ER</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RM-15</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Reportes de efectivo (Art. 24)</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Plazo de 10 días hábiles (antes 5); régimen semestral para operaciones ocasionales y declaración jurada si no hay operaciones.</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Reportes del período pendientes de entrega (RR-03); restricción del efectivo desde enero de 2026 (hecho posterior).</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Ajustar el procedimiento al nuevo plazo y evaluar si la restricción del efectivo justifica pasar al régimen semestral o a la declaración jurada, comunicándolo a la UAF.</w:t>
            </w:r>
          </w:p>
        </w:tc>
        <w:tc>
          <w:tcPr>
            <w:tcW w:type="dxa" w:w="900"/>
            <w:tcBorders>
              <w:top w:val="single" w:color="B7C4CA" w:sz="4"/>
              <w:left w:val="single" w:color="B7C4CA" w:sz="4"/>
              <w:bottom w:val="single" w:color="B7C4CA" w:sz="4"/>
              <w:right w:val="single" w:color="B7C4CA" w:sz="4"/>
            </w:tcBorders>
            <w:shd w:fill="FBE0C3"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1</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RR</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RM-16</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Operaciones inusuales y sospechosas (Arts. 25 y 26)</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Constancia de cada operación inusual con su responsable y decisión; notificación inmediata del ROS.</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Sin ROS en el período y sin registro de inusuales (RR-01); caso Fianzas 2024 (RR-02).</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Diseñar el registro único y el procedimiento de ROS directamente con este estándar.</w:t>
            </w:r>
          </w:p>
        </w:tc>
        <w:tc>
          <w:tcPr>
            <w:tcW w:type="dxa" w:w="900"/>
            <w:tcBorders>
              <w:top w:val="single" w:color="B7C4CA" w:sz="4"/>
              <w:left w:val="single" w:color="B7C4CA" w:sz="4"/>
              <w:bottom w:val="single" w:color="B7C4CA" w:sz="4"/>
              <w:right w:val="single" w:color="B7C4CA" w:sz="4"/>
            </w:tcBorders>
            <w:shd w:fill="FBE0C3"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1</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RR / MT</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RM-17</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Reportes a la SSRP (Art. 7, lit. l)</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Todo reporte o cuestionario a la SSRP requiere aprobación previa del Comité.</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Remisiones a la SSRP documentadas (programas e Informes de Gestión).</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Incluir esta aprobación en el calendario regulatorio y en el temario del Comité.</w:t>
            </w:r>
          </w:p>
        </w:tc>
        <w:tc>
          <w:tcPr>
            <w:tcW w:type="dxa" w:w="9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RR</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RM-18</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Auditoría interna (Art. 8)</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Procedimientos continuos de Auditoría Interna sobre la efectividad del sistema de prevención.</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Planes 2024 y 2025 sin metodología de riesgos; el de 2025 sin revisión de Cumplimiento (GC-02).</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Incluir en el plan anual una revisión de Cumplimiento y de las herramientas AML/CFT.</w:t>
            </w:r>
          </w:p>
        </w:tc>
        <w:tc>
          <w:tcPr>
            <w:tcW w:type="dxa" w:w="9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GC</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RM-19</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Régimen sancionatorio (Arts. 37 a 43)</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Tipifica expresamente, entre otras, la falta de exclusividad del Oficial (gravedad media) y la emisión de una póliza a quien no facilite la debida diligencia ampliada (gravedad máxima).</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Las brechas del período son de nivel medio y bajo.</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Presentar a la Junta un mapa de tipificaciones del nuevo régimen y usarlo para priorizar el plan de acción.</w:t>
            </w:r>
          </w:p>
        </w:tc>
        <w:tc>
          <w:tcPr>
            <w:tcW w:type="dxa" w:w="9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Transversal</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RM-20</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Capacitación y divulgación (Arts. 7, lits. b e i; 41, lit. d)</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Programa anual para colaboradores, Oficial de Cumplimiento y Gerente General; divulgación de la normativa a todo el personal.</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Capacitaciones ejecutadas y documentadas; constancias y contenidos por reforzar (OM-09, OM-14).</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Incluir un módulo sobre el Acuerdo 07-2025 para Junta, Gerencia y áreas sensibles, con constancia individual.</w:t>
            </w:r>
          </w:p>
        </w:tc>
        <w:tc>
          <w:tcPr>
            <w:tcW w:type="dxa" w:w="9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PAC</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RM-21</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Evaluación independiente (Ley 23, Art. 45)</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El Acuerdo 07-2025 no la regula expresamente para el Grupo A; sigue rigiendo la Ley 23.</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Esta evaluación cubre el período 2024-2025.</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Mantener la evaluación independiente al menos cada dos años como buena práctica y programar la próxima con alcance sobre el Acuerdo 07-2025.</w:t>
            </w:r>
          </w:p>
        </w:tc>
        <w:tc>
          <w:tcPr>
            <w:tcW w:type="dxa" w:w="9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3</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Transversal</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RM-22</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Señales de alerta (Art. 47)</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Se deroga el Acuerdo 02-2015, que contenía el catálogo oficial de señales de alerta.</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Ancón tiene catálogo propio 2025 y en la evaluación se utilizó el catálogo de tipologías de la UAF.</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Adoptar formalmente, por acuerdo del Comité, el catálogo de tipologías de la UAF como referencia y mantener actualizado cada año el catálogo propio por línea de negocio.</w:t>
            </w:r>
          </w:p>
        </w:tc>
        <w:tc>
          <w:tcPr>
            <w:tcW w:type="dxa" w:w="9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3</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MT / PP</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RM-23</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Conservación y respaldo (Arts. 24 y 42, lit. a)</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Conservación de formularios y soportes por al menos cinco años y copia de seguridad del registro de efectivo.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Política de conservación aprobada y revisada sin hallazgos.</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Confirmar que la política incluya el respaldo del registro de efectivo y probar la recuperación una vez al año.</w:t>
            </w:r>
          </w:p>
        </w:tc>
        <w:tc>
          <w:tcPr>
            <w:tcW w:type="dxa" w:w="9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3</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CD</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RM-24</w:t>
            </w:r>
          </w:p>
        </w:tc>
        <w:tc>
          <w:tcPr>
            <w:tcW w:type="dxa" w:w="19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Planes de actualización de expedientes (Art. 7, lits. f y g)</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Planes de actualización de clientes con operaciones inconsistentes y de colaboradores, con informe a Comité y Junta.</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Política de actualización de colaboradores revisada; mejora en su periodicidad por riesgo (OM-11).</w:t>
            </w:r>
          </w:p>
        </w:tc>
        <w:tc>
          <w:tcPr>
            <w:tcW w:type="dxa" w:w="36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Formalizar ambos planes con metas trimestrales y reportarlos en el informe trimestral.</w:t>
            </w:r>
          </w:p>
        </w:tc>
        <w:tc>
          <w:tcPr>
            <w:tcW w:type="dxa" w:w="900"/>
            <w:tcBorders>
              <w:top w:val="single" w:color="B7C4CA" w:sz="4"/>
              <w:left w:val="single" w:color="B7C4CA" w:sz="4"/>
              <w:bottom w:val="single" w:color="B7C4CA" w:sz="4"/>
              <w:right w:val="single" w:color="B7C4CA" w:sz="4"/>
            </w:tcBorders>
            <w:shd w:fill="FDF1E4" w:color="auto" w:val="clear"/>
            <w:tcMar>
              <w:top w:type="dxa" w:w="70"/>
              <w:left w:type="dxa" w:w="100"/>
              <w:bottom w:type="dxa" w:w="70"/>
              <w:right w:type="dxa" w:w="100"/>
            </w:tcMar>
            <w:vAlign w:val="top"/>
          </w:tcPr>
          <w:p>
            <w:pPr>
              <w:spacing w:after="40" w:line="252"/>
              <w:jc w:val="center"/>
            </w:pPr>
            <w:r>
              <w:rPr>
                <w:rFonts w:ascii="Arial" w:cs="Arial" w:eastAsia="Arial" w:hAnsi="Arial"/>
                <w:b w:val="false"/>
                <w:bCs w:val="false"/>
                <w:sz w:val="15"/>
                <w:szCs w:val="15"/>
              </w:rPr>
              <w:t xml:space="preserve">Fase 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PAC / DD</w:t>
            </w:r>
          </w:p>
        </w:tc>
      </w:tr>
    </w:tbl>
    <w:p>
      <w:pPr>
        <w:pStyle w:val="Heading2"/>
      </w:pPr>
      <w:r>
        <w:rPr>
          <w:rFonts w:ascii="Arial" w:cs="Arial" w:eastAsia="Arial" w:hAnsi="Arial"/>
        </w:rPr>
        <w:t xml:space="preserve">11.4 Oportunidades de mejora y recomendaciones del período</w:t>
      </w:r>
    </w:p>
    <w:p>
      <w:pPr>
        <w:spacing w:after="120" w:before="0" w:line="276"/>
        <w:jc w:val="both"/>
      </w:pPr>
      <w:r>
        <w:rPr>
          <w:rFonts w:ascii="Arial" w:cs="Arial" w:eastAsia="Arial" w:hAnsi="Arial"/>
          <w:b w:val="false"/>
          <w:bCs w:val="false"/>
          <w:sz w:val="21"/>
          <w:szCs w:val="21"/>
        </w:rPr>
        <w:t xml:space="preserve">Las siguientes oportunidades de mejora y recomendaciones provienen de los elementos revisados que no presentan hallazgos de riesgo. No constituyen incumplimientos del período; son mejoras preventivas que fortalecen el ambiente de control y se registran en la matriz de riesgo como oportunidades de mejora.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1700"/>
        <w:gridCol w:w="2300"/>
        <w:gridCol w:w="4260"/>
        <w:gridCol w:w="2700"/>
      </w:tblGrid>
      <w:tr>
        <w:trPr>
          <w:cantSplit/>
          <w:tblHeader/>
        </w:trPr>
        <w:tc>
          <w:tcPr>
            <w:tcW w:type="dxa" w:w="7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ID</w:t>
            </w:r>
          </w:p>
        </w:tc>
        <w:tc>
          <w:tcPr>
            <w:tcW w:type="dxa" w:w="13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Tipo</w:t>
            </w:r>
          </w:p>
        </w:tc>
        <w:tc>
          <w:tcPr>
            <w:tcW w:type="dxa" w:w="17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Componente</w:t>
            </w:r>
          </w:p>
        </w:tc>
        <w:tc>
          <w:tcPr>
            <w:tcW w:type="dxa" w:w="23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Oportunidad o recomendación</w:t>
            </w:r>
          </w:p>
        </w:tc>
        <w:tc>
          <w:tcPr>
            <w:tcW w:type="dxa" w:w="42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Descripción</w:t>
            </w:r>
          </w:p>
        </w:tc>
        <w:tc>
          <w:tcPr>
            <w:tcW w:type="dxa" w:w="27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Acción sugerida</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OM-01</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Recomendación</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Gobierno Corporativo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Evaluación de capacidad del Departamento de Cumplimiento</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Evaluar si los recursos humanos y tecnológicos del Departamento, y la dedicación del Oficial, son suficientes para ejecutar todas sus funciones frente al volumen de clientes, alertas y debidas diligencias.</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Realizar un estudio de capacidad con aprobación de la Junta y llevar su revisión anual al Comité. (PA-14)</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OM-02</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Recomendación</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Gobierno Corporativo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Suplente del Oficial de Cumplimiento</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Evaluar la designación formal de un suplente del Oficial entre los miembros del Departamento, para asegurar la continuidad de la función.</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Designar el suplente y documentar el plan de continuidad. (PA-14)</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OM-03</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Oportunidad de mejora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Gobierno Corporativo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Calendario anual de reuniones del Comité</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Si bien las reuniones se realizan con la periodicidad indicada en el Acuerdo 03-2022, mantener un calendario anual es importante para dar cumplimiento a esa periodicidad.</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Aprobar un calendario anual de sesiones del Comité. (PA-13)</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OM-04</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Oportunidad de mejora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Gobierno Corporativo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Temario básico del Comité</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Sería ventajoso contar con una agenda o temario de los puntos a tratar en las sesiones, que además sirva de base para los informes presentados.</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Aprobar un temario mínimo recurrente (Manual, programa anual, matriz de riesgo, alertas y ROS, capacitación y observaciones de la SSRP y de auditoría). (PA-13)</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OM-05</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Oportunidad de mejora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Gobierno Corporativo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Informes periódicos del Comité a la Junta e informe anual de gestión</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El Acuerdo 03-2022 (Art. 10, num. 14) contempla los informes periódicos a la Junta Directiva; conviene formalizarlos, junto con un informe anual de gestión del Comité.</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Establecer un informe trimestral del Comité a la Junta y un informe anual con contenido mínimo. (PA-13)</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OM-06</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Oportunidad de mejora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Gobierno Corporativo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Autoevaluación del Comité</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El Comité debe autoevaluar su gestión; recomendamos fundamentarla en el Acuerdo 03-2022 y en el Acuerdo de Gobierno Corporativo, con soporte por respuesta.</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Rediseñar la autoevaluación y presentarla a la Junta con un plan de acción. (PA-13)</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OM-07</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Oportunidad de mejora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Gobierno Corporativo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Canal de denuncias confidencial</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Establecer un canal de denuncias confidencial para la organización, con opción de anonimato y protección frente a represalias.</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Implementar el canal y vincularlo al reporte de operaciones inusuales. (PA-15)</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OM-08</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Recomendación</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Gobierno Corporativo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Política de Reclutamiento</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Que el Oficial de Cumplimiento revise la política periódicamente, o como parte de una revisión de cumplimiento a Recursos Humanos, para garantizar su congruencia con la política Conoce a tu Colaborador.</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Incluir la revisión en el programa anual de Cumplimiento. (PA-15)</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OM-09</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Recomendación</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Políticas y Procedimientos</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Control de constancias de capacitación en la política</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Reflejar en la política una forma más apegada a la realidad para que el Oficial lleve el control del porcentaje de colaboradores capacitados y de sus constancias, sin depender de Recursos Humanos.</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Ajustar CAPAC-8 y CAPPCCASC-13. (PA-16)</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OM-10</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Oportunidad de mejora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Políticas y Procedimientos</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Checklist de documentación mínima del colaborador</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Contar con un checklist para la documentación mínima de debida diligencia del colaborador (política Conozca a su Empleado).</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Incorporar el checklist a CONASEM-5. (PA-16)</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OM-11</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Oportunidad de mejora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Políticas y Procedimientos</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Periodicidad de actualización de colaboradores</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Establecer un período anual para las actualizaciones de expedientes, verificar que se cumpla, y evaluar actualizaciones por nivel de riesgo.</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Ajustar DPRPACO-17 y calendarizar las actualizaciones. (PA-16)</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OM-12</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Oportunidad de mejora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Programa Anual de Cumplimiento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Contenido de los informes trimestrales y de las actas</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Incorporar información integral sobre las actividades de monitoreo (alertas generadas, analizadas y atendidas; PEP identificadas y aprobadas) e incluir en el cronograma anual la elaboración y presentación de los informes trimestrales, con su periodicidad y fechas.</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Ajustar la plantilla de informes y el cronograma del programa. (PA-13)</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OM-13</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Oportunidad de mejora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Programa Anual de Cumplimiento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Aprobación y ratificación de programas e Informe de Gestión</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La aprobación del Plan Anual, del Cronograma y del Informe de Gestión se validó con la certificación del Secretario de la Junta; se recomienda mantener a disposición las actas de Junta y que la aprobación se dé primero en el Comité y luego se ratifique en la Junta.</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Mantener el expediente de cada programa con acta del Comité, acta de la Junta y acuse de remisión. (PA-13)</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OM-14</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Oportunidad de mejora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Programa Anual de Cumplimiento</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Constancias y contenido de capacitación</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Encontrar la manera de acceder a la información de participación de los colaboradores en los cursos de la Academia Multinacional; actualizar periódicamente sus contenidos (algunos no se han actualizado desde 2023); reforzar las capacitaciones especializadas para abarcar todas las áreas críticas; y evaluar talleres sobre reportes de operaciones sospechosas.</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Coordinar con Recursos Humanos el acceso a los reportes de la plataforma y calendarizar los talleres. (PA-16)</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OM-15</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Oportunidad de mejora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Debida Diligencia</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Orden de los expedientes de colaboradores y evaluación de desempeño</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Ordenar los expedientes de colaboradores con un checklist y documentar las evaluaciones de desempeño bajo una metodología medible.</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Aplicar el checklist y definir la metodología de evaluación. (PA-16)</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OM-16</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Oportunidad de mejora</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Debida Diligencia</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Matriz propia de Fianzas</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Incorporar la matriz que utiliza Fianzas en el módulo institucional de perfil de riesgo, o como requisito adicional para el producto de fianzas.</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Integrar el perfilamiento de Fianzas al módulo institucional. (PA-17)</w:t>
            </w:r>
          </w:p>
        </w:tc>
      </w:tr>
      <w:tr>
        <w:trPr>
          <w:cantSplit/>
        </w:trPr>
        <w:tc>
          <w:tcPr>
            <w:tcW w:type="dxa" w:w="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OM-17</w:t>
            </w:r>
          </w:p>
        </w:tc>
        <w:tc>
          <w:tcPr>
            <w:tcW w:type="dxa" w:w="1300"/>
            <w:tcBorders>
              <w:top w:val="single" w:color="B7C4CA" w:sz="4"/>
              <w:left w:val="single" w:color="B7C4CA" w:sz="4"/>
              <w:bottom w:val="single" w:color="B7C4CA" w:sz="4"/>
              <w:right w:val="single" w:color="B7C4CA" w:sz="4"/>
            </w:tcBorders>
            <w:shd w:fill="BDD7EE"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Recomendación</w:t>
            </w:r>
          </w:p>
        </w:tc>
        <w:tc>
          <w:tcPr>
            <w:tcW w:type="dxa" w:w="1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Debida Diligencia</w:t>
            </w:r>
          </w:p>
        </w:tc>
        <w:tc>
          <w:tcPr>
            <w:tcW w:type="dxa" w:w="2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5"/>
                <w:szCs w:val="15"/>
              </w:rPr>
              <w:t xml:space="preserve">Gestión centralizada de proveedores</w:t>
            </w:r>
          </w:p>
        </w:tc>
        <w:tc>
          <w:tcPr>
            <w:tcW w:type="dxa" w:w="4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Centralizar la gestión de proveedores en una sola área responsable de la debida diligencia aplicable, y evidenciar la actualización periódica de la debida diligencia de los proveedores en sus expedientes.</w:t>
            </w:r>
          </w:p>
        </w:tc>
        <w:tc>
          <w:tcPr>
            <w:tcW w:type="dxa" w:w="27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5"/>
                <w:szCs w:val="15"/>
              </w:rPr>
              <w:t xml:space="preserve">Designar el área responsable y mantener la base de datos de proveedores activos. (PA-07)</w:t>
            </w:r>
          </w:p>
        </w:tc>
      </w:tr>
    </w:tbl>
    <w:p>
      <w:pPr>
        <w:spacing w:after="120" w:before="120" w:line="276"/>
        <w:jc w:val="both"/>
      </w:pPr>
      <w:r>
        <w:rPr>
          <w:rFonts w:ascii="Arial" w:cs="Arial" w:eastAsia="Arial" w:hAnsi="Arial"/>
          <w:b w:val="false"/>
          <w:bCs w:val="false"/>
          <w:i/>
          <w:iCs/>
          <w:color w:val="666666"/>
          <w:sz w:val="17"/>
          <w:szCs w:val="17"/>
        </w:rPr>
        <w:t xml:space="preserve">La hoja de ruta tiene carácter de recomendación y se basa en la evidencia obtenida para el período evaluado. Su aplicación debe validarse con la asesoría legal de Ancón y, cuando corresponda, con la SSRP.</w:t>
      </w:r>
    </w:p>
    <w:p>
      <w:pPr>
        <w:sectPr>
          <w:headerReference w:type="default" r:id="rId12"/>
          <w:footerReference w:type="default" r:id="rId13"/>
          <w:pgSz w:w="15840" w:h="12240" w:orient="landscape"/>
          <w:pgMar w:top="1200" w:right="1440" w:bottom="1200" w:left="1440" w:header="708" w:footer="708" w:gutter="0"/>
          <w:pgNumType/>
          <w:docGrid w:linePitch="360"/>
        </w:sectPr>
      </w:pPr>
    </w:p>
    <w:p>
      <w:pPr>
        <w:pStyle w:val="Heading1"/>
      </w:pPr>
      <w:r>
        <w:rPr>
          <w:rFonts w:ascii="Arial" w:cs="Arial" w:eastAsia="Arial" w:hAnsi="Arial"/>
        </w:rPr>
        <w:t xml:space="preserve">Anexo A. Documentos Revisados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060"/>
        <w:gridCol w:w="2500"/>
        <w:gridCol w:w="1300"/>
      </w:tblGrid>
      <w:tr>
        <w:trPr>
          <w:cantSplit/>
          <w:tblHeader/>
        </w:trPr>
        <w:tc>
          <w:tcPr>
            <w:tcW w:type="dxa" w:w="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w:t>
            </w:r>
          </w:p>
        </w:tc>
        <w:tc>
          <w:tcPr>
            <w:tcW w:type="dxa" w:w="50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Documento</w:t>
            </w:r>
          </w:p>
        </w:tc>
        <w:tc>
          <w:tcPr>
            <w:tcW w:type="dxa" w:w="2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Versión / Fecha</w:t>
            </w:r>
          </w:p>
        </w:tc>
        <w:tc>
          <w:tcPr>
            <w:tcW w:type="dxa" w:w="13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Componente</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POL-CUM-27-MPREMET-21 – Manual de Prevención; actas del Comité y certificación de Junta de su aprobación</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v3.0 / oct-2023</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PP / DD</w:t>
            </w:r>
          </w:p>
        </w:tc>
      </w:tr>
      <w:tr>
        <w:trPr>
          <w:cantSplit/>
        </w:trPr>
        <w:tc>
          <w:tcPr>
            <w:tcW w:type="dxa" w:w="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w:t>
            </w:r>
          </w:p>
        </w:tc>
        <w:tc>
          <w:tcPr>
            <w:tcW w:type="dxa" w:w="506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CONCLI-15 – Conoce al Consumidor; política de identificación y verificación; política del subyacente que cede el riesgo; política de actualización del consumidor</w:t>
            </w:r>
          </w:p>
        </w:tc>
        <w:tc>
          <w:tcPr>
            <w:tcW w:type="dxa" w:w="2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v4.0 / may-2023</w:t>
            </w:r>
          </w:p>
        </w:tc>
        <w:tc>
          <w:tcPr>
            <w:tcW w:type="dxa" w:w="13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PP / DD</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3</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GESADHE-12 – Herramientas Tecnológicas; MPRMOPTR-20 – Perfil Financiero y Transaccional</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v1.0 / ene-2023</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PP / MT</w:t>
            </w:r>
          </w:p>
        </w:tc>
      </w:tr>
      <w:tr>
        <w:trPr>
          <w:cantSplit/>
        </w:trPr>
        <w:tc>
          <w:tcPr>
            <w:tcW w:type="dxa" w:w="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4</w:t>
            </w:r>
          </w:p>
        </w:tc>
        <w:tc>
          <w:tcPr>
            <w:tcW w:type="dxa" w:w="506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DNR Alertas Monitoreo; parametrización de 13 tipologías; Informe de Tipologías; muestra de alerta; registros de alertas</w:t>
            </w:r>
          </w:p>
        </w:tc>
        <w:tc>
          <w:tcPr>
            <w:tcW w:type="dxa" w:w="2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oct-2023 a 2026</w:t>
            </w:r>
          </w:p>
        </w:tc>
        <w:tc>
          <w:tcPr>
            <w:tcW w:type="dxa" w:w="13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MT</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5</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Señales de Alerta de Cumplimiento 2025; catálogo de tipologías UAF</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2025</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MT</w:t>
            </w:r>
          </w:p>
        </w:tc>
      </w:tr>
      <w:tr>
        <w:trPr>
          <w:cantSplit/>
        </w:trPr>
        <w:tc>
          <w:tcPr>
            <w:tcW w:type="dxa" w:w="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w:t>
            </w:r>
          </w:p>
        </w:tc>
        <w:tc>
          <w:tcPr>
            <w:tcW w:type="dxa" w:w="506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Informe de Fraude a la Junta Directiva</w:t>
            </w:r>
          </w:p>
        </w:tc>
        <w:tc>
          <w:tcPr>
            <w:tcW w:type="dxa" w:w="2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09-06-2025</w:t>
            </w:r>
          </w:p>
        </w:tc>
        <w:tc>
          <w:tcPr>
            <w:tcW w:type="dxa" w:w="13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MT</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7</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Matriz de Riesgo BC/FT/FPADM y metodología; Evaluaciones de Riesgo de Emisión (v2) y Reclamos (v0); Hoja Modelo ERM</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21-07-2025</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ER</w:t>
            </w:r>
          </w:p>
        </w:tc>
      </w:tr>
      <w:tr>
        <w:trPr>
          <w:cantSplit/>
        </w:trPr>
        <w:tc>
          <w:tcPr>
            <w:tcW w:type="dxa" w:w="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8</w:t>
            </w:r>
          </w:p>
        </w:tc>
        <w:tc>
          <w:tcPr>
            <w:tcW w:type="dxa" w:w="506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CAPAC-8 y CAPPCCASC-13 – Capacitación; cuadro de capacitaciones 2024-2025; certificados y sustentos</w:t>
            </w:r>
          </w:p>
        </w:tc>
        <w:tc>
          <w:tcPr>
            <w:tcW w:type="dxa" w:w="2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2023-2026</w:t>
            </w:r>
          </w:p>
        </w:tc>
        <w:tc>
          <w:tcPr>
            <w:tcW w:type="dxa" w:w="13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PP / PAC</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9</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RESYCON-7 – Reserva y Confidencialidad; política de conservación de documentos</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may-2023; abr-2024</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PP / CD</w:t>
            </w:r>
          </w:p>
        </w:tc>
      </w:tr>
      <w:tr>
        <w:trPr>
          <w:cantSplit/>
        </w:trPr>
        <w:tc>
          <w:tcPr>
            <w:tcW w:type="dxa" w:w="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10</w:t>
            </w:r>
          </w:p>
        </w:tc>
        <w:tc>
          <w:tcPr>
            <w:tcW w:type="dxa" w:w="506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CONASEM-5 y DPRPACO-17 – Conoce a tu Colaborador y Actualización; Política de Reclutamiento</w:t>
            </w:r>
          </w:p>
        </w:tc>
        <w:tc>
          <w:tcPr>
            <w:tcW w:type="dxa" w:w="2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may-2023; 2026</w:t>
            </w:r>
          </w:p>
        </w:tc>
        <w:tc>
          <w:tcPr>
            <w:tcW w:type="dxa" w:w="13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PP / DD</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11</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CONSUREG-10, DPRPASO-19, CONCOMGF-11 – Sujetos Regulados Grupos A y B</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2023</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PP / DD</w:t>
            </w:r>
          </w:p>
        </w:tc>
      </w:tr>
      <w:tr>
        <w:trPr>
          <w:cantSplit/>
        </w:trPr>
        <w:tc>
          <w:tcPr>
            <w:tcW w:type="dxa" w:w="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12</w:t>
            </w:r>
          </w:p>
        </w:tc>
        <w:tc>
          <w:tcPr>
            <w:tcW w:type="dxa" w:w="506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CONTUPROV-6 y DPRPAPR-18 – Proveedores; plan de actualización de proveedores</w:t>
            </w:r>
          </w:p>
        </w:tc>
        <w:tc>
          <w:tcPr>
            <w:tcW w:type="dxa" w:w="2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may-2023</w:t>
            </w:r>
          </w:p>
        </w:tc>
        <w:tc>
          <w:tcPr>
            <w:tcW w:type="dxa" w:w="13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PP / DD</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13</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Manual de Gobierno Corporativo; Reglamento del Comité AA_GOBCORP03 y acta de Junta que lo aprueba</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V03 / jun-2019</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GC</w:t>
            </w:r>
          </w:p>
        </w:tc>
      </w:tr>
      <w:tr>
        <w:trPr>
          <w:cantSplit/>
        </w:trPr>
        <w:tc>
          <w:tcPr>
            <w:tcW w:type="dxa" w:w="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14</w:t>
            </w:r>
          </w:p>
        </w:tc>
        <w:tc>
          <w:tcPr>
            <w:tcW w:type="dxa" w:w="506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Organigramas general y del Departamento de Cumplimiento; hojas de vida; Resolución OAL-362</w:t>
            </w:r>
          </w:p>
        </w:tc>
        <w:tc>
          <w:tcPr>
            <w:tcW w:type="dxa" w:w="2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sep-2025; 30-12-2022</w:t>
            </w:r>
          </w:p>
        </w:tc>
        <w:tc>
          <w:tcPr>
            <w:tcW w:type="dxa" w:w="13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GC</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15</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Código de Ética AIN-28-CODETI; Manual del Sistema de Control Interno; Manual de RR.HH.</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2023-2024</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GC</w:t>
            </w:r>
          </w:p>
        </w:tc>
      </w:tr>
      <w:tr>
        <w:trPr>
          <w:cantSplit/>
        </w:trPr>
        <w:tc>
          <w:tcPr>
            <w:tcW w:type="dxa" w:w="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16</w:t>
            </w:r>
          </w:p>
        </w:tc>
        <w:tc>
          <w:tcPr>
            <w:tcW w:type="dxa" w:w="506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Actas del Comité de 17-04-2024 y 28-05-2025; acta de Junta de 20-01-2021; autoevaluación del Comité</w:t>
            </w:r>
          </w:p>
        </w:tc>
        <w:tc>
          <w:tcPr>
            <w:tcW w:type="dxa" w:w="2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2021-2025</w:t>
            </w:r>
          </w:p>
        </w:tc>
        <w:tc>
          <w:tcPr>
            <w:tcW w:type="dxa" w:w="13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GC</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17</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Aclaración de aprobaciones en actas del Comité de Cumplimiento (IV trim. 2023 – 2025)</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2026</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GC / PAC</w:t>
            </w:r>
          </w:p>
        </w:tc>
      </w:tr>
      <w:tr>
        <w:trPr>
          <w:cantSplit/>
        </w:trPr>
        <w:tc>
          <w:tcPr>
            <w:tcW w:type="dxa" w:w="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18</w:t>
            </w:r>
          </w:p>
        </w:tc>
        <w:tc>
          <w:tcPr>
            <w:tcW w:type="dxa" w:w="506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Informes de seguimiento al Comité (I, II, III-IV trimestre 2024; I y II trimestre 2025)</w:t>
            </w:r>
          </w:p>
        </w:tc>
        <w:tc>
          <w:tcPr>
            <w:tcW w:type="dxa" w:w="2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2024-2025</w:t>
            </w:r>
          </w:p>
        </w:tc>
        <w:tc>
          <w:tcPr>
            <w:tcW w:type="dxa" w:w="13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GC / PAC</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19</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Programas y cronogramas 2024 y 2025; actas de Junta y certificaciones del Secretario aportadas; correo de remisión 2025</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2024-2026</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PAC</w:t>
            </w:r>
          </w:p>
        </w:tc>
      </w:tr>
      <w:tr>
        <w:trPr>
          <w:cantSplit/>
        </w:trPr>
        <w:tc>
          <w:tcPr>
            <w:tcW w:type="dxa" w:w="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w:t>
            </w:r>
          </w:p>
        </w:tc>
        <w:tc>
          <w:tcPr>
            <w:tcW w:type="dxa" w:w="506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Informe de Gestión Anual 2024, resumen ejecutivo y cronograma de cierre; memorial Informe de Gestión 2023; acta de Junta del Informe de Gestión 2023</w:t>
            </w:r>
          </w:p>
        </w:tc>
        <w:tc>
          <w:tcPr>
            <w:tcW w:type="dxa" w:w="2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2024-2025</w:t>
            </w:r>
          </w:p>
        </w:tc>
        <w:tc>
          <w:tcPr>
            <w:tcW w:type="dxa" w:w="13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PAC / RR</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21</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Planes de Auditoría Interna 2024 y 2025; Informe de Auditoría Interna al Dpto. de Cumplimiento</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2024-2026</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GC</w:t>
            </w:r>
          </w:p>
        </w:tc>
      </w:tr>
      <w:tr>
        <w:trPr>
          <w:cantSplit/>
        </w:trPr>
        <w:tc>
          <w:tcPr>
            <w:tcW w:type="dxa" w:w="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22</w:t>
            </w:r>
          </w:p>
        </w:tc>
        <w:tc>
          <w:tcPr>
            <w:tcW w:type="dxa" w:w="506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Herramienta de listas, constancia de barridos y listado de pólizas rechazadas por coincidencias</w:t>
            </w:r>
          </w:p>
        </w:tc>
        <w:tc>
          <w:tcPr>
            <w:tcW w:type="dxa" w:w="2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2024-2026</w:t>
            </w:r>
          </w:p>
        </w:tc>
        <w:tc>
          <w:tcPr>
            <w:tcW w:type="dxa" w:w="13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DD</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23</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Catálogo de clientes activos; listado de clientes con documentación pendiente; formularios CTC</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2025-2026</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DD</w:t>
            </w:r>
          </w:p>
        </w:tc>
      </w:tr>
      <w:tr>
        <w:trPr>
          <w:cantSplit/>
        </w:trPr>
        <w:tc>
          <w:tcPr>
            <w:tcW w:type="dxa" w:w="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24</w:t>
            </w:r>
          </w:p>
        </w:tc>
        <w:tc>
          <w:tcPr>
            <w:tcW w:type="dxa" w:w="506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Matriz de revisión de 85 expedientes de clientes; análisis de 33 expedientes de colaboradores</w:t>
            </w:r>
          </w:p>
        </w:tc>
        <w:tc>
          <w:tcPr>
            <w:tcW w:type="dxa" w:w="2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2026</w:t>
            </w:r>
          </w:p>
        </w:tc>
        <w:tc>
          <w:tcPr>
            <w:tcW w:type="dxa" w:w="13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DD</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25</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Entrevistas a 13 responsables y colaboradores</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ene-2026</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Transversal</w:t>
            </w:r>
          </w:p>
        </w:tc>
      </w:tr>
      <w:tr>
        <w:trPr>
          <w:cantSplit/>
        </w:trPr>
        <w:tc>
          <w:tcPr>
            <w:tcW w:type="dxa" w:w="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26</w:t>
            </w:r>
          </w:p>
        </w:tc>
        <w:tc>
          <w:tcPr>
            <w:tcW w:type="dxa" w:w="506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Informe SSRP DSR-0924-2023; matriz de seguimiento de cierre de hallazgos; última evaluación independiente</w:t>
            </w:r>
          </w:p>
        </w:tc>
        <w:tc>
          <w:tcPr>
            <w:tcW w:type="dxa" w:w="25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2023-2026</w:t>
            </w:r>
          </w:p>
        </w:tc>
        <w:tc>
          <w:tcPr>
            <w:tcW w:type="dxa" w:w="1300"/>
            <w:tcBorders>
              <w:top w:val="single" w:color="B7C4CA" w:sz="4"/>
              <w:left w:val="single" w:color="B7C4CA" w:sz="4"/>
              <w:bottom w:val="single" w:color="B7C4CA" w:sz="4"/>
              <w:right w:val="single" w:color="B7C4CA" w:sz="4"/>
            </w:tcBorders>
            <w:shd w:fill="F4F7F8"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Transversal</w:t>
            </w:r>
          </w:p>
        </w:tc>
      </w:tr>
      <w:tr>
        <w:trPr>
          <w:cantSplit/>
        </w:trPr>
        <w:tc>
          <w:tcPr>
            <w:tcW w:type="dxa" w:w="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27</w:t>
            </w:r>
          </w:p>
        </w:tc>
        <w:tc>
          <w:tcPr>
            <w:tcW w:type="dxa" w:w="50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Ley 23 de 2015; D.E. 35 de 2022; Acuerdos SSRP 03-2022 y 07-2025</w:t>
            </w:r>
          </w:p>
        </w:tc>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Gaceta Oficial</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Marco normativo</w:t>
            </w:r>
          </w:p>
        </w:tc>
      </w:tr>
    </w:tbl>
    <w:p>
      <w:pPr>
        <w:pStyle w:val="Heading1"/>
        <w:pageBreakBefore/>
      </w:pPr>
      <w:r>
        <w:rPr>
          <w:rFonts w:ascii="Arial" w:cs="Arial" w:eastAsia="Arial" w:hAnsi="Arial"/>
        </w:rPr>
        <w:t xml:space="preserve">Anexo B.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Término</w:t>
            </w:r>
          </w:p>
        </w:tc>
        <w:tc>
          <w:tcPr>
            <w:tcW w:type="dxa" w:w="69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Significado</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BC/FT/FPADM</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Blanqueo de capitales, financiamiento del terrorismo y financiamiento de la proliferación de armas de destrucción masiva.</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CTC</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Formulario Conozca a su Cliente.</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DEIVID</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Sistema tecnológico institucional de Ancón utilizado para perfiles de riesgo, emisión y monitoreo.</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DLP</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Prevención de pérdida de datos (Data Loss Prevention).</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GAFI</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Grupo de Acción Financiera Internacional.</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OM</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Oportunidad de mejora o recomendación que no constituye incumplimiento del período.</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P:I</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Calificación de probabilidad e impacto en la matriz de riesgo GSM.</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PEP</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Persona expuesta políticamente.</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ROI / ROS</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Reporte de operación inusual (interno) / Reporte de operación sospechosa (a la UAF).</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SSRP</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Superintendencia de Seguros y Reaseguros de Panamá.</w:t>
            </w:r>
          </w:p>
        </w:tc>
      </w:tr>
      <w:tr>
        <w:trPr>
          <w:cantSplit/>
        </w:trPr>
        <w:tc>
          <w:tcPr>
            <w:tcW w:type="dxa" w:w="24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UAF</w:t>
            </w:r>
          </w:p>
        </w:tc>
        <w:tc>
          <w:tcPr>
            <w:tcW w:type="dxa" w:w="6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Unidad de Análisis Financiero para la Prevención del Delito de Blanqueo de Capitales y Financiamiento del Terrorismo.</w:t>
            </w:r>
          </w:p>
        </w:tc>
      </w:tr>
    </w:tbl>
    <w:p>
      <w:pPr>
        <w:pStyle w:val="Heading1"/>
        <w:pageBreakBefore/>
      </w:pPr>
      <w:r>
        <w:rPr>
          <w:rFonts w:ascii="Arial" w:cs="Arial" w:eastAsia="Arial" w:hAnsi="Arial"/>
        </w:rPr>
        <w:t xml:space="preserve">Anexo C. Estado de los Requerimientos de Información</w:t>
      </w:r>
    </w:p>
    <w:p>
      <w:pPr>
        <w:spacing w:after="120" w:before="0" w:line="276"/>
        <w:jc w:val="both"/>
      </w:pPr>
      <w:r>
        <w:rPr>
          <w:rFonts w:ascii="Arial" w:cs="Arial" w:eastAsia="Arial" w:hAnsi="Arial"/>
          <w:b w:val="false"/>
          <w:bCs w:val="false"/>
          <w:sz w:val="21"/>
          <w:szCs w:val="21"/>
        </w:rPr>
        <w:t xml:space="preserve">Resumen de los requerimientos de información realizados a Ancón durante la evaluación y su resultado, según el cuadro de control de actividades y entregables. Agradecemos la colaboración del equipo de Cumplimiento y de las áreas entrevistadas.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300"/>
        <w:gridCol w:w="1760"/>
        <w:gridCol w:w="1000"/>
        <w:gridCol w:w="1500"/>
      </w:tblGrid>
      <w:tr>
        <w:trPr>
          <w:cantSplit/>
          <w:tblHeader/>
        </w:trPr>
        <w:tc>
          <w:tcPr>
            <w:tcW w:type="dxa" w:w="2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Sección</w:t>
            </w:r>
          </w:p>
        </w:tc>
        <w:tc>
          <w:tcPr>
            <w:tcW w:type="dxa" w:w="13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Requeridos</w:t>
            </w:r>
          </w:p>
        </w:tc>
        <w:tc>
          <w:tcPr>
            <w:tcW w:type="dxa" w:w="13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Revisados sin hallazgos</w:t>
            </w:r>
          </w:p>
        </w:tc>
        <w:tc>
          <w:tcPr>
            <w:tcW w:type="dxa" w:w="17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Revisados con oportunidad de mejora o recomendación</w:t>
            </w:r>
          </w:p>
        </w:tc>
        <w:tc>
          <w:tcPr>
            <w:tcW w:type="dxa" w:w="10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Con brecha</w:t>
            </w:r>
          </w:p>
        </w:tc>
        <w:tc>
          <w:tcPr>
            <w:tcW w:type="dxa" w:w="15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Pendientes de entrega</w:t>
            </w:r>
          </w:p>
        </w:tc>
      </w:tr>
      <w:tr>
        <w:trPr>
          <w:cantSplit/>
        </w:trPr>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A. Gobierno AML y administración de riesgo</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70</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40</w:t>
            </w:r>
          </w:p>
        </w:tc>
        <w:tc>
          <w:tcPr>
            <w:tcW w:type="dxa" w:w="1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12</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17</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w:t>
            </w:r>
          </w:p>
        </w:tc>
      </w:tr>
      <w:tr>
        <w:trPr>
          <w:cantSplit/>
        </w:trPr>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B. Gobierno corporativo</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13</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7</w:t>
            </w:r>
          </w:p>
        </w:tc>
        <w:tc>
          <w:tcPr>
            <w:tcW w:type="dxa" w:w="1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6</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0</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0</w:t>
            </w:r>
          </w:p>
        </w:tc>
      </w:tr>
      <w:tr>
        <w:trPr>
          <w:cantSplit/>
        </w:trPr>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C. Capacitación y conozca a su colaborador</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9</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8</w:t>
            </w:r>
          </w:p>
        </w:tc>
        <w:tc>
          <w:tcPr>
            <w:tcW w:type="dxa" w:w="1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0</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0</w:t>
            </w:r>
          </w:p>
        </w:tc>
      </w:tr>
      <w:tr>
        <w:trPr>
          <w:cantSplit/>
        </w:trPr>
        <w:tc>
          <w:tcPr>
            <w:tcW w:type="dxa" w:w="25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6"/>
                <w:szCs w:val="16"/>
              </w:rPr>
              <w:t xml:space="preserve">Total</w:t>
            </w:r>
          </w:p>
        </w:tc>
        <w:tc>
          <w:tcPr>
            <w:tcW w:type="dxa" w:w="13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92</w:t>
            </w:r>
          </w:p>
        </w:tc>
        <w:tc>
          <w:tcPr>
            <w:tcW w:type="dxa" w:w="13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55</w:t>
            </w:r>
          </w:p>
        </w:tc>
        <w:tc>
          <w:tcPr>
            <w:tcW w:type="dxa" w:w="176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19</w:t>
            </w:r>
          </w:p>
        </w:tc>
        <w:tc>
          <w:tcPr>
            <w:tcW w:type="dxa" w:w="10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17</w:t>
            </w:r>
          </w:p>
        </w:tc>
        <w:tc>
          <w:tcPr>
            <w:tcW w:type="dxa" w:w="1500"/>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center"/>
            </w:pPr>
            <w:r>
              <w:rPr>
                <w:rFonts w:ascii="Arial" w:cs="Arial" w:eastAsia="Arial" w:hAnsi="Arial"/>
                <w:b/>
                <w:bCs/>
                <w:sz w:val="16"/>
                <w:szCs w:val="16"/>
              </w:rPr>
              <w:t xml:space="preserve">1</w:t>
            </w:r>
          </w:p>
        </w:tc>
      </w:tr>
      <w:tr>
        <w:trPr>
          <w:cantSplit/>
        </w:trPr>
        <w:tc>
          <w:tcPr>
            <w:tcW w:type="dxa" w:w="2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D. Entrevistas a áreas clave</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13</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12</w:t>
            </w:r>
          </w:p>
        </w:tc>
        <w:tc>
          <w:tcPr>
            <w:tcW w:type="dxa" w:w="17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w:t>
            </w:r>
          </w:p>
        </w:tc>
        <w:tc>
          <w:tcPr>
            <w:tcW w:type="dxa" w:w="10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1</w:t>
            </w:r>
          </w:p>
        </w:tc>
        <w:tc>
          <w:tcPr>
            <w:tcW w:type="dxa" w:w="15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6"/>
                <w:szCs w:val="16"/>
              </w:rPr>
              <w:t xml:space="preserve">–</w:t>
            </w:r>
          </w:p>
        </w:tc>
      </w:tr>
    </w:tbl>
    <w:p>
      <w:pPr>
        <w:spacing w:after="120" w:before="120" w:line="276"/>
        <w:jc w:val="both"/>
      </w:pPr>
      <w:r>
        <w:rPr>
          <w:rFonts w:ascii="Arial" w:cs="Arial" w:eastAsia="Arial" w:hAnsi="Arial"/>
          <w:b w:val="false"/>
          <w:bCs w:val="false"/>
          <w:sz w:val="21"/>
          <w:szCs w:val="21"/>
        </w:rPr>
        <w:t xml:space="preserve">Los elementos revisados sin hallazgos se encontraron conformes a la regulación y al estándar de evaluación con enfoque basado en riesgo; no se consideran hallazgos ni observaciones. Las brechas se detallan en la Sección 6 y las oportunidades de mejora y recomendaciones en la Sección 11.4. Los documentos pendientes de entrega se detallan en la Sección 3.3; su entrega posterior permitiría revisar la calificación de las brechas afectadas.</w:t>
      </w:r>
    </w:p>
    <w:p>
      <w:pPr>
        <w:pStyle w:val="Heading3"/>
        <w:keepNext/>
      </w:pPr>
      <w:r>
        <w:rPr>
          <w:rFonts w:ascii="Arial" w:cs="Arial" w:eastAsia="Arial" w:hAnsi="Arial"/>
        </w:rPr>
        <w:t xml:space="preserve">Detalle del resultado por requerimiento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360"/>
        <w:gridCol w:w="3200"/>
      </w:tblGrid>
      <w:tr>
        <w:trPr>
          <w:cantSplit/>
          <w:tblHeader/>
        </w:trPr>
        <w:tc>
          <w:tcPr>
            <w:tcW w:type="dxa" w:w="8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Ref.</w:t>
            </w:r>
          </w:p>
        </w:tc>
        <w:tc>
          <w:tcPr>
            <w:tcW w:type="dxa" w:w="53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Requerimiento</w:t>
            </w:r>
          </w:p>
        </w:tc>
        <w:tc>
          <w:tcPr>
            <w:tcW w:type="dxa" w:w="32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Resultado</w:t>
            </w:r>
          </w:p>
        </w:tc>
      </w:tr>
      <w:tr>
        <w:trPr>
          <w:cantSplit/>
        </w:trPr>
        <w:tc>
          <w:tcPr>
            <w:tcW w:type="dxa" w:w="800"/>
            <w:gridSpan w:val="3"/>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 Gobierno AML y administración de riesgo</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Manual de Prevención de BC/FT/DPADM.</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A-1.1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 de Comité de Cumplimiento en la que se aprueba la actualización del manual, dentro del periodo evaluado.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A-1.2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 de Junta Directiva en la que se ratifica la aprobación del manual, dentro del periodo evaluado.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 para identificación y verificación del Consumidos del Servicio de Seguros.</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 de conozca al Consumidor del Servicio de Seguros.</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 de debida diligencia del subyacente que cede el riesgo.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A-2.4</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 conozca a su empleado.</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(OM-10 · OM-11)</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A-2.5</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 de conozca a los sujetos obligados del sector seguros del Grupo B.</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PP-01</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A-2.6</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 de conozca a los sujetos obligados del sector seguros del Grupo A.</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PP-01</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A-2.8</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 Conozca a su proveedor</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PP-01 · OM-17</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A-2.9</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Políticas de reserva y confidencialidad de la información.</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A-2.10</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 para la gestión adecuada de herramientas tecnológicas.</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A-2.11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 de capacitación en materia de prevención de BC/FT/FPADM.</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(OM-09)</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A-2.12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 de conservación de documentos.</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A-2.13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 de capacitación en materia de prevención de BC/FT/FPADM para los canales de comercialización y agentes de seguros.</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A-2.14</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 de Comité de Cumplimiento en la que se aprueba la actualización de las políticas, dentro del periodo evaluado. Acta 17 abril 2024.</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Monitoreo transaccional.</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MT-01 · PP-02</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Actualización de clientes. Política de actualización del consumidor de servicios de seguro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Reporte de operaciones sospechosas (ROS).</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RR-01</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Informes presentados ante el Comité de Cumplimiento (periodo 1 de julio 2024 al 30 junio 2025).</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A-5</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Actas del Comité de Cumplimiento (periodo 1 de julio 2024 al 30 junio 2025).</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GC-01 · OM-12</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A-7</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Informes presentados a la Junta Directiva.</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(OM-05)</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A-8</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Descripción de puesto del Oficial de Cumplimiento.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A-9</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Plan (Programa) Anual de trabajo del Oficial de Cumplimiento para el año 2024</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A-10</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Cronograma de ejecución de trabajo del Oficial de Cumplimiento para el año 2024</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A-11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 de aprobación de Comité de Cumplimiento del Plan Anual y Cronograma de Trabajo 2024.</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(OM-13)</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A-12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 de ratificación de la Junta Directiva del Plan Anual y Cronograma de Trabajo 2024.</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(OM-13)</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A-13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Memorial o carta, y mail dirigida a la Superintendencia de Seguros y Reaseguros de Panamá, por medio de la cual se remite el Programa Anual de Cumplim</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A-14</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Plan (Programa) Anual de trabajo del Oficial de Cumplimiento para el año 2025.</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A-15</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Cronograma de ejecución de trabajo del Oficial de Cumplimiento para el año 2025.</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A-16</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 de aprobación de Comité de Cumplimiento del Plan Anual y Cronograma de Trabajo 2025.</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(OM-13)</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A-17</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 de ratificación de la Junta Directiva del Plan Anual y Cronograma de Trabajo 2025.</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(OM-13)</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A-18</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Memorial o carta, y mail dirigida a la Superintendencia de Seguros y Reaseguros de Panamá, por medio de la cual se remite el Programa Anual de Cumplim</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A-19</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Informe de Gestión Anual 2024.</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A-20</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 de aprobación de Comité de Cumplimiento del Informe de Gestión Anual 2024.</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(OM-13)</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 de ratificación de la Junta Directiva del Informe de Gestión Anual 2024.</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(OM-13)</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Memorial o carta dirigida a la Superintendencia de Seguros y Reaseguros de Panamá, por medio de la cual se remite el Informe de Gestión Anual 2023, co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Matriz de riesgo y metodología de Clientes y autoevaluación.</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A-24</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Clasificación de nivel de riesgo de clientes. (metodología)</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A-25</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Revisión de Expedientes de Clientes y Cumplimiento de la Debida Diligencia</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DD-01</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A-26</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Listado de clientes con documentación pendiente a la fecha (excepciones).</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DD-02</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A-29</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Matriz de riesgo y metodología de Colaboradores.</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(OM-15)</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A-30</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Matriz de riesgo y metodología de Proveedores.</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Herramienta de monitoreo.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A-31.1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Herramienta para la revisión en listas de riesgo: indicar la versión, procedimiento, print de pantalla.</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A-31.2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 de Junta Directiva donde conste última aprobación para uso de la herramienta para la revisión en listas de riesgo.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A-31.3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Constancia del proceso de verificación en listas de riesgo y barridas realizadas a los clientes existentes y su metodología, periodo 1 de julio de 202</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Listado de Tipologías y casos detectados y evaluados (periodo 1 de julio 2024 al 30 junio 2025).</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Listado de alertas generadas del sistema de monitoreo (periodo 1 de julio 2024 al 30 junio 2025).</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A-34</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Listado de condiciones y reglas adaptativas del Sistema Monitoreo.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A-35</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Listado de todos los ROS efectuados en periodo de revisión y su documentación de respaldo.</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RR-01</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A-36</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Listado de alertas cerradas como falsos positivos.</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MT-02</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A-37</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Reportes de transacciones en efectivo realizadas durante el periodo revisado</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RR-03</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A-38</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Listados de pólizas rechazadas o canceladas por coincidencias con listados de sanciones.</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A-39</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Plan de Auditoría Interna 2024</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GC-02</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A-40</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Plan de Auditoría Interna 2025</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GC-02</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Informe Anual de Auditoría Interna al Departamento de Cumplimiento.</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GC-02</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Informe de Evaluación Independiente (última realizada)</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(OM-01)</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A-42.1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Cierre de hallazgos- Matriz de Seguimiento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Informe de Supervisión In Situ realizada por la SSRP (último realizada).</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A-43.1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Cierre de hallazgos</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A-44</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 de Junta Directiva por medio de la cual se designa al Oficial de Cumplimiento.</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GC-03</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A-45</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Hoja de Vida del Oficial de Cumplimiento.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A-45.1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Hoja de Vida de otros miembros del Departamento de Cumplimiento- Yorlenys Díaz</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(OM-02)</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A-46</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Matriz de Riesgo de BC/FT/FPADM de la compañía y su correspondiente metodología.</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A-47</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 de Junta Directiva donde conste la aprobación (última actualización) de la Matriz de Riesgo de BC/FT/FPADM de la compañía.</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ER-01</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A-48</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Catálogo de proveedores activos del 1 de julio de 2024 al 30 de junio de 2025</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DD-03</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A-49</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Procedimiento de revisión de noticias.</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A-50</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Formularios Conozca a su Cliente, utilizados por la compañía.</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A-51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Programa de Visita a Sucursales</w:t>
            </w:r>
          </w:p>
        </w:tc>
        <w:tc>
          <w:tcPr>
            <w:tcW w:type="dxa" w:w="3200"/>
            <w:tcBorders>
              <w:top w:val="single" w:color="B7C4CA" w:sz="4"/>
              <w:left w:val="single" w:color="B7C4CA" w:sz="4"/>
              <w:bottom w:val="single" w:color="B7C4CA" w:sz="4"/>
              <w:right w:val="single" w:color="B7C4CA" w:sz="4"/>
            </w:tcBorders>
            <w:shd w:fill="EDEDED"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Pendiente de entrega</w:t>
            </w:r>
          </w:p>
        </w:tc>
      </w:tr>
      <w:tr>
        <w:trPr>
          <w:cantSplit/>
        </w:trPr>
        <w:tc>
          <w:tcPr>
            <w:tcW w:type="dxa" w:w="800"/>
            <w:gridSpan w:val="3"/>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 Gobierno corporativo</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Manual de Gobierno Corporativo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Código de Ética y Conducta</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(OM-07)</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Manual de Control Interno.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B-4</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Políticas de Transacciones con Partes Relacionadas</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B-5</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Reglamento del Comité de Cumplimiento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B-6</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Calendario de reuniones del Comité de Riesgo y Cumplimiento.</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(OM-03)</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B-9</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Temario básico del Comité de Riesgo y Cumplimiento.</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(OM-04)</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B-10</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Informe Anual de Gestión del Comité de Riesgo y Cumplimiento a la Junta Directiva.</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(OM-05)</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B-11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Evaluación Anual del Comité de Riesgo y Cumplimiento 2024 y 2025, si hubiere.</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(OM-06)</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B-12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Organigrama y Estructura de la Entidad (incluyendo comités de apoyo)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B-13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Organigrama y estructura del Departamento de Cumplimiento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B-14</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Política de Reclutamiento</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(OM-08)</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B-15</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Acta de Junta Directiva en donde conste aprobación del reglamento del Comité de Cumplimiento.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gridSpan w:val="3"/>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C. Capacitación y conozca a su colaborador</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C-1.1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Capacitaciones introductorias</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C-1.2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Capacitación Común y General</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C-1.3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Capacitaciones Especializadas.</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C-1.4</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Capacitaciones recibidas por el Oficial de Cumplimiento.</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C-1.5</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Jornada de Sensibilización de Junta Directiva.</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C-2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Constancia de Capacitaciones: registro en el que consten las capacitaciones que han sido brindadas a los empleados, así como la fecha, día, lugar y du</w:t>
            </w:r>
          </w:p>
        </w:tc>
        <w:tc>
          <w:tcPr>
            <w:tcW w:type="dxa" w:w="3200"/>
            <w:tcBorders>
              <w:top w:val="single" w:color="B7C4CA" w:sz="4"/>
              <w:left w:val="single" w:color="B7C4CA" w:sz="4"/>
              <w:bottom w:val="single" w:color="B7C4CA" w:sz="4"/>
              <w:right w:val="single" w:color="B7C4CA" w:sz="4"/>
            </w:tcBorders>
            <w:shd w:fill="DDEBF7"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con oportunidad de mejora o recomendación (OM-14)</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C-2.1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Cuadro de Capacitaciones realizadas por Empleados 2024-2025</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C-2.2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Ejemplo de Certificado de Capacitación</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C-2.3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Sustentos adicionales</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gridSpan w:val="3"/>
            <w:tcBorders>
              <w:top w:val="single" w:color="B7C4CA" w:sz="4"/>
              <w:left w:val="single" w:color="B7C4CA" w:sz="4"/>
              <w:bottom w:val="single" w:color="B7C4CA" w:sz="4"/>
              <w:right w:val="single" w:color="B7C4CA" w:sz="4"/>
            </w:tcBorders>
            <w:shd w:fill="E3EAED" w:color="auto" w:val="clear"/>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 Entrevistas a áreas clave</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Gabriela Moreno- Gerente Comercial (Casa Matriz)</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Dayris Rivera- Ejecutiva Comercial (Casa Matriz)</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Abraham Moreno- Jefe de Fianzas (Casa Matriz)</w:t>
            </w:r>
          </w:p>
        </w:tc>
        <w:tc>
          <w:tcPr>
            <w:tcW w:type="dxa" w:w="3200"/>
            <w:tcBorders>
              <w:top w:val="single" w:color="B7C4CA" w:sz="4"/>
              <w:left w:val="single" w:color="B7C4CA" w:sz="4"/>
              <w:bottom w:val="single" w:color="B7C4CA" w:sz="4"/>
              <w:right w:val="single" w:color="B7C4CA" w:sz="4"/>
            </w:tcBorders>
            <w:shd w:fill="FFF2CC" w:color="auto" w:val="clear"/>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Brecha RR-02 · OM-16</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D-4</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Meivis Villarreal- Sub Gerente de Área de Emisión (Casa Matriz)</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D-5</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Nimia Solís- Sub Gerente de Cobros (Casa Matriz)</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D-6</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Román Gordon- Gerente de Teconología (Casa Matriz)</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D-7</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Marquela Sánchez- Sub Gerente de RRHH (Casa Matriz)</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D-8</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Gianilys Goico- Gerente de Sucursales (Sucursal Transismica)</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D-9</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Carlos Chong- Sub gerente de Reclamos de Auto (Sucursal Transismica CIA)</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D-10</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Yarisel Cedeño- Supervisora de Atención al Cliente y Contact Center (Casa Matriz)</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D-11</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Lesly Ramírez- Supervisora de Área de Personas (Casa Matriz)</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D-12</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Marlene Ariza- Reclamos Área de Patrimoniales (Casa Matriz)</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r>
        <w:trPr>
          <w:cantSplit/>
        </w:trPr>
        <w:tc>
          <w:tcPr>
            <w:tcW w:type="dxa" w:w="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4"/>
                <w:szCs w:val="14"/>
              </w:rPr>
              <w:t xml:space="preserve">D-13</w:t>
            </w:r>
          </w:p>
        </w:tc>
        <w:tc>
          <w:tcPr>
            <w:tcW w:type="dxa" w:w="53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Miriam Nuñez- Analista Múltiple/Cajera (Sucursal Chorrera)</w:t>
            </w:r>
          </w:p>
        </w:tc>
        <w:tc>
          <w:tcPr>
            <w:tcW w:type="dxa" w:w="3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4"/>
                <w:szCs w:val="14"/>
              </w:rPr>
              <w:t xml:space="preserve">Revisado – sin hallazgos</w:t>
            </w:r>
          </w:p>
        </w:tc>
      </w:tr>
    </w:tbl>
    <w:p>
      <w:pPr>
        <w:spacing w:after="120" w:before="240" w:line="276"/>
        <w:jc w:val="both"/>
      </w:pPr>
      <w:r>
        <w:rPr>
          <w:rFonts w:ascii="Arial" w:cs="Arial" w:eastAsia="Arial" w:hAnsi="Arial"/>
          <w:b w:val="false"/>
          <w:bCs w:val="false"/>
          <w:i/>
          <w:iCs/>
          <w:color w:val="666666"/>
          <w:sz w:val="17"/>
          <w:szCs w:val="17"/>
        </w:rPr>
        <w:t xml:space="preserve">Este informe es un análisis técnico de cumplimiento y no sustituye la opinión legal de un abogado idóneo. Las interpretaciones normativas deben validarse con la asesoría legal de Ancón y, cuando corresponda, con la SSRP.</w:t>
      </w:r>
    </w:p>
    <w:p>
      <w:pPr>
        <w:pStyle w:val="Heading1"/>
        <w:pageBreakBefore/>
      </w:pPr>
      <w:r>
        <w:rPr>
          <w:rFonts w:ascii="Arial" w:cs="Arial" w:eastAsia="Arial" w:hAnsi="Arial"/>
        </w:rPr>
        <w:t xml:space="preserve">Anexo D. Nomenclatura de los Identificadores</w:t>
      </w:r>
    </w:p>
    <w:p>
      <w:pPr>
        <w:spacing w:after="120" w:before="0" w:line="276"/>
        <w:jc w:val="both"/>
      </w:pPr>
      <w:r>
        <w:rPr>
          <w:rFonts w:ascii="Arial" w:cs="Arial" w:eastAsia="Arial" w:hAnsi="Arial"/>
          <w:b w:val="false"/>
          <w:bCs w:val="false"/>
          <w:sz w:val="21"/>
          <w:szCs w:val="21"/>
        </w:rPr>
        <w:t xml:space="preserve">Cada brecha, recomendación y acción de este informe tiene un código corto que permite seguirla de una sección a otra y en la matriz de riesgo en Excel. El código se forma con un prefijo, que indica a qué componente o tipo de elemento pertenece, y un número correlativo. Por ejemplo, DD-02 es la segunda brecha del componente Debida Diligencia y R-DD-02 es una recomendación de ese mismo componente.</w:t>
      </w:r>
    </w:p>
    <w:p>
      <w:pPr>
        <w:pStyle w:val="Heading3"/>
        <w:keepNext/>
      </w:pPr>
      <w:r>
        <w:rPr>
          <w:rFonts w:ascii="Arial" w:cs="Arial" w:eastAsia="Arial" w:hAnsi="Arial"/>
        </w:rPr>
        <w:t xml:space="preserve">Códigos de las brechas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1300"/>
        <w:gridCol w:w="3260"/>
      </w:tblGrid>
      <w:tr>
        <w:trPr>
          <w:cantSplit/>
          <w:tblHeader/>
        </w:trPr>
        <w:tc>
          <w:tcPr>
            <w:tcW w:type="dxa" w:w="12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Prefijo</w:t>
            </w:r>
          </w:p>
        </w:tc>
        <w:tc>
          <w:tcPr>
            <w:tcW w:type="dxa" w:w="36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Componente</w:t>
            </w:r>
          </w:p>
        </w:tc>
        <w:tc>
          <w:tcPr>
            <w:tcW w:type="dxa" w:w="13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Sección</w:t>
            </w:r>
          </w:p>
        </w:tc>
        <w:tc>
          <w:tcPr>
            <w:tcW w:type="dxa" w:w="32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Rango de códigos</w:t>
            </w:r>
          </w:p>
        </w:tc>
      </w:tr>
      <w:tr>
        <w:trPr>
          <w:cantSplit/>
        </w:trPr>
        <w:tc>
          <w:tcPr>
            <w:tcW w:type="dxa" w:w="1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GC</w:t>
            </w:r>
          </w:p>
        </w:tc>
        <w:tc>
          <w:tcPr>
            <w:tcW w:type="dxa" w:w="3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Gobierno Corporativo</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6.1</w:t>
            </w:r>
          </w:p>
        </w:tc>
        <w:tc>
          <w:tcPr>
            <w:tcW w:type="dxa" w:w="3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GC-01 a GC-03</w:t>
            </w:r>
          </w:p>
        </w:tc>
      </w:tr>
      <w:tr>
        <w:trPr>
          <w:cantSplit/>
        </w:trPr>
        <w:tc>
          <w:tcPr>
            <w:tcW w:type="dxa" w:w="1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PP</w:t>
            </w:r>
          </w:p>
        </w:tc>
        <w:tc>
          <w:tcPr>
            <w:tcW w:type="dxa" w:w="3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Políticas y Procedimientos</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6.2</w:t>
            </w:r>
          </w:p>
        </w:tc>
        <w:tc>
          <w:tcPr>
            <w:tcW w:type="dxa" w:w="3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PP-01 a PP-02</w:t>
            </w:r>
          </w:p>
        </w:tc>
      </w:tr>
      <w:tr>
        <w:trPr>
          <w:cantSplit/>
        </w:trPr>
        <w:tc>
          <w:tcPr>
            <w:tcW w:type="dxa" w:w="1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PAC</w:t>
            </w:r>
          </w:p>
        </w:tc>
        <w:tc>
          <w:tcPr>
            <w:tcW w:type="dxa" w:w="3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Programa Anual de Cumplimiento</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6.3</w:t>
            </w:r>
          </w:p>
        </w:tc>
        <w:tc>
          <w:tcPr>
            <w:tcW w:type="dxa" w:w="3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Sin brechas</w:t>
            </w:r>
          </w:p>
        </w:tc>
      </w:tr>
      <w:tr>
        <w:trPr>
          <w:cantSplit/>
        </w:trPr>
        <w:tc>
          <w:tcPr>
            <w:tcW w:type="dxa" w:w="1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MT</w:t>
            </w:r>
          </w:p>
        </w:tc>
        <w:tc>
          <w:tcPr>
            <w:tcW w:type="dxa" w:w="3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Monitoreo Transaccional</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6.4</w:t>
            </w:r>
          </w:p>
        </w:tc>
        <w:tc>
          <w:tcPr>
            <w:tcW w:type="dxa" w:w="3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MT-01 a MT-02</w:t>
            </w:r>
          </w:p>
        </w:tc>
      </w:tr>
      <w:tr>
        <w:trPr>
          <w:cantSplit/>
        </w:trPr>
        <w:tc>
          <w:tcPr>
            <w:tcW w:type="dxa" w:w="1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DD</w:t>
            </w:r>
          </w:p>
        </w:tc>
        <w:tc>
          <w:tcPr>
            <w:tcW w:type="dxa" w:w="3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Debida Diligencia</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6.5</w:t>
            </w:r>
          </w:p>
        </w:tc>
        <w:tc>
          <w:tcPr>
            <w:tcW w:type="dxa" w:w="3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DD-01 a DD-03</w:t>
            </w:r>
          </w:p>
        </w:tc>
      </w:tr>
      <w:tr>
        <w:trPr>
          <w:cantSplit/>
        </w:trPr>
        <w:tc>
          <w:tcPr>
            <w:tcW w:type="dxa" w:w="1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ER</w:t>
            </w:r>
          </w:p>
        </w:tc>
        <w:tc>
          <w:tcPr>
            <w:tcW w:type="dxa" w:w="3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Evaluación de Riesgo AML</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6.6</w:t>
            </w:r>
          </w:p>
        </w:tc>
        <w:tc>
          <w:tcPr>
            <w:tcW w:type="dxa" w:w="3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ER-01</w:t>
            </w:r>
          </w:p>
        </w:tc>
      </w:tr>
      <w:tr>
        <w:trPr>
          <w:cantSplit/>
        </w:trPr>
        <w:tc>
          <w:tcPr>
            <w:tcW w:type="dxa" w:w="1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RR</w:t>
            </w:r>
          </w:p>
        </w:tc>
        <w:tc>
          <w:tcPr>
            <w:tcW w:type="dxa" w:w="3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Reportes Regulatorios</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6.7</w:t>
            </w:r>
          </w:p>
        </w:tc>
        <w:tc>
          <w:tcPr>
            <w:tcW w:type="dxa" w:w="3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RR-01 a RR-03</w:t>
            </w:r>
          </w:p>
        </w:tc>
      </w:tr>
      <w:tr>
        <w:trPr>
          <w:cantSplit/>
        </w:trPr>
        <w:tc>
          <w:tcPr>
            <w:tcW w:type="dxa" w:w="12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bCs/>
                <w:sz w:val="17"/>
                <w:szCs w:val="17"/>
              </w:rPr>
              <w:t xml:space="preserve">CD</w:t>
            </w:r>
          </w:p>
        </w:tc>
        <w:tc>
          <w:tcPr>
            <w:tcW w:type="dxa" w:w="3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Conservación de Documentos</w:t>
            </w:r>
          </w:p>
        </w:tc>
        <w:tc>
          <w:tcPr>
            <w:tcW w:type="dxa" w:w="13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6.8</w:t>
            </w:r>
          </w:p>
        </w:tc>
        <w:tc>
          <w:tcPr>
            <w:tcW w:type="dxa" w:w="32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Sin brechas</w:t>
            </w:r>
          </w:p>
        </w:tc>
      </w:tr>
    </w:tbl>
    <w:p>
      <w:pPr>
        <w:pStyle w:val="Heading3"/>
        <w:keepNext/>
      </w:pPr>
      <w:r>
        <w:rPr>
          <w:rFonts w:ascii="Arial" w:cs="Arial" w:eastAsia="Arial" w:hAnsi="Arial"/>
        </w:rPr>
        <w:t xml:space="preserve">Otros códigos del informe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cantSplit/>
          <w:tblHeader/>
        </w:trPr>
        <w:tc>
          <w:tcPr>
            <w:tcW w:type="dxa" w:w="26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Código</w:t>
            </w:r>
          </w:p>
        </w:tc>
        <w:tc>
          <w:tcPr>
            <w:tcW w:type="dxa" w:w="380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Qué identifica</w:t>
            </w:r>
          </w:p>
        </w:tc>
        <w:tc>
          <w:tcPr>
            <w:tcW w:type="dxa" w:w="2960"/>
            <w:tcBorders>
              <w:top w:val="single" w:color="B7C4CA" w:sz="4"/>
              <w:left w:val="single" w:color="B7C4CA" w:sz="4"/>
              <w:bottom w:val="single" w:color="B7C4CA" w:sz="4"/>
              <w:right w:val="single" w:color="B7C4CA" w:sz="4"/>
            </w:tcBorders>
            <w:shd w:fill="2F4F5F" w:color="auto" w:val="clear"/>
            <w:tcMar>
              <w:top w:type="dxa" w:w="70"/>
              <w:left w:type="dxa" w:w="100"/>
              <w:bottom w:type="dxa" w:w="70"/>
              <w:right w:type="dxa" w:w="100"/>
            </w:tcMar>
            <w:vAlign w:val="top"/>
          </w:tcPr>
          <w:p>
            <w:pPr>
              <w:spacing w:after="40" w:line="252"/>
              <w:jc w:val="left"/>
            </w:pPr>
            <w:r>
              <w:rPr>
                <w:rFonts w:ascii="Arial" w:cs="Arial" w:eastAsia="Arial" w:hAnsi="Arial"/>
                <w:b/>
                <w:bCs/>
                <w:color w:val="FFFFFF"/>
                <w:sz w:val="17"/>
                <w:szCs w:val="17"/>
              </w:rPr>
              <w:t xml:space="preserve">Dónde aparece</w:t>
            </w:r>
          </w:p>
        </w:tc>
      </w:tr>
      <w:tr>
        <w:trPr>
          <w:cantSplit/>
        </w:trPr>
        <w:tc>
          <w:tcPr>
            <w:tcW w:type="dxa" w:w="2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R-XX-NN (por ejemplo, R-GC-01)</w:t>
            </w:r>
          </w:p>
        </w:tc>
        <w:tc>
          <w:tcPr>
            <w:tcW w:type="dxa" w:w="3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Recomendación asociada a una brecha del componente XX.</w:t>
            </w:r>
          </w:p>
        </w:tc>
        <w:tc>
          <w:tcPr>
            <w:tcW w:type="dxa" w:w="2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Tabla de recomendaciones de cada componente (Secciones 6.1 a 6.8)</w:t>
            </w:r>
          </w:p>
        </w:tc>
      </w:tr>
      <w:tr>
        <w:trPr>
          <w:cantSplit/>
        </w:trPr>
        <w:tc>
          <w:tcPr>
            <w:tcW w:type="dxa" w:w="2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PA-NN (PA-01 a PA-17)</w:t>
            </w:r>
          </w:p>
        </w:tc>
        <w:tc>
          <w:tcPr>
            <w:tcW w:type="dxa" w:w="3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Acción del plan de acción, con responsable y plazo.</w:t>
            </w:r>
          </w:p>
        </w:tc>
        <w:tc>
          <w:tcPr>
            <w:tcW w:type="dxa" w:w="2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Sección 10 y "Ruta de acción" de cada componente</w:t>
            </w:r>
          </w:p>
        </w:tc>
      </w:tr>
      <w:tr>
        <w:trPr>
          <w:cantSplit/>
        </w:trPr>
        <w:tc>
          <w:tcPr>
            <w:tcW w:type="dxa" w:w="2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OM-NN (OM-01 a OM-17)</w:t>
            </w:r>
          </w:p>
        </w:tc>
        <w:tc>
          <w:tcPr>
            <w:tcW w:type="dxa" w:w="3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Oportunidad de mejora o recomendación del período que no constituye incumplimiento.</w:t>
            </w:r>
          </w:p>
        </w:tc>
        <w:tc>
          <w:tcPr>
            <w:tcW w:type="dxa" w:w="2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Sección 6 (cada componente) y Sección 11.4</w:t>
            </w:r>
          </w:p>
        </w:tc>
      </w:tr>
      <w:tr>
        <w:trPr>
          <w:cantSplit/>
        </w:trPr>
        <w:tc>
          <w:tcPr>
            <w:tcW w:type="dxa" w:w="26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RM-NN (RM-01 a RM-24)</w:t>
            </w:r>
          </w:p>
        </w:tc>
        <w:tc>
          <w:tcPr>
            <w:tcW w:type="dxa" w:w="380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Mejora sugerida para la transición al Acuerdo SSRP 07-2025; no es un incumplimiento del período.</w:t>
            </w:r>
          </w:p>
        </w:tc>
        <w:tc>
          <w:tcPr>
            <w:tcW w:type="dxa" w:w="2960"/>
            <w:tcBorders>
              <w:top w:val="single" w:color="B7C4CA" w:sz="4"/>
              <w:left w:val="single" w:color="B7C4CA" w:sz="4"/>
              <w:bottom w:val="single" w:color="B7C4CA" w:sz="4"/>
              <w:right w:val="single" w:color="B7C4CA" w:sz="4"/>
            </w:tcBorders>
            <w:tcMar>
              <w:top w:type="dxa" w:w="70"/>
              <w:left w:type="dxa" w:w="100"/>
              <w:bottom w:type="dxa" w:w="70"/>
              <w:right w:type="dxa" w:w="100"/>
            </w:tcMar>
            <w:vAlign w:val="top"/>
          </w:tcPr>
          <w:p>
            <w:pPr>
              <w:spacing w:after="40" w:line="252"/>
              <w:jc w:val="left"/>
            </w:pPr>
            <w:r>
              <w:rPr>
                <w:rFonts w:ascii="Arial" w:cs="Arial" w:eastAsia="Arial" w:hAnsi="Arial"/>
                <w:b w:val="false"/>
                <w:bCs w:val="false"/>
                <w:sz w:val="17"/>
                <w:szCs w:val="17"/>
              </w:rPr>
              <w:t xml:space="preserve">Sección 11.3 y fila "Hacia el Acuerdo 07-2025" de cada componente</w:t>
            </w:r>
          </w:p>
        </w:tc>
      </w:tr>
    </w:tbl>
    <w:p>
      <w:pPr>
        <w:pStyle w:val="Heading3"/>
        <w:keepNext/>
      </w:pPr>
      <w:r>
        <w:rPr>
          <w:rFonts w:ascii="Arial" w:cs="Arial" w:eastAsia="Arial" w:hAnsi="Arial"/>
        </w:rPr>
        <w:t xml:space="preserve">Cómo leer un código</w:t>
      </w:r>
    </w:p>
    <w:p>
      <w:pPr>
        <w:spacing w:after="120" w:before="0" w:line="276"/>
        <w:jc w:val="both"/>
      </w:pPr>
      <w:r>
        <w:rPr>
          <w:rFonts w:ascii="Arial" w:cs="Arial" w:eastAsia="Arial" w:hAnsi="Arial"/>
          <w:b w:val="false"/>
          <w:bCs w:val="false"/>
          <w:sz w:val="21"/>
          <w:szCs w:val="21"/>
        </w:rPr>
        <w:t xml:space="preserve">1. La numeración es correlativa dentro de cada componente y no indica prioridad. La prioridad la dan las columnas Nivel y P:I.</w:t>
      </w:r>
    </w:p>
    <w:p>
      <w:pPr>
        <w:spacing w:after="120" w:before="0" w:line="276"/>
        <w:jc w:val="both"/>
      </w:pPr>
      <w:r>
        <w:rPr>
          <w:rFonts w:ascii="Arial" w:cs="Arial" w:eastAsia="Arial" w:hAnsi="Arial"/>
          <w:b w:val="false"/>
          <w:bCs w:val="false"/>
          <w:sz w:val="21"/>
          <w:szCs w:val="21"/>
        </w:rPr>
        <w:t xml:space="preserve">2. P:I muestra la probabilidad y el impacto en una escala de 1 a 5. Su producto da el puntaje: por ejemplo, 3:2 equivale a 6 puntos y corresponde al nivel MEDIO (ver Sección 5).</w:t>
      </w:r>
    </w:p>
    <w:p>
      <w:pPr>
        <w:spacing w:after="120" w:before="0" w:line="276"/>
        <w:jc w:val="both"/>
      </w:pPr>
      <w:r>
        <w:rPr>
          <w:rFonts w:ascii="Arial" w:cs="Arial" w:eastAsia="Arial" w:hAnsi="Arial"/>
          <w:b w:val="false"/>
          <w:bCs w:val="false"/>
          <w:sz w:val="21"/>
          <w:szCs w:val="21"/>
        </w:rPr>
        <w:t xml:space="preserve">3. Un mismo código se usa en la Sección 6, en el registro de brechas de la Sección 7.2, en el plan de acción y en la matriz en Excel, de modo que cada tema puede seguirse con un solo identificador hasta su cierre.</w:t>
      </w:r>
    </w:p>
    <w:sectPr>
      <w:headerReference w:type="default" r:id="rId14"/>
      <w:footerReference w:type="default" r:id="rId15"/>
      <w:pgSz w:w="12240" w:h="15840"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666666"/>
        <w:sz w:val="16"/>
        <w:szCs w:val="16"/>
      </w:rPr>
      <w:t xml:space="preserve">CONFIDENCIAL – Uso exclusivo de Aseguradora Ancón, S.A.  |  GSM Consulting</w:t>
    </w:r>
    <w:r>
      <w:rPr>
        <w:rFonts w:ascii="Arial" w:cs="Arial" w:eastAsia="Arial" w:hAnsi="Arial"/>
        <w:color w:val="666666"/>
        <w:sz w:val="16"/>
        <w:szCs w:val="16"/>
      </w:rPr>
      <w:tab/>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2960"/>
      </w:tabs>
    </w:pPr>
    <w:r>
      <w:rPr>
        <w:rFonts w:ascii="Arial" w:cs="Arial" w:eastAsia="Arial" w:hAnsi="Arial"/>
        <w:color w:val="666666"/>
        <w:sz w:val="16"/>
        <w:szCs w:val="16"/>
      </w:rPr>
      <w:t xml:space="preserve">CONFIDENCIAL – Uso exclusivo de Aseguradora Ancón, S.A.  |  GSM Consulting</w:t>
    </w:r>
    <w:r>
      <w:rPr>
        <w:rFonts w:ascii="Arial" w:cs="Arial" w:eastAsia="Arial" w:hAnsi="Arial"/>
        <w:color w:val="666666"/>
        <w:sz w:val="16"/>
        <w:szCs w:val="16"/>
      </w:rPr>
      <w:tab/>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666666"/>
        <w:sz w:val="16"/>
        <w:szCs w:val="16"/>
      </w:rPr>
      <w:t xml:space="preserve">CONFIDENCIAL – Uso exclusivo de Aseguradora Ancón, S.A.  |  GSM Consulting</w:t>
    </w:r>
    <w:r>
      <w:rPr>
        <w:rFonts w:ascii="Arial" w:cs="Arial" w:eastAsia="Arial" w:hAnsi="Arial"/>
        <w:color w:val="666666"/>
        <w:sz w:val="16"/>
        <w:szCs w:val="16"/>
      </w:rPr>
      <w:tab/>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2960"/>
      </w:tabs>
    </w:pPr>
    <w:r>
      <w:rPr>
        <w:rFonts w:ascii="Arial" w:cs="Arial" w:eastAsia="Arial" w:hAnsi="Arial"/>
        <w:color w:val="666666"/>
        <w:sz w:val="16"/>
        <w:szCs w:val="16"/>
      </w:rPr>
      <w:t xml:space="preserve">CONFIDENCIAL – Uso exclusivo de Aseguradora Ancón, S.A.  |  GSM Consulting</w:t>
    </w:r>
    <w:r>
      <w:rPr>
        <w:rFonts w:ascii="Arial" w:cs="Arial" w:eastAsia="Arial" w:hAnsi="Arial"/>
        <w:color w:val="666666"/>
        <w:sz w:val="16"/>
        <w:szCs w:val="16"/>
      </w:rPr>
      <w:tab/>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666666"/>
        <w:sz w:val="16"/>
        <w:szCs w:val="16"/>
      </w:rPr>
      <w:t xml:space="preserve">CONFIDENCIAL – Uso exclusivo de Aseguradora Ancón, S.A.  |  GSM Consulting</w:t>
    </w:r>
    <w:r>
      <w:rPr>
        <w:rFonts w:ascii="Arial" w:cs="Arial" w:eastAsia="Arial" w:hAnsi="Arial"/>
        <w:color w:val="666666"/>
        <w:sz w:val="16"/>
        <w:szCs w:val="16"/>
      </w:rPr>
      <w:tab/>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822B" w:sz="6" w:space="4"/>
      </w:pBdr>
      <w:tabs>
        <w:tab w:val="right" w:pos="9360"/>
      </w:tabs>
    </w:pPr>
    <w:r>
      <w:rPr>
        <w:rFonts w:ascii="Arial" w:cs="Arial" w:eastAsia="Arial" w:hAnsi="Arial"/>
        <w:color w:val="666666"/>
        <w:sz w:val="16"/>
        <w:szCs w:val="16"/>
      </w:rPr>
      <w:t xml:space="preserve">Evaluación Independiente PBC/FT/FPADM  |  Aseguradora Ancón, S.A.</w:t>
    </w:r>
    <w:r>
      <w:rPr>
        <w:rFonts w:ascii="Arial" w:cs="Arial" w:eastAsia="Arial" w:hAnsi="Arial"/>
        <w:color w:val="666666"/>
        <w:sz w:val="16"/>
        <w:szCs w:val="16"/>
      </w:rPr>
      <w:tab/>
      <w:t xml:space="preserve">Informe Final Consolidado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822B" w:sz="6" w:space="4"/>
      </w:pBdr>
      <w:tabs>
        <w:tab w:val="right" w:pos="12960"/>
      </w:tabs>
    </w:pPr>
    <w:r>
      <w:rPr>
        <w:rFonts w:ascii="Arial" w:cs="Arial" w:eastAsia="Arial" w:hAnsi="Arial"/>
        <w:color w:val="666666"/>
        <w:sz w:val="16"/>
        <w:szCs w:val="16"/>
      </w:rPr>
      <w:t xml:space="preserve">Evaluación Independiente PBC/FT/FPADM  |  Aseguradora Ancón, S.A.</w:t>
    </w:r>
    <w:r>
      <w:rPr>
        <w:rFonts w:ascii="Arial" w:cs="Arial" w:eastAsia="Arial" w:hAnsi="Arial"/>
        <w:color w:val="666666"/>
        <w:sz w:val="16"/>
        <w:szCs w:val="16"/>
      </w:rPr>
      <w:tab/>
      <w:t xml:space="preserve">Informe Final Consolidado</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822B" w:sz="6" w:space="4"/>
      </w:pBdr>
      <w:tabs>
        <w:tab w:val="right" w:pos="9360"/>
      </w:tabs>
    </w:pPr>
    <w:r>
      <w:rPr>
        <w:rFonts w:ascii="Arial" w:cs="Arial" w:eastAsia="Arial" w:hAnsi="Arial"/>
        <w:color w:val="666666"/>
        <w:sz w:val="16"/>
        <w:szCs w:val="16"/>
      </w:rPr>
      <w:t xml:space="preserve">Evaluación Independiente PBC/FT/FPADM  |  Aseguradora Ancón, S.A.</w:t>
    </w:r>
    <w:r>
      <w:rPr>
        <w:rFonts w:ascii="Arial" w:cs="Arial" w:eastAsia="Arial" w:hAnsi="Arial"/>
        <w:color w:val="666666"/>
        <w:sz w:val="16"/>
        <w:szCs w:val="16"/>
      </w:rPr>
      <w:tab/>
      <w:t xml:space="preserve">Informe Final Consolidado</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822B" w:sz="6" w:space="4"/>
      </w:pBdr>
      <w:tabs>
        <w:tab w:val="right" w:pos="12960"/>
      </w:tabs>
    </w:pPr>
    <w:r>
      <w:rPr>
        <w:rFonts w:ascii="Arial" w:cs="Arial" w:eastAsia="Arial" w:hAnsi="Arial"/>
        <w:color w:val="666666"/>
        <w:sz w:val="16"/>
        <w:szCs w:val="16"/>
      </w:rPr>
      <w:t xml:space="preserve">Evaluación Independiente PBC/FT/FPADM  |  Aseguradora Ancón, S.A.</w:t>
    </w:r>
    <w:r>
      <w:rPr>
        <w:rFonts w:ascii="Arial" w:cs="Arial" w:eastAsia="Arial" w:hAnsi="Arial"/>
        <w:color w:val="666666"/>
        <w:sz w:val="16"/>
        <w:szCs w:val="16"/>
      </w:rPr>
      <w:tab/>
      <w:t xml:space="preserve">Informe Final Consolidado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822B" w:sz="6" w:space="4"/>
      </w:pBdr>
      <w:tabs>
        <w:tab w:val="right" w:pos="9360"/>
      </w:tabs>
    </w:pPr>
    <w:r>
      <w:rPr>
        <w:rFonts w:ascii="Arial" w:cs="Arial" w:eastAsia="Arial" w:hAnsi="Arial"/>
        <w:color w:val="666666"/>
        <w:sz w:val="16"/>
        <w:szCs w:val="16"/>
      </w:rPr>
      <w:t xml:space="preserve">Evaluación Independiente PBC/FT/FPADM  |  Aseguradora Ancón, S.A.</w:t>
    </w:r>
    <w:r>
      <w:rPr>
        <w:rFonts w:ascii="Arial" w:cs="Arial" w:eastAsia="Arial" w:hAnsi="Arial"/>
        <w:color w:val="666666"/>
        <w:sz w:val="16"/>
        <w:szCs w:val="16"/>
      </w:rPr>
      <w:tab/>
      <w:t xml:space="preserve">Informe Final Consolidado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lvl>
  </w:abstractNum>
  <w:abstractNum w:abstractNumId="3" w15:restartNumberingAfterBreak="0">
    <w:multiLevelType w:val="hybridMultilevel"/>
    <w:lvl w:ilvl="0" w:tentative="1">
      <w:start w:val="1"/>
      <w:numFmt w:val="decimal"/>
      <w:lvlText w:val="%1."/>
      <w:lvlJc w:val="left"/>
      <w:pPr>
        <w:ind w:left="440" w:hanging="360"/>
      </w:pPr>
    </w:lvl>
  </w:abstractNum>
  <w:abstractNum w:abstractNumId="4"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9822B" w:sz="8" w:space="4"/>
      </w:pBdr>
      <w:spacing w:after="200" w:before="120"/>
      <w:outlineLvl w:val="0"/>
    </w:pPr>
    <w:rPr>
      <w:rFonts w:ascii="Arial" w:cs="Arial" w:eastAsia="Arial" w:hAnsi="Arial"/>
      <w:b/>
      <w:bCs/>
      <w:color w:val="2F4F5F"/>
      <w:sz w:val="30"/>
      <w:szCs w:val="30"/>
    </w:rPr>
  </w:style>
  <w:style w:type="paragraph" w:styleId="Heading2">
    <w:name w:val="Heading 2"/>
    <w:basedOn w:val="Normal"/>
    <w:next w:val="Normal"/>
    <w:qFormat/>
    <w:pPr>
      <w:keepNext/>
      <w:spacing w:after="140" w:before="240"/>
      <w:outlineLvl w:val="1"/>
    </w:pPr>
    <w:rPr>
      <w:rFonts w:ascii="Arial" w:cs="Arial" w:eastAsia="Arial" w:hAnsi="Arial"/>
      <w:b/>
      <w:bCs/>
      <w:color w:val="2F4F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D9822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theme" Target="theme/theme1.xm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Consolidado – Evaluación Independiente PBC/FT/FPADM – Aseguradora Ancón</dc:title>
  <dc:creator>GSM Consulting</dc:creator>
  <cp:lastModifiedBy>Un-named</cp:lastModifiedBy>
  <cp:revision>1</cp:revision>
  <dcterms:created xsi:type="dcterms:W3CDTF">2026-10-06T02:50:29.242Z</dcterms:created>
  <dcterms:modified xsi:type="dcterms:W3CDTF">2026-10-06T02:50:29.242Z</dcterms:modified>
</cp:coreProperties>
</file>

<file path=docProps/custom.xml><?xml version="1.0" encoding="utf-8"?>
<Properties xmlns="http://schemas.openxmlformats.org/officeDocument/2006/custom-properties" xmlns:vt="http://schemas.openxmlformats.org/officeDocument/2006/docPropsVTypes"/>
</file>