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Professional Relations Platform</w:t>
      </w:r>
    </w:p>
    <w:p>
      <w:pPr>
        <w:jc w:val="center"/>
      </w:pPr>
      <w:r>
        <w:rPr>
          <w:color w:val="595959"/>
          <w:sz w:val="24"/>
        </w:rPr>
        <w:t>Version 1 — Completed Engineering Specification</w:t>
      </w:r>
    </w:p>
    <w:p>
      <w:pPr>
        <w:pStyle w:val="SpecNote"/>
      </w:pPr>
      <w:r>
        <w:t>Status: Product decisions frozen; engineering/build phase.</w:t>
      </w:r>
    </w:p>
    <w:p>
      <w:r>
        <w:t>Purpose: Define the complete implementation contract for Version 1 of the Professional Relations Platform. This document consolidates approved requirements, data structures, workflows, routing logic, AI behavior, visibility rules, reporting, architecture, and acceptance criteria. It is the source of truth for implementation.</w:t>
      </w:r>
    </w:p>
    <w:p>
      <w:r>
        <w:t>Important control: Do not add features, dashboards, workflows, or user-experience changes unless explicitly approved. Implementation questions may be resolved, but product behavior is frozen.</w:t>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Item</w:t>
            </w:r>
          </w:p>
        </w:tc>
        <w:tc>
          <w:tcPr>
            <w:tcW w:type="dxa" w:w="4968"/>
            <w:vAlign w:val="center"/>
            <w:shd w:fill="D9EAF7"/>
          </w:tcPr>
          <w:p>
            <w:r>
              <w:rPr>
                <w:b/>
              </w:rPr>
              <w:t>Value</w:t>
            </w:r>
          </w:p>
        </w:tc>
      </w:tr>
      <w:tr>
        <w:tc>
          <w:tcPr>
            <w:tcW w:type="dxa" w:w="4968"/>
          </w:tcPr>
          <w:p>
            <w:r>
              <w:t>Product</w:t>
            </w:r>
          </w:p>
        </w:tc>
        <w:tc>
          <w:tcPr>
            <w:tcW w:type="dxa" w:w="4968"/>
          </w:tcPr>
          <w:p>
            <w:r>
              <w:t>Professional Relations Platform</w:t>
            </w:r>
          </w:p>
        </w:tc>
      </w:tr>
      <w:tr>
        <w:tc>
          <w:tcPr>
            <w:tcW w:type="dxa" w:w="4968"/>
          </w:tcPr>
          <w:p>
            <w:r>
              <w:t>Release</w:t>
            </w:r>
          </w:p>
        </w:tc>
        <w:tc>
          <w:tcPr>
            <w:tcW w:type="dxa" w:w="4968"/>
          </w:tcPr>
          <w:p>
            <w:r>
              <w:t>Version 1</w:t>
            </w:r>
          </w:p>
        </w:tc>
      </w:tr>
      <w:tr>
        <w:tc>
          <w:tcPr>
            <w:tcW w:type="dxa" w:w="4968"/>
          </w:tcPr>
          <w:p>
            <w:r>
              <w:t>Phase</w:t>
            </w:r>
          </w:p>
        </w:tc>
        <w:tc>
          <w:tcPr>
            <w:tcW w:type="dxa" w:w="4968"/>
          </w:tcPr>
          <w:p>
            <w:r>
              <w:t>Engineering / Build</w:t>
            </w:r>
          </w:p>
        </w:tc>
      </w:tr>
      <w:tr>
        <w:tc>
          <w:tcPr>
            <w:tcW w:type="dxa" w:w="4968"/>
          </w:tcPr>
          <w:p>
            <w:r>
              <w:t>Primary User</w:t>
            </w:r>
          </w:p>
        </w:tc>
        <w:tc>
          <w:tcPr>
            <w:tcW w:type="dxa" w:w="4968"/>
          </w:tcPr>
          <w:p>
            <w:r>
              <w:t>Professional Relations Consultant</w:t>
            </w:r>
          </w:p>
        </w:tc>
      </w:tr>
      <w:tr>
        <w:tc>
          <w:tcPr>
            <w:tcW w:type="dxa" w:w="4968"/>
          </w:tcPr>
          <w:p>
            <w:r>
              <w:t>Secondary User</w:t>
            </w:r>
          </w:p>
        </w:tc>
        <w:tc>
          <w:tcPr>
            <w:tcW w:type="dxa" w:w="4968"/>
          </w:tcPr>
          <w:p>
            <w:r>
              <w:t>Leadership</w:t>
            </w:r>
          </w:p>
        </w:tc>
      </w:tr>
      <w:tr>
        <w:tc>
          <w:tcPr>
            <w:tcW w:type="dxa" w:w="4968"/>
          </w:tcPr>
          <w:p>
            <w:r>
              <w:t>Initial Hosting</w:t>
            </w:r>
          </w:p>
        </w:tc>
        <w:tc>
          <w:tcPr>
            <w:tcW w:type="dxa" w:w="4968"/>
          </w:tcPr>
          <w:p>
            <w:r>
              <w:t>GitHub + Streamlit Community Cloud</w:t>
            </w:r>
          </w:p>
        </w:tc>
      </w:tr>
      <w:tr>
        <w:tc>
          <w:tcPr>
            <w:tcW w:type="dxa" w:w="4968"/>
          </w:tcPr>
          <w:p>
            <w:r>
              <w:t>Persistence</w:t>
            </w:r>
          </w:p>
        </w:tc>
        <w:tc>
          <w:tcPr>
            <w:tcW w:type="dxa" w:w="4968"/>
          </w:tcPr>
          <w:p>
            <w:r>
              <w:t>Free hosted database; local Streamlit storage is not authoritative</w:t>
            </w:r>
          </w:p>
        </w:tc>
      </w:tr>
      <w:tr>
        <w:tc>
          <w:tcPr>
            <w:tcW w:type="dxa" w:w="4968"/>
          </w:tcPr>
          <w:p>
            <w:r>
              <w:t>Specification Status</w:t>
            </w:r>
          </w:p>
        </w:tc>
        <w:tc>
          <w:tcPr>
            <w:tcW w:type="dxa" w:w="4968"/>
          </w:tcPr>
          <w:p>
            <w:r>
              <w:t>Frozen for implementation</w:t>
            </w:r>
          </w:p>
        </w:tc>
      </w:tr>
    </w:tbl>
    <w:p>
      <w:pPr>
        <w:pStyle w:val="Heading1"/>
      </w:pPr>
      <w:r>
        <w:t>1. Product Scope and Operating Principles</w:t>
      </w:r>
    </w:p>
    <w:p>
      <w:pPr>
        <w:pStyle w:val="Heading2"/>
      </w:pPr>
      <w:r>
        <w:t>1.1 Version 1 Objective</w:t>
      </w:r>
    </w:p>
    <w:p>
      <w:r>
        <w:t>Version 1 replaces the consultant’s fragmented spreadsheet workflow with a private, practical web application for territory planning, visit execution, relationship memory, referral analysis, leadership publication, and reporting.</w:t>
      </w:r>
    </w:p>
    <w:p>
      <w:pPr>
        <w:pStyle w:val="Heading2"/>
      </w:pPr>
      <w:r>
        <w:t>1.2 Core Principles</w:t>
      </w:r>
    </w:p>
    <w:p>
      <w:pPr>
        <w:pStyle w:val="ListBullet"/>
      </w:pPr>
      <w:r>
        <w:t>Consultant control overrides automation.</w:t>
      </w:r>
    </w:p>
    <w:p>
      <w:pPr>
        <w:pStyle w:val="ListBullet"/>
      </w:pPr>
      <w:r>
        <w:t>The system supports the consultant’s workflow rather than policing or micromanaging it.</w:t>
      </w:r>
    </w:p>
    <w:p>
      <w:pPr>
        <w:pStyle w:val="ListBullet"/>
      </w:pPr>
      <w:r>
        <w:t>One physical location equals one Practice record.</w:t>
      </w:r>
    </w:p>
    <w:p>
      <w:pPr>
        <w:pStyle w:val="ListBullet"/>
      </w:pPr>
      <w:r>
        <w:t>Referrals belong to doctors, not inferred office locations.</w:t>
      </w:r>
    </w:p>
    <w:p>
      <w:pPr>
        <w:pStyle w:val="ListBullet"/>
      </w:pPr>
      <w:r>
        <w:t>AI proposes; the consultant approves.</w:t>
      </w:r>
    </w:p>
    <w:p>
      <w:pPr>
        <w:pStyle w:val="ListBullet"/>
      </w:pPr>
      <w:r>
        <w:t>Leadership sees finalized business information only.</w:t>
      </w:r>
    </w:p>
    <w:p>
      <w:pPr>
        <w:pStyle w:val="ListBullet"/>
      </w:pPr>
      <w:r>
        <w:t>Routing balances relationship strategy, cadence, geography, and real commitments—not referral volume alone.</w:t>
      </w:r>
    </w:p>
    <w:p>
      <w:pPr>
        <w:pStyle w:val="ListBullet"/>
      </w:pPr>
      <w:r>
        <w:t>Version 1 remains simple, free to host initially, and compatible with Streamlit.</w:t>
      </w:r>
    </w:p>
    <w:p>
      <w:pPr>
        <w:pStyle w:val="Heading2"/>
      </w:pPr>
      <w:r>
        <w:t>1.3 Explicitly Out of Scope for Version 1</w:t>
      </w:r>
    </w:p>
    <w:p>
      <w:pPr>
        <w:pStyle w:val="ListBullet"/>
      </w:pPr>
      <w:r>
        <w:t>No second consultant or multi-territory workforce management.</w:t>
      </w:r>
    </w:p>
    <w:p>
      <w:pPr>
        <w:pStyle w:val="ListBullet"/>
      </w:pPr>
      <w:r>
        <w:t>No arrival/departure time tracking or consultant activity timeline.</w:t>
      </w:r>
    </w:p>
    <w:p>
      <w:pPr>
        <w:pStyle w:val="ListBullet"/>
      </w:pPr>
      <w:r>
        <w:t>No parent-company or brand hierarchy linking practices.</w:t>
      </w:r>
    </w:p>
    <w:p>
      <w:pPr>
        <w:pStyle w:val="ListBullet"/>
      </w:pPr>
      <w:r>
        <w:t>No automatic practice attribution for referrals.</w:t>
      </w:r>
    </w:p>
    <w:p>
      <w:pPr>
        <w:pStyle w:val="ListBullet"/>
      </w:pPr>
      <w:r>
        <w:t>No EHR/EMR integration.</w:t>
      </w:r>
    </w:p>
    <w:p>
      <w:pPr>
        <w:pStyle w:val="ListBullet"/>
      </w:pPr>
      <w:r>
        <w:t>No automatic office-hours scraping.</w:t>
      </w:r>
    </w:p>
    <w:p>
      <w:pPr>
        <w:pStyle w:val="ListBullet"/>
      </w:pPr>
      <w:r>
        <w:t>No push notification system.</w:t>
      </w:r>
    </w:p>
    <w:p>
      <w:pPr>
        <w:pStyle w:val="ListBullet"/>
      </w:pPr>
      <w:r>
        <w:t>No mileage or expense module.</w:t>
      </w:r>
    </w:p>
    <w:p>
      <w:pPr>
        <w:pStyle w:val="ListBullet"/>
      </w:pPr>
      <w:r>
        <w:t>No advanced attachments or doctor-photo workflow.</w:t>
      </w:r>
    </w:p>
    <w:p>
      <w:pPr>
        <w:pStyle w:val="ListBullet"/>
      </w:pPr>
      <w:r>
        <w:t>No new dashboards beyond approved Command Center and leadership reporting behavior.</w:t>
      </w:r>
    </w:p>
    <w:p>
      <w:pPr>
        <w:pStyle w:val="Heading1"/>
      </w:pPr>
      <w:r>
        <w:t>2. Roles, Access, and Publication Boundary</w:t>
      </w:r>
    </w:p>
    <w:p>
      <w:pPr>
        <w:pStyle w:val="Heading2"/>
      </w:pPr>
      <w:r>
        <w:t>2.1 Roles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Role</w:t>
            </w:r>
          </w:p>
        </w:tc>
        <w:tc>
          <w:tcPr>
            <w:tcW w:type="dxa" w:w="4968"/>
            <w:vAlign w:val="center"/>
            <w:shd w:fill="D9EAF7"/>
          </w:tcPr>
          <w:p>
            <w:r>
              <w:rPr>
                <w:b/>
              </w:rPr>
              <w:t>Capabilities</w:t>
            </w:r>
          </w:p>
        </w:tc>
      </w:tr>
      <w:tr>
        <w:tc>
          <w:tcPr>
            <w:tcW w:type="dxa" w:w="4968"/>
          </w:tcPr>
          <w:p>
            <w:r>
              <w:t>Consultant</w:t>
            </w:r>
          </w:p>
        </w:tc>
        <w:tc>
          <w:tcPr>
            <w:tcW w:type="dxa" w:w="4968"/>
          </w:tcPr>
          <w:p>
            <w:r>
              <w:t>Full territory management, planning, routing, visits, notes, AI review, relationship status, imports, reporting, manual overrides, reopening finalized days.</w:t>
            </w:r>
          </w:p>
        </w:tc>
      </w:tr>
      <w:tr>
        <w:tc>
          <w:tcPr>
            <w:tcW w:type="dxa" w:w="4968"/>
          </w:tcPr>
          <w:p>
            <w:r>
              <w:t>Leadership</w:t>
            </w:r>
          </w:p>
        </w:tc>
        <w:tc>
          <w:tcPr>
            <w:tcW w:type="dxa" w:w="4968"/>
          </w:tcPr>
          <w:p>
            <w:r>
              <w:t>Read-only access to finalized, approved business information and approved reports. No access to drafts, AI suggestions, private notes, route edits, timestamps, or deferred stops as missed visits.</w:t>
            </w:r>
          </w:p>
        </w:tc>
      </w:tr>
    </w:tbl>
    <w:p>
      <w:pPr>
        <w:pStyle w:val="Heading2"/>
      </w:pPr>
      <w:r>
        <w:t>2.2 Publication Rule</w:t>
      </w:r>
    </w:p>
    <w:p>
      <w:r>
        <w:t>The workday—not the individual visit—is the publication boundary. Finalizing a visit does not publish it. Finalizing the workday atomically publishes all eligible information for that day.</w:t>
      </w:r>
    </w:p>
    <w:p>
      <w:pPr>
        <w:pStyle w:val="Heading2"/>
      </w:pPr>
      <w:r>
        <w:t>2.3 Leadership Exclusions</w:t>
      </w:r>
    </w:p>
    <w:p>
      <w:pPr>
        <w:pStyle w:val="ListBullet"/>
      </w:pPr>
      <w:r>
        <w:t>Draft notes</w:t>
      </w:r>
    </w:p>
    <w:p>
      <w:pPr>
        <w:pStyle w:val="ListBullet"/>
      </w:pPr>
      <w:r>
        <w:t>Voice recordings</w:t>
      </w:r>
    </w:p>
    <w:p>
      <w:pPr>
        <w:pStyle w:val="ListBullet"/>
      </w:pPr>
      <w:r>
        <w:t>Rejected or pending AI suggestions</w:t>
      </w:r>
    </w:p>
    <w:p>
      <w:pPr>
        <w:pStyle w:val="ListBullet"/>
      </w:pPr>
      <w:r>
        <w:t>Consultant-private intelligence</w:t>
      </w:r>
    </w:p>
    <w:p>
      <w:pPr>
        <w:pStyle w:val="ListBullet"/>
      </w:pPr>
      <w:r>
        <w:t>Route reorder history</w:t>
      </w:r>
    </w:p>
    <w:p>
      <w:pPr>
        <w:pStyle w:val="ListBullet"/>
      </w:pPr>
      <w:r>
        <w:t>Business-event timestamps used as activity surveillance</w:t>
      </w:r>
    </w:p>
    <w:p>
      <w:pPr>
        <w:pStyle w:val="ListBullet"/>
      </w:pPr>
      <w:r>
        <w:t>Deferred Practices shown as missed visits</w:t>
      </w:r>
    </w:p>
    <w:p>
      <w:pPr>
        <w:pStyle w:val="ListBullet"/>
      </w:pPr>
      <w:r>
        <w:t>Unfinalized workdays</w:t>
      </w:r>
    </w:p>
    <w:p>
      <w:pPr>
        <w:pStyle w:val="Heading1"/>
      </w:pPr>
      <w:r>
        <w:t>3. Data Model</w:t>
      </w:r>
    </w:p>
    <w:p>
      <w:pPr>
        <w:pStyle w:val="Heading2"/>
      </w:pPr>
      <w:r>
        <w:t>3.1 Practice</w:t>
      </w:r>
    </w:p>
    <w:p>
      <w:r>
        <w:t>A Practice represents one physical office location. “Practice” and “Office” are interchangeable in product language. Multiple locations sharing a brand remain independent records and are not linked through a parent organization.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Field</w:t>
            </w:r>
          </w:p>
        </w:tc>
        <w:tc>
          <w:tcPr>
            <w:tcW w:type="dxa" w:w="4968"/>
            <w:vAlign w:val="center"/>
            <w:shd w:fill="D9EAF7"/>
          </w:tcPr>
          <w:p>
            <w:r>
              <w:rPr>
                <w:b/>
              </w:rPr>
              <w:t>Requirement</w:t>
            </w:r>
          </w:p>
        </w:tc>
      </w:tr>
      <w:tr>
        <w:tc>
          <w:tcPr>
            <w:tcW w:type="dxa" w:w="4968"/>
          </w:tcPr>
          <w:p>
            <w:r>
              <w:t>practice_id</w:t>
            </w:r>
          </w:p>
        </w:tc>
        <w:tc>
          <w:tcPr>
            <w:tcW w:type="dxa" w:w="4968"/>
          </w:tcPr>
          <w:p>
            <w:r>
              <w:t>Unique identifier</w:t>
            </w:r>
          </w:p>
        </w:tc>
      </w:tr>
      <w:tr>
        <w:tc>
          <w:tcPr>
            <w:tcW w:type="dxa" w:w="4968"/>
          </w:tcPr>
          <w:p>
            <w:r>
              <w:t>name</w:t>
            </w:r>
          </w:p>
        </w:tc>
        <w:tc>
          <w:tcPr>
            <w:tcW w:type="dxa" w:w="4968"/>
          </w:tcPr>
          <w:p>
            <w:r>
              <w:t>Office/practice name</w:t>
            </w:r>
          </w:p>
        </w:tc>
      </w:tr>
      <w:tr>
        <w:tc>
          <w:tcPr>
            <w:tcW w:type="dxa" w:w="4968"/>
          </w:tcPr>
          <w:p>
            <w:r>
              <w:t>address</w:t>
            </w:r>
          </w:p>
        </w:tc>
        <w:tc>
          <w:tcPr>
            <w:tcW w:type="dxa" w:w="4968"/>
          </w:tcPr>
          <w:p>
            <w:r>
              <w:t>Street address</w:t>
            </w:r>
          </w:p>
        </w:tc>
      </w:tr>
      <w:tr>
        <w:tc>
          <w:tcPr>
            <w:tcW w:type="dxa" w:w="4968"/>
          </w:tcPr>
          <w:p>
            <w:r>
              <w:t>city</w:t>
            </w:r>
          </w:p>
        </w:tc>
        <w:tc>
          <w:tcPr>
            <w:tcW w:type="dxa" w:w="4968"/>
          </w:tcPr>
          <w:p>
            <w:r>
              <w:t>City</w:t>
            </w:r>
          </w:p>
        </w:tc>
      </w:tr>
      <w:tr>
        <w:tc>
          <w:tcPr>
            <w:tcW w:type="dxa" w:w="4968"/>
          </w:tcPr>
          <w:p>
            <w:r>
              <w:t>state</w:t>
            </w:r>
          </w:p>
        </w:tc>
        <w:tc>
          <w:tcPr>
            <w:tcW w:type="dxa" w:w="4968"/>
          </w:tcPr>
          <w:p>
            <w:r>
              <w:t>State</w:t>
            </w:r>
          </w:p>
        </w:tc>
      </w:tr>
      <w:tr>
        <w:tc>
          <w:tcPr>
            <w:tcW w:type="dxa" w:w="4968"/>
          </w:tcPr>
          <w:p>
            <w:r>
              <w:t>zip_code</w:t>
            </w:r>
          </w:p>
        </w:tc>
        <w:tc>
          <w:tcPr>
            <w:tcW w:type="dxa" w:w="4968"/>
          </w:tcPr>
          <w:p>
            <w:r>
              <w:t>ZIP code</w:t>
            </w:r>
          </w:p>
        </w:tc>
      </w:tr>
      <w:tr>
        <w:tc>
          <w:tcPr>
            <w:tcW w:type="dxa" w:w="4968"/>
          </w:tcPr>
          <w:p>
            <w:r>
              <w:t>territory</w:t>
            </w:r>
          </w:p>
        </w:tc>
        <w:tc>
          <w:tcPr>
            <w:tcW w:type="dxa" w:w="4968"/>
          </w:tcPr>
          <w:p>
            <w:r>
              <w:t>Approved geographic territory or route area</w:t>
            </w:r>
          </w:p>
        </w:tc>
      </w:tr>
      <w:tr>
        <w:tc>
          <w:tcPr>
            <w:tcW w:type="dxa" w:w="4968"/>
          </w:tcPr>
          <w:p>
            <w:r>
              <w:t>routable</w:t>
            </w:r>
          </w:p>
        </w:tc>
        <w:tc>
          <w:tcPr>
            <w:tcW w:type="dxa" w:w="4968"/>
          </w:tcPr>
          <w:p>
            <w:r>
              <w:t>Boolean</w:t>
            </w:r>
          </w:p>
        </w:tc>
      </w:tr>
      <w:tr>
        <w:tc>
          <w:tcPr>
            <w:tcW w:type="dxa" w:w="4968"/>
          </w:tcPr>
          <w:p>
            <w:r>
              <w:t>active</w:t>
            </w:r>
          </w:p>
        </w:tc>
        <w:tc>
          <w:tcPr>
            <w:tcW w:type="dxa" w:w="4968"/>
          </w:tcPr>
          <w:p>
            <w:r>
              <w:t>Boolean</w:t>
            </w:r>
          </w:p>
        </w:tc>
      </w:tr>
      <w:tr>
        <w:tc>
          <w:tcPr>
            <w:tcW w:type="dxa" w:w="4968"/>
          </w:tcPr>
          <w:p>
            <w:r>
              <w:t>scheduling_notes</w:t>
            </w:r>
          </w:p>
        </w:tc>
        <w:tc>
          <w:tcPr>
            <w:tcW w:type="dxa" w:w="4968"/>
          </w:tcPr>
          <w:p>
            <w:r>
              <w:t>Hours or logistics only when useful for scheduling</w:t>
            </w:r>
          </w:p>
        </w:tc>
      </w:tr>
      <w:tr>
        <w:tc>
          <w:tcPr>
            <w:tcW w:type="dxa" w:w="4968"/>
          </w:tcPr>
          <w:p>
            <w:r>
              <w:t>created_at / updated_at</w:t>
            </w:r>
          </w:p>
        </w:tc>
        <w:tc>
          <w:tcPr>
            <w:tcW w:type="dxa" w:w="4968"/>
          </w:tcPr>
          <w:p>
            <w:r>
              <w:t>System audit metadata</w:t>
            </w:r>
          </w:p>
        </w:tc>
      </w:tr>
    </w:tbl>
    <w:p>
      <w:pPr>
        <w:pStyle w:val="Heading2"/>
      </w:pPr>
      <w:r>
        <w:t>3.2 Doctor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Field</w:t>
            </w:r>
          </w:p>
        </w:tc>
        <w:tc>
          <w:tcPr>
            <w:tcW w:type="dxa" w:w="4968"/>
            <w:vAlign w:val="center"/>
            <w:shd w:fill="D9EAF7"/>
          </w:tcPr>
          <w:p>
            <w:r>
              <w:rPr>
                <w:b/>
              </w:rPr>
              <w:t>Requirement</w:t>
            </w:r>
          </w:p>
        </w:tc>
      </w:tr>
      <w:tr>
        <w:tc>
          <w:tcPr>
            <w:tcW w:type="dxa" w:w="4968"/>
          </w:tcPr>
          <w:p>
            <w:r>
              <w:t>doctor_id</w:t>
            </w:r>
          </w:p>
        </w:tc>
        <w:tc>
          <w:tcPr>
            <w:tcW w:type="dxa" w:w="4968"/>
          </w:tcPr>
          <w:p>
            <w:r>
              <w:t>Unique identifier</w:t>
            </w:r>
          </w:p>
        </w:tc>
      </w:tr>
      <w:tr>
        <w:tc>
          <w:tcPr>
            <w:tcW w:type="dxa" w:w="4968"/>
          </w:tcPr>
          <w:p>
            <w:r>
              <w:t>first_name / last_name</w:t>
            </w:r>
          </w:p>
        </w:tc>
        <w:tc>
          <w:tcPr>
            <w:tcW w:type="dxa" w:w="4968"/>
          </w:tcPr>
          <w:p>
            <w:r>
              <w:t>Canonical doctor identity</w:t>
            </w:r>
          </w:p>
        </w:tc>
      </w:tr>
      <w:tr>
        <w:tc>
          <w:tcPr>
            <w:tcW w:type="dxa" w:w="4968"/>
          </w:tcPr>
          <w:p>
            <w:r>
              <w:t>credentials</w:t>
            </w:r>
          </w:p>
        </w:tc>
        <w:tc>
          <w:tcPr>
            <w:tcW w:type="dxa" w:w="4968"/>
          </w:tcPr>
          <w:p>
            <w:r>
              <w:t>OD/MD/etc. when supplied</w:t>
            </w:r>
          </w:p>
        </w:tc>
      </w:tr>
      <w:tr>
        <w:tc>
          <w:tcPr>
            <w:tcW w:type="dxa" w:w="4968"/>
          </w:tcPr>
          <w:p>
            <w:r>
              <w:t>active</w:t>
            </w:r>
          </w:p>
        </w:tc>
        <w:tc>
          <w:tcPr>
            <w:tcW w:type="dxa" w:w="4968"/>
          </w:tcPr>
          <w:p>
            <w:r>
              <w:t>Boolean</w:t>
            </w:r>
          </w:p>
        </w:tc>
      </w:tr>
      <w:tr>
        <w:tc>
          <w:tcPr>
            <w:tcW w:type="dxa" w:w="4968"/>
          </w:tcPr>
          <w:p>
            <w:r>
              <w:t>relationship_status</w:t>
            </w:r>
          </w:p>
        </w:tc>
        <w:tc>
          <w:tcPr>
            <w:tcW w:type="dxa" w:w="4968"/>
          </w:tcPr>
          <w:p>
            <w:r>
              <w:t>Maintain, Build, Rebuild, Monitor, Reduced Frequency, Paused, or Do Not Prioritize</w:t>
            </w:r>
          </w:p>
        </w:tc>
      </w:tr>
      <w:tr>
        <w:tc>
          <w:tcPr>
            <w:tcW w:type="dxa" w:w="4968"/>
          </w:tcPr>
          <w:p>
            <w:r>
              <w:t>new_referrer</w:t>
            </w:r>
          </w:p>
        </w:tc>
        <w:tc>
          <w:tcPr>
            <w:tcW w:type="dxa" w:w="4968"/>
          </w:tcPr>
          <w:p>
            <w:r>
              <w:t>Boolean or derived status</w:t>
            </w:r>
          </w:p>
        </w:tc>
      </w:tr>
      <w:tr>
        <w:tc>
          <w:tcPr>
            <w:tcW w:type="dxa" w:w="4968"/>
          </w:tcPr>
          <w:p>
            <w:r>
              <w:t>manual_priority</w:t>
            </w:r>
          </w:p>
        </w:tc>
        <w:tc>
          <w:tcPr>
            <w:tcW w:type="dxa" w:w="4968"/>
          </w:tcPr>
          <w:p>
            <w:r>
              <w:t>Optional consultant-controlled priority</w:t>
            </w:r>
          </w:p>
        </w:tc>
      </w:tr>
      <w:tr>
        <w:tc>
          <w:tcPr>
            <w:tcW w:type="dxa" w:w="4968"/>
          </w:tcPr>
          <w:p>
            <w:r>
              <w:t>notes_summary</w:t>
            </w:r>
          </w:p>
        </w:tc>
        <w:tc>
          <w:tcPr>
            <w:tcW w:type="dxa" w:w="4968"/>
          </w:tcPr>
          <w:p>
            <w:r>
              <w:t>Approved relationship context only</w:t>
            </w:r>
          </w:p>
        </w:tc>
      </w:tr>
      <w:tr>
        <w:tc>
          <w:tcPr>
            <w:tcW w:type="dxa" w:w="4968"/>
          </w:tcPr>
          <w:p>
            <w:r>
              <w:t>created_at / updated_at</w:t>
            </w:r>
          </w:p>
        </w:tc>
        <w:tc>
          <w:tcPr>
            <w:tcW w:type="dxa" w:w="4968"/>
          </w:tcPr>
          <w:p>
            <w:r>
              <w:t>System metadata</w:t>
            </w:r>
          </w:p>
        </w:tc>
      </w:tr>
    </w:tbl>
    <w:p>
      <w:pPr>
        <w:pStyle w:val="Heading2"/>
      </w:pPr>
      <w:r>
        <w:t>3.3 Doctor-Practice Association</w:t>
      </w:r>
    </w:p>
    <w:p>
      <w:r>
        <w:t>Doctors may be associated with multiple Practices. No Practice is designated primary. Visit history remains attached to the actual Practice and doctor credit, while referral history remains attached to the doctor.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Field</w:t>
            </w:r>
          </w:p>
        </w:tc>
        <w:tc>
          <w:tcPr>
            <w:tcW w:type="dxa" w:w="4968"/>
            <w:vAlign w:val="center"/>
            <w:shd w:fill="D9EAF7"/>
          </w:tcPr>
          <w:p>
            <w:r>
              <w:rPr>
                <w:b/>
              </w:rPr>
              <w:t>Requirement</w:t>
            </w:r>
          </w:p>
        </w:tc>
      </w:tr>
      <w:tr>
        <w:tc>
          <w:tcPr>
            <w:tcW w:type="dxa" w:w="4968"/>
          </w:tcPr>
          <w:p>
            <w:r>
              <w:t>doctor_id</w:t>
            </w:r>
          </w:p>
        </w:tc>
        <w:tc>
          <w:tcPr>
            <w:tcW w:type="dxa" w:w="4968"/>
          </w:tcPr>
          <w:p>
            <w:r>
              <w:t>Foreign key</w:t>
            </w:r>
          </w:p>
        </w:tc>
      </w:tr>
      <w:tr>
        <w:tc>
          <w:tcPr>
            <w:tcW w:type="dxa" w:w="4968"/>
          </w:tcPr>
          <w:p>
            <w:r>
              <w:t>practice_id</w:t>
            </w:r>
          </w:p>
        </w:tc>
        <w:tc>
          <w:tcPr>
            <w:tcW w:type="dxa" w:w="4968"/>
          </w:tcPr>
          <w:p>
            <w:r>
              <w:t>Foreign key</w:t>
            </w:r>
          </w:p>
        </w:tc>
      </w:tr>
      <w:tr>
        <w:tc>
          <w:tcPr>
            <w:tcW w:type="dxa" w:w="4968"/>
          </w:tcPr>
          <w:p>
            <w:r>
              <w:t>active</w:t>
            </w:r>
          </w:p>
        </w:tc>
        <w:tc>
          <w:tcPr>
            <w:tcW w:type="dxa" w:w="4968"/>
          </w:tcPr>
          <w:p>
            <w:r>
              <w:t>Association status</w:t>
            </w:r>
          </w:p>
        </w:tc>
      </w:tr>
      <w:tr>
        <w:tc>
          <w:tcPr>
            <w:tcW w:type="dxa" w:w="4968"/>
          </w:tcPr>
          <w:p>
            <w:r>
              <w:t>schedule_relevance</w:t>
            </w:r>
          </w:p>
        </w:tc>
        <w:tc>
          <w:tcPr>
            <w:tcW w:type="dxa" w:w="4968"/>
          </w:tcPr>
          <w:p>
            <w:r>
              <w:t>Optional scheduling information</w:t>
            </w:r>
          </w:p>
        </w:tc>
      </w:tr>
      <w:tr>
        <w:tc>
          <w:tcPr>
            <w:tcW w:type="dxa" w:w="4968"/>
          </w:tcPr>
          <w:p>
            <w:r>
              <w:t>unique_constraint</w:t>
            </w:r>
          </w:p>
        </w:tc>
        <w:tc>
          <w:tcPr>
            <w:tcW w:type="dxa" w:w="4968"/>
          </w:tcPr>
          <w:p>
            <w:r>
              <w:t>No duplicate active doctor-practice pair</w:t>
            </w:r>
          </w:p>
        </w:tc>
      </w:tr>
    </w:tbl>
    <w:p>
      <w:pPr>
        <w:pStyle w:val="Heading2"/>
      </w:pPr>
      <w:r>
        <w:t>3.4 Workday and Visit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Entity</w:t>
            </w:r>
          </w:p>
        </w:tc>
        <w:tc>
          <w:tcPr>
            <w:tcW w:type="dxa" w:w="4968"/>
            <w:vAlign w:val="center"/>
            <w:shd w:fill="D9EAF7"/>
          </w:tcPr>
          <w:p>
            <w:r>
              <w:rPr>
                <w:b/>
              </w:rPr>
              <w:t>Key Fields</w:t>
            </w:r>
          </w:p>
        </w:tc>
      </w:tr>
      <w:tr>
        <w:tc>
          <w:tcPr>
            <w:tcW w:type="dxa" w:w="4968"/>
          </w:tcPr>
          <w:p>
            <w:r>
              <w:t>Workday</w:t>
            </w:r>
          </w:p>
        </w:tc>
        <w:tc>
          <w:tcPr>
            <w:tcW w:type="dxa" w:w="4968"/>
          </w:tcPr>
          <w:p>
            <w:r>
              <w:t>workday_id, date, status, planned_area, commitments, finalized_at, reopened flag</w:t>
            </w:r>
          </w:p>
        </w:tc>
      </w:tr>
      <w:tr>
        <w:tc>
          <w:tcPr>
            <w:tcW w:type="dxa" w:w="4968"/>
          </w:tcPr>
          <w:p>
            <w:r>
              <w:t>Visit</w:t>
            </w:r>
          </w:p>
        </w:tc>
        <w:tc>
          <w:tcPr>
            <w:tcW w:type="dxa" w:w="4968"/>
          </w:tcPr>
          <w:p>
            <w:r>
              <w:t>visit_id, workday_id, practice_id, status, sequence_order, visit_note, finalized flag, defer reason, credited doctors</w:t>
            </w:r>
          </w:p>
        </w:tc>
      </w:tr>
      <w:tr>
        <w:tc>
          <w:tcPr>
            <w:tcW w:type="dxa" w:w="4968"/>
          </w:tcPr>
          <w:p>
            <w:r>
              <w:t>VisitDoctor</w:t>
            </w:r>
          </w:p>
        </w:tc>
        <w:tc>
          <w:tcPr>
            <w:tcW w:type="dxa" w:w="4968"/>
          </w:tcPr>
          <w:p>
            <w:r>
              <w:t>visit_id, doctor_id, visit_credit, optional doctor-specific outcome</w:t>
            </w:r>
          </w:p>
        </w:tc>
      </w:tr>
    </w:tbl>
    <w:p>
      <w:pPr>
        <w:pStyle w:val="Heading2"/>
      </w:pPr>
      <w:r>
        <w:t>3.5 Notes and Intelligence</w:t>
      </w:r>
    </w:p>
    <w:p>
      <w:r>
        <w:t>There is one consultant note per visit. AI creates proposed structured insights from that single note. The original note is preserved.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Entity</w:t>
            </w:r>
          </w:p>
        </w:tc>
        <w:tc>
          <w:tcPr>
            <w:tcW w:type="dxa" w:w="4968"/>
            <w:vAlign w:val="center"/>
            <w:shd w:fill="D9EAF7"/>
          </w:tcPr>
          <w:p>
            <w:r>
              <w:rPr>
                <w:b/>
              </w:rPr>
              <w:t>Purpose</w:t>
            </w:r>
          </w:p>
        </w:tc>
      </w:tr>
      <w:tr>
        <w:tc>
          <w:tcPr>
            <w:tcW w:type="dxa" w:w="4968"/>
          </w:tcPr>
          <w:p>
            <w:r>
              <w:t>VisitNote</w:t>
            </w:r>
          </w:p>
        </w:tc>
        <w:tc>
          <w:tcPr>
            <w:tcW w:type="dxa" w:w="4968"/>
          </w:tcPr>
          <w:p>
            <w:r>
              <w:t>Original consultant-entered text and optional transcription result.</w:t>
            </w:r>
          </w:p>
        </w:tc>
      </w:tr>
      <w:tr>
        <w:tc>
          <w:tcPr>
            <w:tcW w:type="dxa" w:w="4968"/>
          </w:tcPr>
          <w:p>
            <w:r>
              <w:t>NoteInsight</w:t>
            </w:r>
          </w:p>
        </w:tc>
        <w:tc>
          <w:tcPr>
            <w:tcW w:type="dxa" w:w="4968"/>
          </w:tcPr>
          <w:p>
            <w:r>
              <w:t>AI-proposed category, content, confidence, approval state, privacy state, and target profile.</w:t>
            </w:r>
          </w:p>
        </w:tc>
      </w:tr>
      <w:tr>
        <w:tc>
          <w:tcPr>
            <w:tcW w:type="dxa" w:w="4968"/>
          </w:tcPr>
          <w:p>
            <w:r>
              <w:t>FollowUp</w:t>
            </w:r>
          </w:p>
        </w:tc>
        <w:tc>
          <w:tcPr>
            <w:tcW w:type="dxa" w:w="4968"/>
          </w:tcPr>
          <w:p>
            <w:r>
              <w:t>Approved action, owner, due date, status, and linked visit/doctor/practice.</w:t>
            </w:r>
          </w:p>
        </w:tc>
      </w:tr>
      <w:tr>
        <w:tc>
          <w:tcPr>
            <w:tcW w:type="dxa" w:w="4968"/>
          </w:tcPr>
          <w:p>
            <w:r>
              <w:t>RelationshipAnchor</w:t>
            </w:r>
          </w:p>
        </w:tc>
        <w:tc>
          <w:tcPr>
            <w:tcW w:type="dxa" w:w="4968"/>
          </w:tcPr>
          <w:p>
            <w:r>
              <w:t>Approved durable relationship context.</w:t>
            </w:r>
          </w:p>
        </w:tc>
      </w:tr>
      <w:tr>
        <w:tc>
          <w:tcPr>
            <w:tcW w:type="dxa" w:w="4968"/>
          </w:tcPr>
          <w:p>
            <w:r>
              <w:t>ConversationAnchor</w:t>
            </w:r>
          </w:p>
        </w:tc>
        <w:tc>
          <w:tcPr>
            <w:tcW w:type="dxa" w:w="4968"/>
          </w:tcPr>
          <w:p>
            <w:r>
              <w:t>Approved topic or personal/professional context useful for future visits.</w:t>
            </w:r>
          </w:p>
        </w:tc>
      </w:tr>
    </w:tbl>
    <w:p>
      <w:pPr>
        <w:pStyle w:val="Heading2"/>
      </w:pPr>
      <w:r>
        <w:t>3.6 Referral Data</w:t>
      </w:r>
    </w:p>
    <w:p>
      <w:r>
        <w:t>Referrals are doctor-centric. Practice attribution is optional only when explicitly supplied by reliable source data. The system must never infer which Practice generated a referral based on a doctor’s known locations.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Field</w:t>
            </w:r>
          </w:p>
        </w:tc>
        <w:tc>
          <w:tcPr>
            <w:tcW w:type="dxa" w:w="4968"/>
            <w:vAlign w:val="center"/>
            <w:shd w:fill="D9EAF7"/>
          </w:tcPr>
          <w:p>
            <w:r>
              <w:rPr>
                <w:b/>
              </w:rPr>
              <w:t>Requirement</w:t>
            </w:r>
          </w:p>
        </w:tc>
      </w:tr>
      <w:tr>
        <w:tc>
          <w:tcPr>
            <w:tcW w:type="dxa" w:w="4968"/>
          </w:tcPr>
          <w:p>
            <w:r>
              <w:t>referral_record_id</w:t>
            </w:r>
          </w:p>
        </w:tc>
        <w:tc>
          <w:tcPr>
            <w:tcW w:type="dxa" w:w="4968"/>
          </w:tcPr>
          <w:p>
            <w:r>
              <w:t>Unique identifier</w:t>
            </w:r>
          </w:p>
        </w:tc>
      </w:tr>
      <w:tr>
        <w:tc>
          <w:tcPr>
            <w:tcW w:type="dxa" w:w="4968"/>
          </w:tcPr>
          <w:p>
            <w:r>
              <w:t>doctor_id</w:t>
            </w:r>
          </w:p>
        </w:tc>
        <w:tc>
          <w:tcPr>
            <w:tcW w:type="dxa" w:w="4968"/>
          </w:tcPr>
          <w:p>
            <w:r>
              <w:t>Required after matching</w:t>
            </w:r>
          </w:p>
        </w:tc>
      </w:tr>
      <w:tr>
        <w:tc>
          <w:tcPr>
            <w:tcW w:type="dxa" w:w="4968"/>
          </w:tcPr>
          <w:p>
            <w:r>
              <w:t>practice_id</w:t>
            </w:r>
          </w:p>
        </w:tc>
        <w:tc>
          <w:tcPr>
            <w:tcW w:type="dxa" w:w="4968"/>
          </w:tcPr>
          <w:p>
            <w:r>
              <w:t>Nullable and never inferred</w:t>
            </w:r>
          </w:p>
        </w:tc>
      </w:tr>
      <w:tr>
        <w:tc>
          <w:tcPr>
            <w:tcW w:type="dxa" w:w="4968"/>
          </w:tcPr>
          <w:p>
            <w:r>
              <w:t>period_start / period_end</w:t>
            </w:r>
          </w:p>
        </w:tc>
        <w:tc>
          <w:tcPr>
            <w:tcW w:type="dxa" w:w="4968"/>
          </w:tcPr>
          <w:p>
            <w:r>
              <w:t>Reporting period</w:t>
            </w:r>
          </w:p>
        </w:tc>
      </w:tr>
      <w:tr>
        <w:tc>
          <w:tcPr>
            <w:tcW w:type="dxa" w:w="4968"/>
          </w:tcPr>
          <w:p>
            <w:r>
              <w:t>service_line</w:t>
            </w:r>
          </w:p>
        </w:tc>
        <w:tc>
          <w:tcPr>
            <w:tcW w:type="dxa" w:w="4968"/>
          </w:tcPr>
          <w:p>
            <w:r>
              <w:t>Referral category when available</w:t>
            </w:r>
          </w:p>
        </w:tc>
      </w:tr>
      <w:tr>
        <w:tc>
          <w:tcPr>
            <w:tcW w:type="dxa" w:w="4968"/>
          </w:tcPr>
          <w:p>
            <w:r>
              <w:t>referral_count</w:t>
            </w:r>
          </w:p>
        </w:tc>
        <w:tc>
          <w:tcPr>
            <w:tcW w:type="dxa" w:w="4968"/>
          </w:tcPr>
          <w:p>
            <w:r>
              <w:t>Aggregate count or event count</w:t>
            </w:r>
          </w:p>
        </w:tc>
      </w:tr>
      <w:tr>
        <w:tc>
          <w:tcPr>
            <w:tcW w:type="dxa" w:w="4968"/>
          </w:tcPr>
          <w:p>
            <w:r>
              <w:t>source_file_id</w:t>
            </w:r>
          </w:p>
        </w:tc>
        <w:tc>
          <w:tcPr>
            <w:tcW w:type="dxa" w:w="4968"/>
          </w:tcPr>
          <w:p>
            <w:r>
              <w:t>Import provenance</w:t>
            </w:r>
          </w:p>
        </w:tc>
      </w:tr>
      <w:tr>
        <w:tc>
          <w:tcPr>
            <w:tcW w:type="dxa" w:w="4968"/>
          </w:tcPr>
          <w:p>
            <w:r>
              <w:t>superseded</w:t>
            </w:r>
          </w:p>
        </w:tc>
        <w:tc>
          <w:tcPr>
            <w:tcW w:type="dxa" w:w="4968"/>
          </w:tcPr>
          <w:p>
            <w:r>
              <w:t>Correction handling</w:t>
            </w:r>
          </w:p>
        </w:tc>
      </w:tr>
    </w:tbl>
    <w:p>
      <w:pPr>
        <w:pStyle w:val="Heading2"/>
      </w:pPr>
      <w:r>
        <w:t>3.7 Business Event History</w:t>
      </w:r>
    </w:p>
    <w:p>
      <w:r>
        <w:t>The platform records meaningful business events for integrity and rollback without exposing a consultant activity timeline. Events include day finalized, day reopened, visit finalized, relationship status changed, import committed, and record superseded.</w:t>
      </w:r>
    </w:p>
    <w:p>
      <w:pPr>
        <w:pStyle w:val="Heading1"/>
      </w:pPr>
      <w:r>
        <w:t>4. Doctor and Practice Management</w:t>
      </w:r>
    </w:p>
    <w:p>
      <w:pPr>
        <w:pStyle w:val="ListBullet"/>
      </w:pPr>
      <w:r>
        <w:t>Create, edit, activate, and deactivate Doctors and Practices.</w:t>
      </w:r>
    </w:p>
    <w:p>
      <w:pPr>
        <w:pStyle w:val="ListBullet"/>
      </w:pPr>
      <w:r>
        <w:t>Associate one doctor with multiple Practices without a primary location.</w:t>
      </w:r>
    </w:p>
    <w:p>
      <w:pPr>
        <w:pStyle w:val="ListBullet"/>
      </w:pPr>
      <w:r>
        <w:t>Preserve historical visits when associations change.</w:t>
      </w:r>
    </w:p>
    <w:p>
      <w:pPr>
        <w:pStyle w:val="ListBullet"/>
      </w:pPr>
      <w:r>
        <w:t>Allow consultant overrides to routability, territory, cadence, and relationship status.</w:t>
      </w:r>
    </w:p>
    <w:p>
      <w:pPr>
        <w:pStyle w:val="ListBullet"/>
      </w:pPr>
      <w:r>
        <w:t>Normal workflows do not permanently delete business records.</w:t>
      </w:r>
    </w:p>
    <w:p>
      <w:pPr>
        <w:pStyle w:val="ListBullet"/>
      </w:pPr>
      <w:r>
        <w:t>Excluded organizations and doctors remain documented as non-routable or do-not-prioritize rather than silently removed.</w:t>
      </w:r>
    </w:p>
    <w:p>
      <w:pPr>
        <w:pStyle w:val="Heading2"/>
      </w:pPr>
      <w:r>
        <w:t>4.1 Approved Non-Routable / Exclusion Logic</w:t>
      </w:r>
    </w:p>
    <w:p>
      <w:r>
        <w:t>The routability layer must preserve the approved rules, including out-of-territory locations and organizations such as Kaiser, Scripps, UCSD, Shiley Eye Institute, Retina Consultants, NVision, Acuity Eye Group, Rady’s, and Naval Air Station. Invision is routable and must not be confused with NVision.</w:t>
      </w:r>
    </w:p>
    <w:p>
      <w:pPr>
        <w:pStyle w:val="Heading1"/>
      </w:pPr>
      <w:r>
        <w:t>5. Relationship Intelligence Engine</w:t>
      </w:r>
    </w:p>
    <w:p>
      <w:pPr>
        <w:pStyle w:val="Heading2"/>
      </w:pPr>
      <w:r>
        <w:t>5.1 Relationship States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State</w:t>
            </w:r>
          </w:p>
        </w:tc>
        <w:tc>
          <w:tcPr>
            <w:tcW w:type="dxa" w:w="4968"/>
            <w:vAlign w:val="center"/>
            <w:shd w:fill="D9EAF7"/>
          </w:tcPr>
          <w:p>
            <w:r>
              <w:rPr>
                <w:b/>
              </w:rPr>
              <w:t>Intent</w:t>
            </w:r>
          </w:p>
        </w:tc>
      </w:tr>
      <w:tr>
        <w:tc>
          <w:tcPr>
            <w:tcW w:type="dxa" w:w="4968"/>
          </w:tcPr>
          <w:p>
            <w:r>
              <w:t>Maintain</w:t>
            </w:r>
          </w:p>
        </w:tc>
        <w:tc>
          <w:tcPr>
            <w:tcW w:type="dxa" w:w="4968"/>
          </w:tcPr>
          <w:p>
            <w:r>
              <w:t>Healthy relationship requiring normal cadence.</w:t>
            </w:r>
          </w:p>
        </w:tc>
      </w:tr>
      <w:tr>
        <w:tc>
          <w:tcPr>
            <w:tcW w:type="dxa" w:w="4968"/>
          </w:tcPr>
          <w:p>
            <w:r>
              <w:t>Build</w:t>
            </w:r>
          </w:p>
        </w:tc>
        <w:tc>
          <w:tcPr>
            <w:tcW w:type="dxa" w:w="4968"/>
          </w:tcPr>
          <w:p>
            <w:r>
              <w:t>New, underdeveloped, or strategically promising relationship.</w:t>
            </w:r>
          </w:p>
        </w:tc>
      </w:tr>
      <w:tr>
        <w:tc>
          <w:tcPr>
            <w:tcW w:type="dxa" w:w="4968"/>
          </w:tcPr>
          <w:p>
            <w:r>
              <w:t>Rebuild</w:t>
            </w:r>
          </w:p>
        </w:tc>
        <w:tc>
          <w:tcPr>
            <w:tcW w:type="dxa" w:w="4968"/>
          </w:tcPr>
          <w:p>
            <w:r>
              <w:t>Relationship requires deliberate recovery.</w:t>
            </w:r>
          </w:p>
        </w:tc>
      </w:tr>
      <w:tr>
        <w:tc>
          <w:tcPr>
            <w:tcW w:type="dxa" w:w="4968"/>
          </w:tcPr>
          <w:p>
            <w:r>
              <w:t>Monitor</w:t>
            </w:r>
          </w:p>
        </w:tc>
        <w:tc>
          <w:tcPr>
            <w:tcW w:type="dxa" w:w="4968"/>
          </w:tcPr>
          <w:p>
            <w:r>
              <w:t>Watch changes without increasing cadence automatically.</w:t>
            </w:r>
          </w:p>
        </w:tc>
      </w:tr>
      <w:tr>
        <w:tc>
          <w:tcPr>
            <w:tcW w:type="dxa" w:w="4968"/>
          </w:tcPr>
          <w:p>
            <w:r>
              <w:t>Reduced Frequency</w:t>
            </w:r>
          </w:p>
        </w:tc>
        <w:tc>
          <w:tcPr>
            <w:tcW w:type="dxa" w:w="4968"/>
          </w:tcPr>
          <w:p>
            <w:r>
              <w:t>Lower visit frequency after repeated low engagement, with consultant approval.</w:t>
            </w:r>
          </w:p>
        </w:tc>
      </w:tr>
      <w:tr>
        <w:tc>
          <w:tcPr>
            <w:tcW w:type="dxa" w:w="4968"/>
          </w:tcPr>
          <w:p>
            <w:r>
              <w:t>Paused</w:t>
            </w:r>
          </w:p>
        </w:tc>
        <w:tc>
          <w:tcPr>
            <w:tcW w:type="dxa" w:w="4968"/>
          </w:tcPr>
          <w:p>
            <w:r>
              <w:t>Temporarily excluded from normal routing.</w:t>
            </w:r>
          </w:p>
        </w:tc>
      </w:tr>
      <w:tr>
        <w:tc>
          <w:tcPr>
            <w:tcW w:type="dxa" w:w="4968"/>
          </w:tcPr>
          <w:p>
            <w:r>
              <w:t>Do Not Prioritize</w:t>
            </w:r>
          </w:p>
        </w:tc>
        <w:tc>
          <w:tcPr>
            <w:tcW w:type="dxa" w:w="4968"/>
          </w:tcPr>
          <w:p>
            <w:r>
              <w:t>Retained in data but excluded from proactive routing.</w:t>
            </w:r>
          </w:p>
        </w:tc>
      </w:tr>
    </w:tbl>
    <w:p>
      <w:pPr>
        <w:pStyle w:val="Heading2"/>
      </w:pPr>
      <w:r>
        <w:t>5.2 Relationship Scoring Inputs</w:t>
      </w:r>
    </w:p>
    <w:p>
      <w:pPr>
        <w:pStyle w:val="ListBullet"/>
      </w:pPr>
      <w:r>
        <w:t>New referrer or reactivated referrer status.</w:t>
      </w:r>
    </w:p>
    <w:p>
      <w:pPr>
        <w:pStyle w:val="ListBullet"/>
      </w:pPr>
      <w:r>
        <w:t>Never visited status.</w:t>
      </w:r>
    </w:p>
    <w:p>
      <w:pPr>
        <w:pStyle w:val="ListBullet"/>
      </w:pPr>
      <w:r>
        <w:t>Relative overdue urgency based on expected cadence.</w:t>
      </w:r>
    </w:p>
    <w:p>
      <w:pPr>
        <w:pStyle w:val="ListBullet"/>
      </w:pPr>
      <w:r>
        <w:t>Referral trend using a blended model, not simple year-over-year totals alone.</w:t>
      </w:r>
    </w:p>
    <w:p>
      <w:pPr>
        <w:pStyle w:val="ListBullet"/>
      </w:pPr>
      <w:r>
        <w:t>Approved relationship status and manual priority.</w:t>
      </w:r>
    </w:p>
    <w:p>
      <w:pPr>
        <w:pStyle w:val="ListBullet"/>
      </w:pPr>
      <w:r>
        <w:t>Historical notes, anchors, follow-ups, friction, and opportunities.</w:t>
      </w:r>
    </w:p>
    <w:p>
      <w:pPr>
        <w:pStyle w:val="ListBullet"/>
      </w:pPr>
      <w:r>
        <w:t>Practice-level efficiency when multiple eligible doctors share one location.</w:t>
      </w:r>
    </w:p>
    <w:p>
      <w:pPr>
        <w:pStyle w:val="Heading2"/>
      </w:pPr>
      <w:r>
        <w:t>5.3 AI Recommendations</w:t>
      </w:r>
    </w:p>
    <w:p>
      <w:r>
        <w:t>AI may recommend relationship state changes, reduced frequency, follow-ups, and profile updates. Recommendations are never authoritative until the consultant approves them.</w:t>
      </w:r>
    </w:p>
    <w:p>
      <w:pPr>
        <w:pStyle w:val="Heading1"/>
      </w:pPr>
      <w:r>
        <w:t>6. Routing and Scheduling Engine</w:t>
      </w:r>
    </w:p>
    <w:p>
      <w:pPr>
        <w:pStyle w:val="Heading2"/>
      </w:pPr>
      <w:r>
        <w:t>6.1 Weekly Build Strategy</w:t>
      </w:r>
    </w:p>
    <w:p>
      <w:r>
        <w:t>The system builds an entire week but constructs and optimizes one day at a time. It does not require all eligible doctors in one geography to be exhausted before moving to another area. Doctors not scheduled remain in the future candidate pool.</w:t>
      </w:r>
    </w:p>
    <w:p>
      <w:pPr>
        <w:pStyle w:val="Heading2"/>
      </w:pPr>
      <w:r>
        <w:t>6.2 Planning Order</w:t>
      </w:r>
    </w:p>
    <w:p>
      <w:pPr>
        <w:pStyle w:val="ListNumber"/>
      </w:pPr>
      <w:r>
        <w:t>Load calendar commitments, lunches, meetings, surgeon requests, office days, closures, and consultant-entered weekly differences.</w:t>
      </w:r>
    </w:p>
    <w:p>
      <w:pPr>
        <w:pStyle w:val="ListNumber"/>
      </w:pPr>
      <w:r>
        <w:t>Plan constrained days first.</w:t>
      </w:r>
    </w:p>
    <w:p>
      <w:pPr>
        <w:pStyle w:val="ListNumber"/>
      </w:pPr>
      <w:r>
        <w:t>Calculate eligible doctor and Practice candidates.</w:t>
      </w:r>
    </w:p>
    <w:p>
      <w:pPr>
        <w:pStyle w:val="ListNumber"/>
      </w:pPr>
      <w:r>
        <w:t>Select a daily anchor based on strategic priority and geography.</w:t>
      </w:r>
    </w:p>
    <w:p>
      <w:pPr>
        <w:pStyle w:val="ListNumber"/>
      </w:pPr>
      <w:r>
        <w:t>Expand the route geographically around the anchor.</w:t>
      </w:r>
    </w:p>
    <w:p>
      <w:pPr>
        <w:pStyle w:val="ListNumber"/>
      </w:pPr>
      <w:r>
        <w:t>Apply recent-visit protection and approved exceptions.</w:t>
      </w:r>
    </w:p>
    <w:p>
      <w:pPr>
        <w:pStyle w:val="ListNumber"/>
      </w:pPr>
      <w:r>
        <w:t>Fill to normal or strategic daily stop targets.</w:t>
      </w:r>
    </w:p>
    <w:p>
      <w:pPr>
        <w:pStyle w:val="ListNumber"/>
      </w:pPr>
      <w:r>
        <w:t>Remove scheduled doctors from the remaining weekly pool unless manually rescheduled or deferred.</w:t>
      </w:r>
    </w:p>
    <w:p>
      <w:pPr>
        <w:pStyle w:val="ListNumber"/>
      </w:pPr>
      <w:r>
        <w:t>Present the week day by day for consultant review and editing.</w:t>
      </w:r>
    </w:p>
    <w:p>
      <w:pPr>
        <w:pStyle w:val="Heading2"/>
      </w:pPr>
      <w:r>
        <w:t>6.3 Priority Rules</w:t>
      </w:r>
    </w:p>
    <w:p>
      <w:pPr>
        <w:pStyle w:val="ListBullet"/>
      </w:pPr>
      <w:r>
        <w:t>Calendar commitment first.</w:t>
      </w:r>
    </w:p>
    <w:p>
      <w:pPr>
        <w:pStyle w:val="ListBullet"/>
      </w:pPr>
      <w:r>
        <w:t>Surgeon request second and may outrank overdue status.</w:t>
      </w:r>
    </w:p>
    <w:p>
      <w:pPr>
        <w:pStyle w:val="ListBullet"/>
      </w:pPr>
      <w:r>
        <w:t>Overdue and relationship need next.</w:t>
      </w:r>
    </w:p>
    <w:p>
      <w:pPr>
        <w:pStyle w:val="ListBullet"/>
      </w:pPr>
      <w:r>
        <w:t>New referrers, never-visited doctors, and rebuild relationships may anchor a day regardless of current referral volume.</w:t>
      </w:r>
    </w:p>
    <w:p>
      <w:pPr>
        <w:pStyle w:val="ListBullet"/>
      </w:pPr>
      <w:r>
        <w:t>Referral volume influences cadence and scoring but does not solely determine anchor eligibility.</w:t>
      </w:r>
    </w:p>
    <w:p>
      <w:pPr>
        <w:pStyle w:val="ListBullet"/>
      </w:pPr>
      <w:r>
        <w:t>Higher-tier nearby doctors may be included early when the route would otherwise prevent a timely return.</w:t>
      </w:r>
    </w:p>
    <w:p>
      <w:pPr>
        <w:pStyle w:val="ListBullet"/>
      </w:pPr>
      <w:r>
        <w:t>Lower-tier quarterly doctors may be visited early when they efficiently strengthen a route.</w:t>
      </w:r>
    </w:p>
    <w:p>
      <w:pPr>
        <w:pStyle w:val="ListBullet"/>
      </w:pPr>
      <w:r>
        <w:t>Manual consultant decisions always override automation.</w:t>
      </w:r>
    </w:p>
    <w:p>
      <w:pPr>
        <w:pStyle w:val="Heading2"/>
      </w:pPr>
      <w:r>
        <w:t>6.4 Cadence and Recent Visit Protection</w:t>
      </w:r>
    </w:p>
    <w:p>
      <w:r>
        <w:t>Cadence is derived from approved tiering and relationship strategy. The routing engine applies a 21-day recent-visit protection rule by default, with approved exceptions for calendar commitments, surgeon requests, new referrers, rebuild needs, consultant overrides, and multi-location scheduling realities.</w:t>
      </w:r>
    </w:p>
    <w:p>
      <w:pPr>
        <w:pStyle w:val="Heading2"/>
      </w:pPr>
      <w:r>
        <w:t>6.5 Daily Capacity</w:t>
      </w:r>
    </w:p>
    <w:p>
      <w:pPr>
        <w:pStyle w:val="ListBullet"/>
      </w:pPr>
      <w:r>
        <w:t>Normal field day target: 7–10 Practice stops.</w:t>
      </w:r>
    </w:p>
    <w:p>
      <w:pPr>
        <w:pStyle w:val="ListBullet"/>
      </w:pPr>
      <w:r>
        <w:t>Strategic anchor day: 5–6 stops may be acceptable.</w:t>
      </w:r>
    </w:p>
    <w:p>
      <w:pPr>
        <w:pStyle w:val="ListBullet"/>
      </w:pPr>
      <w:r>
        <w:t>Dinner or meeting days may use a lower target near the venue.</w:t>
      </w:r>
    </w:p>
    <w:p>
      <w:pPr>
        <w:pStyle w:val="ListBullet"/>
      </w:pPr>
      <w:r>
        <w:t>A multi-doctor Practice counts as one Practice stop while each eligible doctor receives visit credit.</w:t>
      </w:r>
    </w:p>
    <w:p>
      <w:pPr>
        <w:pStyle w:val="Heading2"/>
      </w:pPr>
      <w:r>
        <w:t>6.6 Multi-Doctor Practice Scoring</w:t>
      </w:r>
    </w:p>
    <w:p>
      <w:r>
        <w:t>A Practice containing multiple eligible doctors receives combined value with diminishing returns. The engine must not treat three doctors at one Practice as three separate travel stops.</w:t>
      </w:r>
    </w:p>
    <w:p>
      <w:pPr>
        <w:pStyle w:val="Heading2"/>
      </w:pPr>
      <w:r>
        <w:t>6.7 Geographic Preferences</w:t>
      </w:r>
    </w:p>
    <w:p>
      <w:r>
        <w:t>Routing uses approved territories and real road practicality. It should avoid unnecessary crisscrossing, generally start with the farthest useful stop and return toward home, and normally avoid repeating the same area on consecutive field days when reasonable alternatives exist. These are preferences, not rigid restrictions.</w:t>
      </w:r>
    </w:p>
    <w:p>
      <w:pPr>
        <w:pStyle w:val="Heading2"/>
      </w:pPr>
      <w:r>
        <w:t>6.8 Manual Controls</w:t>
      </w:r>
    </w:p>
    <w:p>
      <w:pPr>
        <w:pStyle w:val="ListBullet"/>
      </w:pPr>
      <w:r>
        <w:t>Pin or unpin a Practice</w:t>
      </w:r>
    </w:p>
    <w:p>
      <w:pPr>
        <w:pStyle w:val="ListBullet"/>
      </w:pPr>
      <w:r>
        <w:t>Add or remove stops</w:t>
      </w:r>
    </w:p>
    <w:p>
      <w:pPr>
        <w:pStyle w:val="ListBullet"/>
      </w:pPr>
      <w:r>
        <w:t>Reorder visit cards</w:t>
      </w:r>
    </w:p>
    <w:p>
      <w:pPr>
        <w:pStyle w:val="ListBullet"/>
      </w:pPr>
      <w:r>
        <w:t>Lock a day</w:t>
      </w:r>
    </w:p>
    <w:p>
      <w:pPr>
        <w:pStyle w:val="ListBullet"/>
      </w:pPr>
      <w:r>
        <w:t>Defer a Practice</w:t>
      </w:r>
    </w:p>
    <w:p>
      <w:pPr>
        <w:pStyle w:val="ListBullet"/>
      </w:pPr>
      <w:r>
        <w:t>Rebuild the remaining week</w:t>
      </w:r>
    </w:p>
    <w:p>
      <w:pPr>
        <w:pStyle w:val="ListBullet"/>
      </w:pPr>
      <w:r>
        <w:t>Override cadence or recent-visit protection</w:t>
      </w:r>
    </w:p>
    <w:p>
      <w:pPr>
        <w:pStyle w:val="ListBullet"/>
      </w:pPr>
      <w:r>
        <w:t>Explain why each recommendation was selected</w:t>
      </w:r>
    </w:p>
    <w:p>
      <w:pPr>
        <w:pStyle w:val="Heading2"/>
      </w:pPr>
      <w:r>
        <w:t>6.9 Midday Changes</w:t>
      </w:r>
    </w:p>
    <w:p>
      <w:r>
        <w:t>The consultant may edit the active day, defer stops, add a nearby Practice, and recalculate the remaining route without invalidating completed visits.</w:t>
      </w:r>
    </w:p>
    <w:p>
      <w:pPr>
        <w:pStyle w:val="Heading1"/>
      </w:pPr>
      <w:r>
        <w:t>7. Visit and Workday State Engine</w:t>
      </w:r>
    </w:p>
    <w:p>
      <w:pPr>
        <w:pStyle w:val="Heading2"/>
      </w:pPr>
      <w:r>
        <w:t>7.1 Workday States</w:t>
      </w:r>
    </w:p>
    <w:p>
      <w:r>
        <w:t>Draft → Active → Pending Finalization → Finalized, with optional Reopened.</w:t>
      </w:r>
    </w:p>
    <w:p>
      <w:pPr>
        <w:pStyle w:val="Heading2"/>
      </w:pPr>
      <w:r>
        <w:t>7.2 Visit States</w:t>
      </w:r>
    </w:p>
    <w:p>
      <w:r>
        <w:t>Planned → Active → Completed → Finalized. Deferred and Cancelled are alternate terminal states for the current day.</w:t>
      </w:r>
    </w:p>
    <w:p>
      <w:pPr>
        <w:pStyle w:val="Heading2"/>
      </w:pPr>
      <w:r>
        <w:t>7.3 AI Review States</w:t>
      </w:r>
    </w:p>
    <w:p>
      <w:r>
        <w:t>Pending → Processing → Ready for Review → Approved. Rejected, Reprocess Required, and Failed are supported alternates.</w:t>
      </w:r>
    </w:p>
    <w:p>
      <w:pPr>
        <w:pStyle w:val="Heading2"/>
      </w:pPr>
      <w:r>
        <w:t>7.4 Visit Card Behavior</w:t>
      </w:r>
    </w:p>
    <w:p>
      <w:pPr>
        <w:pStyle w:val="ListBullet"/>
      </w:pPr>
      <w:r>
        <w:t>Cards appear in route order and may be moved by the consultant.</w:t>
      </w:r>
    </w:p>
    <w:p>
      <w:pPr>
        <w:pStyle w:val="ListBullet"/>
      </w:pPr>
      <w:r>
        <w:t>Opening a card allows one visit note by text or voice transcription.</w:t>
      </w:r>
    </w:p>
    <w:p>
      <w:pPr>
        <w:pStyle w:val="ListBullet"/>
      </w:pPr>
      <w:r>
        <w:t>Finalizing a visit collapses it to a compact completed row with name, checkmark, and expander.</w:t>
      </w:r>
    </w:p>
    <w:p>
      <w:pPr>
        <w:pStyle w:val="ListBullet"/>
      </w:pPr>
      <w:r>
        <w:t>Finalized visits remain editable until the day is finalized.</w:t>
      </w:r>
    </w:p>
    <w:p>
      <w:pPr>
        <w:pStyle w:val="ListBullet"/>
      </w:pPr>
      <w:r>
        <w:t>Editing later preserves the original note and business history.</w:t>
      </w:r>
    </w:p>
    <w:p>
      <w:pPr>
        <w:pStyle w:val="Heading2"/>
      </w:pPr>
      <w:r>
        <w:t>7.5 Finalize Visit</w:t>
      </w:r>
    </w:p>
    <w:p>
      <w:pPr>
        <w:pStyle w:val="ListBullet"/>
      </w:pPr>
      <w:r>
        <w:t>Validate required visit information.</w:t>
      </w:r>
    </w:p>
    <w:p>
      <w:pPr>
        <w:pStyle w:val="ListBullet"/>
      </w:pPr>
      <w:r>
        <w:t>Preserve the consultant note.</w:t>
      </w:r>
    </w:p>
    <w:p>
      <w:pPr>
        <w:pStyle w:val="ListBullet"/>
      </w:pPr>
      <w:r>
        <w:t>Mark visit finalized for consultant workflow.</w:t>
      </w:r>
    </w:p>
    <w:p>
      <w:pPr>
        <w:pStyle w:val="ListBullet"/>
      </w:pPr>
      <w:r>
        <w:t>Queue AI processing without publishing to leadership.</w:t>
      </w:r>
    </w:p>
    <w:p>
      <w:pPr>
        <w:pStyle w:val="Heading2"/>
      </w:pPr>
      <w:r>
        <w:t>7.6 Finalize Day</w:t>
      </w:r>
    </w:p>
    <w:p>
      <w:r>
        <w:t>Finalize Day atomically publishes finalized visits, approved notes, approved intelligence, and approved follow-ups; updates last-visit and next-due calculations; returns deferred Practices to the scheduling pool; refreshes reports; and marks the workday finalized.</w:t>
      </w:r>
    </w:p>
    <w:p>
      <w:pPr>
        <w:pStyle w:val="Heading2"/>
      </w:pPr>
      <w:r>
        <w:t>7.7 Incomplete Days</w:t>
      </w:r>
    </w:p>
    <w:p>
      <w:r>
        <w:t>An unfinished prior day appears automatically in the Command Center but never blocks access to today’s work. Deferred Practices do not appear to leadership as missed visits.</w:t>
      </w:r>
    </w:p>
    <w:p>
      <w:pPr>
        <w:pStyle w:val="Heading2"/>
      </w:pPr>
      <w:r>
        <w:t>7.8 Reopen Day</w:t>
      </w:r>
    </w:p>
    <w:p>
      <w:r>
        <w:t>The consultant may reopen a finalized day. The system preserves the prior publication event, allows corrections, and republishes the corrected state after re-finalization.</w:t>
      </w:r>
    </w:p>
    <w:p>
      <w:pPr>
        <w:pStyle w:val="Heading1"/>
      </w:pPr>
      <w:r>
        <w:t>8. AI Intelligence Workflow</w:t>
      </w:r>
    </w:p>
    <w:p>
      <w:pPr>
        <w:pStyle w:val="Heading2"/>
      </w:pPr>
      <w:r>
        <w:t>8.1 Input</w:t>
      </w:r>
    </w:p>
    <w:p>
      <w:r>
        <w:t>AI processes the single visit note plus relevant historical context: prior visits, approved anchors, active follow-ups, referral trends, relationship state, and recurring themes.</w:t>
      </w:r>
    </w:p>
    <w:p>
      <w:pPr>
        <w:pStyle w:val="Heading2"/>
      </w:pPr>
      <w:r>
        <w:t>8.2 Proposed Insight Categories</w:t>
      </w:r>
    </w:p>
    <w:p>
      <w:pPr>
        <w:pStyle w:val="ListBullet"/>
      </w:pPr>
      <w:r>
        <w:t>Follow-up</w:t>
      </w:r>
    </w:p>
    <w:p>
      <w:pPr>
        <w:pStyle w:val="ListBullet"/>
      </w:pPr>
      <w:r>
        <w:t>Relationship anchor</w:t>
      </w:r>
    </w:p>
    <w:p>
      <w:pPr>
        <w:pStyle w:val="ListBullet"/>
      </w:pPr>
      <w:r>
        <w:t>Conversation anchor</w:t>
      </w:r>
    </w:p>
    <w:p>
      <w:pPr>
        <w:pStyle w:val="ListBullet"/>
      </w:pPr>
      <w:r>
        <w:t>Referral opportunity</w:t>
      </w:r>
    </w:p>
    <w:p>
      <w:pPr>
        <w:pStyle w:val="ListBullet"/>
      </w:pPr>
      <w:r>
        <w:t>Competitor intelligence</w:t>
      </w:r>
    </w:p>
    <w:p>
      <w:pPr>
        <w:pStyle w:val="ListBullet"/>
      </w:pPr>
      <w:r>
        <w:t>Office logistics</w:t>
      </w:r>
    </w:p>
    <w:p>
      <w:pPr>
        <w:pStyle w:val="ListBullet"/>
      </w:pPr>
      <w:r>
        <w:t>Personal preference</w:t>
      </w:r>
    </w:p>
    <w:p>
      <w:pPr>
        <w:pStyle w:val="ListBullet"/>
      </w:pPr>
      <w:r>
        <w:t>Friction or risk</w:t>
      </w:r>
    </w:p>
    <w:p>
      <w:pPr>
        <w:pStyle w:val="ListBullet"/>
      </w:pPr>
      <w:r>
        <w:t>Relationship recommendation</w:t>
      </w:r>
    </w:p>
    <w:p>
      <w:pPr>
        <w:pStyle w:val="ListBullet"/>
      </w:pPr>
      <w:r>
        <w:t>Other approved structured intelligence</w:t>
      </w:r>
    </w:p>
    <w:p>
      <w:pPr>
        <w:pStyle w:val="Heading2"/>
      </w:pPr>
      <w:r>
        <w:t>8.3 Review and Approval</w:t>
      </w:r>
    </w:p>
    <w:p>
      <w:pPr>
        <w:pStyle w:val="ListBullet"/>
      </w:pPr>
      <w:r>
        <w:t>Each proposed insight is individually reviewable.</w:t>
      </w:r>
    </w:p>
    <w:p>
      <w:pPr>
        <w:pStyle w:val="ListBullet"/>
      </w:pPr>
      <w:r>
        <w:t>The consultant may approve, edit, reject, or keep private.</w:t>
      </w:r>
    </w:p>
    <w:p>
      <w:pPr>
        <w:pStyle w:val="ListBullet"/>
      </w:pPr>
      <w:r>
        <w:t>Approved insights update the appropriate Doctor or Practice profile.</w:t>
      </w:r>
    </w:p>
    <w:p>
      <w:pPr>
        <w:pStyle w:val="ListBullet"/>
      </w:pPr>
      <w:r>
        <w:t>Rejected suggestions never appear to leadership or in reports.</w:t>
      </w:r>
    </w:p>
    <w:p>
      <w:pPr>
        <w:pStyle w:val="ListBullet"/>
      </w:pPr>
      <w:r>
        <w:t>Duplicate information should be updated rather than repeatedly created.</w:t>
      </w:r>
    </w:p>
    <w:p>
      <w:pPr>
        <w:pStyle w:val="ListBullet"/>
      </w:pPr>
      <w:r>
        <w:t>AI failure never invalidates the visit or destroys the original note.</w:t>
      </w:r>
    </w:p>
    <w:p>
      <w:pPr>
        <w:pStyle w:val="Heading2"/>
      </w:pPr>
      <w:r>
        <w:t>8.4 Voice Input</w:t>
      </w:r>
    </w:p>
    <w:p>
      <w:r>
        <w:t>The platform should support text entry and optional voice transcription when the user’s computer microphone is available. Voice is an input method only; the underlying visit workflow remains identical.</w:t>
      </w:r>
    </w:p>
    <w:p>
      <w:pPr>
        <w:pStyle w:val="Heading1"/>
      </w:pPr>
      <w:r>
        <w:t>9. Referral Import Engine</w:t>
      </w:r>
    </w:p>
    <w:p>
      <w:pPr>
        <w:pStyle w:val="Heading2"/>
      </w:pPr>
      <w:r>
        <w:t>9.1 Supported Input</w:t>
      </w:r>
    </w:p>
    <w:p>
      <w:r>
        <w:t>Excel and CSV referral reports containing doctor names, reporting period, counts or events, and optional service-line data.</w:t>
      </w:r>
    </w:p>
    <w:p>
      <w:pPr>
        <w:pStyle w:val="Heading2"/>
      </w:pPr>
      <w:r>
        <w:t>9.2 Import Pipeline</w:t>
      </w:r>
    </w:p>
    <w:p>
      <w:pPr>
        <w:pStyle w:val="ListNumber"/>
      </w:pPr>
      <w:r>
        <w:t>Validate file format and required fields.</w:t>
      </w:r>
    </w:p>
    <w:p>
      <w:pPr>
        <w:pStyle w:val="ListNumber"/>
      </w:pPr>
      <w:r>
        <w:t>Stage rows without changing production data.</w:t>
      </w:r>
    </w:p>
    <w:p>
      <w:pPr>
        <w:pStyle w:val="ListNumber"/>
      </w:pPr>
      <w:r>
        <w:t>Normalize doctor names and identifiers.</w:t>
      </w:r>
    </w:p>
    <w:p>
      <w:pPr>
        <w:pStyle w:val="ListNumber"/>
      </w:pPr>
      <w:r>
        <w:t>Apply saved alias rules.</w:t>
      </w:r>
    </w:p>
    <w:p>
      <w:pPr>
        <w:pStyle w:val="ListNumber"/>
      </w:pPr>
      <w:r>
        <w:t>Auto-match high-confidence doctor identities.</w:t>
      </w:r>
    </w:p>
    <w:p>
      <w:pPr>
        <w:pStyle w:val="ListNumber"/>
      </w:pPr>
      <w:r>
        <w:t>Send uncertain matches to consultant review.</w:t>
      </w:r>
    </w:p>
    <w:p>
      <w:pPr>
        <w:pStyle w:val="ListNumber"/>
      </w:pPr>
      <w:r>
        <w:t>Create approved new doctors when needed.</w:t>
      </w:r>
    </w:p>
    <w:p>
      <w:pPr>
        <w:pStyle w:val="ListNumber"/>
      </w:pPr>
      <w:r>
        <w:t>Commit atomically.</w:t>
      </w:r>
    </w:p>
    <w:p>
      <w:pPr>
        <w:pStyle w:val="ListNumber"/>
      </w:pPr>
      <w:r>
        <w:t>Supersede corrected reporting periods.</w:t>
      </w:r>
    </w:p>
    <w:p>
      <w:pPr>
        <w:pStyle w:val="ListNumber"/>
      </w:pPr>
      <w:r>
        <w:t>Recalculate doctor-centric referral trends and relationship intelligence.</w:t>
      </w:r>
    </w:p>
    <w:p>
      <w:pPr>
        <w:pStyle w:val="Heading2"/>
      </w:pPr>
      <w:r>
        <w:t>9.3 Matching Rules</w:t>
      </w:r>
    </w:p>
    <w:p>
      <w:pPr>
        <w:pStyle w:val="ListBullet"/>
      </w:pPr>
      <w:r>
        <w:t>Doctor identity is authoritative.</w:t>
      </w:r>
    </w:p>
    <w:p>
      <w:pPr>
        <w:pStyle w:val="ListBullet"/>
      </w:pPr>
      <w:r>
        <w:t>Practice information may strengthen identity matching but is not required.</w:t>
      </w:r>
    </w:p>
    <w:p>
      <w:pPr>
        <w:pStyle w:val="ListBullet"/>
      </w:pPr>
      <w:r>
        <w:t>Practice information must not become inferred referral attribution.</w:t>
      </w:r>
    </w:p>
    <w:p>
      <w:pPr>
        <w:pStyle w:val="ListBullet"/>
      </w:pPr>
      <w:r>
        <w:t>Previously approved aliases are reused automatically.</w:t>
      </w:r>
    </w:p>
    <w:p>
      <w:pPr>
        <w:pStyle w:val="ListBullet"/>
      </w:pPr>
      <w:r>
        <w:t>Duplicate file and duplicate row protection is required.</w:t>
      </w:r>
    </w:p>
    <w:p>
      <w:pPr>
        <w:pStyle w:val="ListBullet"/>
      </w:pPr>
      <w:r>
        <w:t>New imported doctors default to Active, Build, and New Referrer unless overridden.</w:t>
      </w:r>
    </w:p>
    <w:p>
      <w:pPr>
        <w:pStyle w:val="Heading1"/>
      </w:pPr>
      <w:r>
        <w:t>10. Command Center</w:t>
      </w:r>
    </w:p>
    <w:p>
      <w:r>
        <w:t>The Command Center is a simple operational landing page, not an analytics dashboard.</w:t>
      </w:r>
    </w:p>
    <w:p>
      <w:pPr>
        <w:pStyle w:val="ListBullet"/>
      </w:pPr>
      <w:r>
        <w:t>Direct access to today’s work.</w:t>
      </w:r>
    </w:p>
    <w:p>
      <w:pPr>
        <w:pStyle w:val="ListBullet"/>
      </w:pPr>
      <w:r>
        <w:t>Automatic display of an unfinished prior day without blocking today.</w:t>
      </w:r>
    </w:p>
    <w:p>
      <w:pPr>
        <w:pStyle w:val="ListBullet"/>
      </w:pPr>
      <w:r>
        <w:t>Display of upcoming fixed commitments.</w:t>
      </w:r>
    </w:p>
    <w:p>
      <w:pPr>
        <w:pStyle w:val="ListBullet"/>
      </w:pPr>
      <w:r>
        <w:t>Weekly planning card showing commitments with Add Commitments and Build Week actions.</w:t>
      </w:r>
    </w:p>
    <w:p>
      <w:pPr>
        <w:pStyle w:val="ListBullet"/>
      </w:pPr>
      <w:r>
        <w:t>No territory-health dashboard, referral charts, AI news feed, or consultant activity timeline.</w:t>
      </w:r>
    </w:p>
    <w:p>
      <w:pPr>
        <w:pStyle w:val="Heading1"/>
      </w:pPr>
      <w:r>
        <w:t>11. Profiles</w:t>
      </w:r>
    </w:p>
    <w:p>
      <w:pPr>
        <w:pStyle w:val="Heading2"/>
      </w:pPr>
      <w:r>
        <w:t>11.1 Doctor Profile</w:t>
      </w:r>
    </w:p>
    <w:p>
      <w:pPr>
        <w:pStyle w:val="ListBullet"/>
      </w:pPr>
      <w:r>
        <w:t>Canonical identity</w:t>
      </w:r>
    </w:p>
    <w:p>
      <w:pPr>
        <w:pStyle w:val="ListBullet"/>
      </w:pPr>
      <w:r>
        <w:t>Associated Practices</w:t>
      </w:r>
    </w:p>
    <w:p>
      <w:pPr>
        <w:pStyle w:val="ListBullet"/>
      </w:pPr>
      <w:r>
        <w:t>Relationship status</w:t>
      </w:r>
    </w:p>
    <w:p>
      <w:pPr>
        <w:pStyle w:val="ListBullet"/>
      </w:pPr>
      <w:r>
        <w:t>Referral history and trends</w:t>
      </w:r>
    </w:p>
    <w:p>
      <w:pPr>
        <w:pStyle w:val="ListBullet"/>
      </w:pPr>
      <w:r>
        <w:t>Visit history</w:t>
      </w:r>
    </w:p>
    <w:p>
      <w:pPr>
        <w:pStyle w:val="ListBullet"/>
      </w:pPr>
      <w:r>
        <w:t>Approved relationship and conversation anchors</w:t>
      </w:r>
    </w:p>
    <w:p>
      <w:pPr>
        <w:pStyle w:val="ListBullet"/>
      </w:pPr>
      <w:r>
        <w:t>Approved follow-ups</w:t>
      </w:r>
    </w:p>
    <w:p>
      <w:pPr>
        <w:pStyle w:val="ListBullet"/>
      </w:pPr>
      <w:r>
        <w:t>Consultant edit controls</w:t>
      </w:r>
    </w:p>
    <w:p>
      <w:pPr>
        <w:pStyle w:val="Heading2"/>
      </w:pPr>
      <w:r>
        <w:t>11.2 Practice Profile</w:t>
      </w:r>
    </w:p>
    <w:p>
      <w:pPr>
        <w:pStyle w:val="ListBullet"/>
      </w:pPr>
      <w:r>
        <w:t>Physical location and territory</w:t>
      </w:r>
    </w:p>
    <w:p>
      <w:pPr>
        <w:pStyle w:val="ListBullet"/>
      </w:pPr>
      <w:r>
        <w:t>Associated doctors</w:t>
      </w:r>
    </w:p>
    <w:p>
      <w:pPr>
        <w:pStyle w:val="ListBullet"/>
      </w:pPr>
      <w:r>
        <w:t>Visit history</w:t>
      </w:r>
    </w:p>
    <w:p>
      <w:pPr>
        <w:pStyle w:val="ListBullet"/>
      </w:pPr>
      <w:r>
        <w:t>Approved office logistics and staff context</w:t>
      </w:r>
    </w:p>
    <w:p>
      <w:pPr>
        <w:pStyle w:val="ListBullet"/>
      </w:pPr>
      <w:r>
        <w:t>Approved practice-level intelligence</w:t>
      </w:r>
    </w:p>
    <w:p>
      <w:pPr>
        <w:pStyle w:val="ListBullet"/>
      </w:pPr>
      <w:r>
        <w:t>Edit controls for structured sections such as Staff</w:t>
      </w:r>
    </w:p>
    <w:p>
      <w:pPr>
        <w:pStyle w:val="Heading1"/>
      </w:pPr>
      <w:r>
        <w:t>12. Leadership Visibility</w:t>
      </w:r>
    </w:p>
    <w:p>
      <w:pPr>
        <w:pStyle w:val="ListBullet"/>
      </w:pPr>
      <w:r>
        <w:t>Leadership sees finalized workdays only.</w:t>
      </w:r>
    </w:p>
    <w:p>
      <w:pPr>
        <w:pStyle w:val="ListBullet"/>
      </w:pPr>
      <w:r>
        <w:t>Leadership sees approved business summaries, completed Practice stops, credited doctor visits, approved follow-ups, and approved reports.</w:t>
      </w:r>
    </w:p>
    <w:p>
      <w:pPr>
        <w:pStyle w:val="ListBullet"/>
      </w:pPr>
      <w:r>
        <w:t>Leadership does not see draft notes, private intelligence, voice recordings, rejected AI suggestions, route edits, consultant timestamps, or deferred Practices as failures.</w:t>
      </w:r>
    </w:p>
    <w:p>
      <w:pPr>
        <w:pStyle w:val="ListBullet"/>
      </w:pPr>
      <w:r>
        <w:t>Two surgeons who are not partners do not receive special product permissions in Version 1 unless assigned the Leadership role.</w:t>
      </w:r>
    </w:p>
    <w:p>
      <w:pPr>
        <w:pStyle w:val="Heading1"/>
      </w:pPr>
      <w:r>
        <w:t>13. Reporting and Exports</w:t>
      </w:r>
    </w:p>
    <w:p>
      <w:pPr>
        <w:pStyle w:val="Heading2"/>
      </w:pPr>
      <w:r>
        <w:t>13.1 Version 1 Reports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Report</w:t>
            </w:r>
          </w:p>
        </w:tc>
        <w:tc>
          <w:tcPr>
            <w:tcW w:type="dxa" w:w="4968"/>
            <w:vAlign w:val="center"/>
            <w:shd w:fill="D9EAF7"/>
          </w:tcPr>
          <w:p>
            <w:r>
              <w:rPr>
                <w:b/>
              </w:rPr>
              <w:t>Contents</w:t>
            </w:r>
          </w:p>
        </w:tc>
      </w:tr>
      <w:tr>
        <w:tc>
          <w:tcPr>
            <w:tcW w:type="dxa" w:w="4968"/>
          </w:tcPr>
          <w:p>
            <w:r>
              <w:t>Weekly Activity</w:t>
            </w:r>
          </w:p>
        </w:tc>
        <w:tc>
          <w:tcPr>
            <w:tcW w:type="dxa" w:w="4968"/>
          </w:tcPr>
          <w:p>
            <w:r>
              <w:t>Finalized workdays, completed Practice stops, doctor visit credit, approved follow-ups.</w:t>
            </w:r>
          </w:p>
        </w:tc>
      </w:tr>
      <w:tr>
        <w:tc>
          <w:tcPr>
            <w:tcW w:type="dxa" w:w="4968"/>
          </w:tcPr>
          <w:p>
            <w:r>
              <w:t>Monthly Activity</w:t>
            </w:r>
          </w:p>
        </w:tc>
        <w:tc>
          <w:tcPr>
            <w:tcW w:type="dxa" w:w="4968"/>
          </w:tcPr>
          <w:p>
            <w:r>
              <w:t>Monthly totals and approved activity summaries.</w:t>
            </w:r>
          </w:p>
        </w:tc>
      </w:tr>
      <w:tr>
        <w:tc>
          <w:tcPr>
            <w:tcW w:type="dxa" w:w="4968"/>
          </w:tcPr>
          <w:p>
            <w:r>
              <w:t>Referral Report</w:t>
            </w:r>
          </w:p>
        </w:tc>
        <w:tc>
          <w:tcPr>
            <w:tcW w:type="dxa" w:w="4968"/>
          </w:tcPr>
          <w:p>
            <w:r>
              <w:t>Doctor-centric referral totals, trends, service lines, new/reactivated/declining doctors.</w:t>
            </w:r>
          </w:p>
        </w:tc>
      </w:tr>
      <w:tr>
        <w:tc>
          <w:tcPr>
            <w:tcW w:type="dxa" w:w="4968"/>
          </w:tcPr>
          <w:p>
            <w:r>
              <w:t>Doctor Visit History</w:t>
            </w:r>
          </w:p>
        </w:tc>
        <w:tc>
          <w:tcPr>
            <w:tcW w:type="dxa" w:w="4968"/>
          </w:tcPr>
          <w:p>
            <w:r>
              <w:t>Chronological finalized visit history by doctor.</w:t>
            </w:r>
          </w:p>
        </w:tc>
      </w:tr>
      <w:tr>
        <w:tc>
          <w:tcPr>
            <w:tcW w:type="dxa" w:w="4968"/>
          </w:tcPr>
          <w:p>
            <w:r>
              <w:t>Follow-Up Report</w:t>
            </w:r>
          </w:p>
        </w:tc>
        <w:tc>
          <w:tcPr>
            <w:tcW w:type="dxa" w:w="4968"/>
          </w:tcPr>
          <w:p>
            <w:r>
              <w:t>Approved follow-ups by status and due date.</w:t>
            </w:r>
          </w:p>
        </w:tc>
      </w:tr>
      <w:tr>
        <w:tc>
          <w:tcPr>
            <w:tcW w:type="dxa" w:w="4968"/>
          </w:tcPr>
          <w:p>
            <w:r>
              <w:t>Doctor Master Export</w:t>
            </w:r>
          </w:p>
        </w:tc>
        <w:tc>
          <w:tcPr>
            <w:tcW w:type="dxa" w:w="4968"/>
          </w:tcPr>
          <w:p>
            <w:r>
              <w:t>Current doctor records and approved statuses.</w:t>
            </w:r>
          </w:p>
        </w:tc>
      </w:tr>
      <w:tr>
        <w:tc>
          <w:tcPr>
            <w:tcW w:type="dxa" w:w="4968"/>
          </w:tcPr>
          <w:p>
            <w:r>
              <w:t>Practice Master Export</w:t>
            </w:r>
          </w:p>
        </w:tc>
        <w:tc>
          <w:tcPr>
            <w:tcW w:type="dxa" w:w="4968"/>
          </w:tcPr>
          <w:p>
            <w:r>
              <w:t>Physical Practice records, territories, routability, and associations.</w:t>
            </w:r>
          </w:p>
        </w:tc>
      </w:tr>
    </w:tbl>
    <w:p>
      <w:pPr>
        <w:pStyle w:val="Heading2"/>
      </w:pPr>
      <w:r>
        <w:t>13.2 Reporting Rules</w:t>
      </w:r>
    </w:p>
    <w:p>
      <w:pPr>
        <w:pStyle w:val="ListBullet"/>
      </w:pPr>
      <w:r>
        <w:t>Use finalized workdays and finalized visits only.</w:t>
      </w:r>
    </w:p>
    <w:p>
      <w:pPr>
        <w:pStyle w:val="ListBullet"/>
      </w:pPr>
      <w:r>
        <w:t>Use approved notes and approved AI insights only.</w:t>
      </w:r>
    </w:p>
    <w:p>
      <w:pPr>
        <w:pStyle w:val="ListBullet"/>
      </w:pPr>
      <w:r>
        <w:t>Exclude deferred Practices from completed and missed-visit totals.</w:t>
      </w:r>
    </w:p>
    <w:p>
      <w:pPr>
        <w:pStyle w:val="ListBullet"/>
      </w:pPr>
      <w:r>
        <w:t>Count one Practice stop per physical Practice and separate doctor visit credit.</w:t>
      </w:r>
    </w:p>
    <w:p>
      <w:pPr>
        <w:pStyle w:val="ListBullet"/>
      </w:pPr>
      <w:r>
        <w:t>Referral reporting remains doctor-centric.</w:t>
      </w:r>
    </w:p>
    <w:p>
      <w:pPr>
        <w:pStyle w:val="ListBullet"/>
      </w:pPr>
      <w:r>
        <w:t>Excel and CSV exports contain no decorative formatting.</w:t>
      </w:r>
    </w:p>
    <w:p>
      <w:pPr>
        <w:pStyle w:val="ListBullet"/>
      </w:pPr>
      <w:r>
        <w:t>Report generation is read-only and uses shared calculations.</w:t>
      </w:r>
    </w:p>
    <w:p>
      <w:pPr>
        <w:pStyle w:val="Heading1"/>
      </w:pPr>
      <w:r>
        <w:t>14. Application Architecture</w:t>
      </w:r>
    </w:p>
    <w:p>
      <w:pPr>
        <w:pStyle w:val="Heading2"/>
      </w:pPr>
      <w:r>
        <w:t>14.1 Initial Deployment</w:t>
      </w:r>
    </w:p>
    <w:p>
      <w:pPr>
        <w:pStyle w:val="ListBullet"/>
      </w:pPr>
      <w:r>
        <w:t>GitHub repository for source control.</w:t>
      </w:r>
    </w:p>
    <w:p>
      <w:pPr>
        <w:pStyle w:val="ListBullet"/>
      </w:pPr>
      <w:r>
        <w:t>Streamlit Community Cloud for the private web app.</w:t>
      </w:r>
    </w:p>
    <w:p>
      <w:pPr>
        <w:pStyle w:val="ListBullet"/>
      </w:pPr>
      <w:r>
        <w:t>Free hosted relational database for persistent data.</w:t>
      </w:r>
    </w:p>
    <w:p>
      <w:pPr>
        <w:pStyle w:val="ListBullet"/>
      </w:pPr>
      <w:r>
        <w:t>Environment secrets stored outside source control.</w:t>
      </w:r>
    </w:p>
    <w:p>
      <w:pPr>
        <w:pStyle w:val="ListBullet"/>
      </w:pPr>
      <w:r>
        <w:t>Uploaded Excel/CSV files processed through the Import Service.</w:t>
      </w:r>
    </w:p>
    <w:p>
      <w:pPr>
        <w:pStyle w:val="Heading2"/>
      </w:pPr>
      <w:r>
        <w:t>14.2 Service Layer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Service</w:t>
            </w:r>
          </w:p>
        </w:tc>
        <w:tc>
          <w:tcPr>
            <w:tcW w:type="dxa" w:w="4968"/>
            <w:vAlign w:val="center"/>
            <w:shd w:fill="D9EAF7"/>
          </w:tcPr>
          <w:p>
            <w:r>
              <w:rPr>
                <w:b/>
              </w:rPr>
              <w:t>Responsibility</w:t>
            </w:r>
          </w:p>
        </w:tc>
      </w:tr>
      <w:tr>
        <w:tc>
          <w:tcPr>
            <w:tcW w:type="dxa" w:w="4968"/>
          </w:tcPr>
          <w:p>
            <w:r>
              <w:t>Authentication Service</w:t>
            </w:r>
          </w:p>
        </w:tc>
        <w:tc>
          <w:tcPr>
            <w:tcW w:type="dxa" w:w="4968"/>
          </w:tcPr>
          <w:p>
            <w:r>
              <w:t>Role and session access.</w:t>
            </w:r>
          </w:p>
        </w:tc>
      </w:tr>
      <w:tr>
        <w:tc>
          <w:tcPr>
            <w:tcW w:type="dxa" w:w="4968"/>
          </w:tcPr>
          <w:p>
            <w:r>
              <w:t>Doctor Service</w:t>
            </w:r>
          </w:p>
        </w:tc>
        <w:tc>
          <w:tcPr>
            <w:tcW w:type="dxa" w:w="4968"/>
          </w:tcPr>
          <w:p>
            <w:r>
              <w:t>Doctor CRUD and identity.</w:t>
            </w:r>
          </w:p>
        </w:tc>
      </w:tr>
      <w:tr>
        <w:tc>
          <w:tcPr>
            <w:tcW w:type="dxa" w:w="4968"/>
          </w:tcPr>
          <w:p>
            <w:r>
              <w:t>Practice Service</w:t>
            </w:r>
          </w:p>
        </w:tc>
        <w:tc>
          <w:tcPr>
            <w:tcW w:type="dxa" w:w="4968"/>
          </w:tcPr>
          <w:p>
            <w:r>
              <w:t>Physical location records and associations.</w:t>
            </w:r>
          </w:p>
        </w:tc>
      </w:tr>
      <w:tr>
        <w:tc>
          <w:tcPr>
            <w:tcW w:type="dxa" w:w="4968"/>
          </w:tcPr>
          <w:p>
            <w:r>
              <w:t>Visit Service</w:t>
            </w:r>
          </w:p>
        </w:tc>
        <w:tc>
          <w:tcPr>
            <w:tcW w:type="dxa" w:w="4968"/>
          </w:tcPr>
          <w:p>
            <w:r>
              <w:t>Visit lifecycle, notes, doctor credit.</w:t>
            </w:r>
          </w:p>
        </w:tc>
      </w:tr>
      <w:tr>
        <w:tc>
          <w:tcPr>
            <w:tcW w:type="dxa" w:w="4968"/>
          </w:tcPr>
          <w:p>
            <w:r>
              <w:t>Workday Service</w:t>
            </w:r>
          </w:p>
        </w:tc>
        <w:tc>
          <w:tcPr>
            <w:tcW w:type="dxa" w:w="4968"/>
          </w:tcPr>
          <w:p>
            <w:r>
              <w:t>Day states, finalization, reopening, publication.</w:t>
            </w:r>
          </w:p>
        </w:tc>
      </w:tr>
      <w:tr>
        <w:tc>
          <w:tcPr>
            <w:tcW w:type="dxa" w:w="4968"/>
          </w:tcPr>
          <w:p>
            <w:r>
              <w:t>Routing Service</w:t>
            </w:r>
          </w:p>
        </w:tc>
        <w:tc>
          <w:tcPr>
            <w:tcW w:type="dxa" w:w="4968"/>
          </w:tcPr>
          <w:p>
            <w:r>
              <w:t>Weekly/day planning and route explanations.</w:t>
            </w:r>
          </w:p>
        </w:tc>
      </w:tr>
      <w:tr>
        <w:tc>
          <w:tcPr>
            <w:tcW w:type="dxa" w:w="4968"/>
          </w:tcPr>
          <w:p>
            <w:r>
              <w:t>Relationship Service</w:t>
            </w:r>
          </w:p>
        </w:tc>
        <w:tc>
          <w:tcPr>
            <w:tcW w:type="dxa" w:w="4968"/>
          </w:tcPr>
          <w:p>
            <w:r>
              <w:t>Cadence, status, priority, trend logic.</w:t>
            </w:r>
          </w:p>
        </w:tc>
      </w:tr>
      <w:tr>
        <w:tc>
          <w:tcPr>
            <w:tcW w:type="dxa" w:w="4968"/>
          </w:tcPr>
          <w:p>
            <w:r>
              <w:t>Referral Service</w:t>
            </w:r>
          </w:p>
        </w:tc>
        <w:tc>
          <w:tcPr>
            <w:tcW w:type="dxa" w:w="4968"/>
          </w:tcPr>
          <w:p>
            <w:r>
              <w:t>Doctor-centric referral records and calculations.</w:t>
            </w:r>
          </w:p>
        </w:tc>
      </w:tr>
      <w:tr>
        <w:tc>
          <w:tcPr>
            <w:tcW w:type="dxa" w:w="4968"/>
          </w:tcPr>
          <w:p>
            <w:r>
              <w:t>AI Intelligence Service</w:t>
            </w:r>
          </w:p>
        </w:tc>
        <w:tc>
          <w:tcPr>
            <w:tcW w:type="dxa" w:w="4968"/>
          </w:tcPr>
          <w:p>
            <w:r>
              <w:t>Context assembly, processing, suggestions, approvals.</w:t>
            </w:r>
          </w:p>
        </w:tc>
      </w:tr>
      <w:tr>
        <w:tc>
          <w:tcPr>
            <w:tcW w:type="dxa" w:w="4968"/>
          </w:tcPr>
          <w:p>
            <w:r>
              <w:t>Follow-Up Service</w:t>
            </w:r>
          </w:p>
        </w:tc>
        <w:tc>
          <w:tcPr>
            <w:tcW w:type="dxa" w:w="4968"/>
          </w:tcPr>
          <w:p>
            <w:r>
              <w:t>Approved actions and status.</w:t>
            </w:r>
          </w:p>
        </w:tc>
      </w:tr>
      <w:tr>
        <w:tc>
          <w:tcPr>
            <w:tcW w:type="dxa" w:w="4968"/>
          </w:tcPr>
          <w:p>
            <w:r>
              <w:t>Reporting Service</w:t>
            </w:r>
          </w:p>
        </w:tc>
        <w:tc>
          <w:tcPr>
            <w:tcW w:type="dxa" w:w="4968"/>
          </w:tcPr>
          <w:p>
            <w:r>
              <w:t>Shared finalized-data reports and exports.</w:t>
            </w:r>
          </w:p>
        </w:tc>
      </w:tr>
      <w:tr>
        <w:tc>
          <w:tcPr>
            <w:tcW w:type="dxa" w:w="4968"/>
          </w:tcPr>
          <w:p>
            <w:r>
              <w:t>Command Center Service</w:t>
            </w:r>
          </w:p>
        </w:tc>
        <w:tc>
          <w:tcPr>
            <w:tcW w:type="dxa" w:w="4968"/>
          </w:tcPr>
          <w:p>
            <w:r>
              <w:t>Today, incomplete day, and commitment summaries.</w:t>
            </w:r>
          </w:p>
        </w:tc>
      </w:tr>
      <w:tr>
        <w:tc>
          <w:tcPr>
            <w:tcW w:type="dxa" w:w="4968"/>
          </w:tcPr>
          <w:p>
            <w:r>
              <w:t>Calendar Service</w:t>
            </w:r>
          </w:p>
        </w:tc>
        <w:tc>
          <w:tcPr>
            <w:tcW w:type="dxa" w:w="4968"/>
          </w:tcPr>
          <w:p>
            <w:r>
              <w:t>Fixed commitments and weekly constraints.</w:t>
            </w:r>
          </w:p>
        </w:tc>
      </w:tr>
      <w:tr>
        <w:tc>
          <w:tcPr>
            <w:tcW w:type="dxa" w:w="4968"/>
          </w:tcPr>
          <w:p>
            <w:r>
              <w:t>Import Service</w:t>
            </w:r>
          </w:p>
        </w:tc>
        <w:tc>
          <w:tcPr>
            <w:tcW w:type="dxa" w:w="4968"/>
          </w:tcPr>
          <w:p>
            <w:r>
              <w:t>File staging, matching, validation, commit.</w:t>
            </w:r>
          </w:p>
        </w:tc>
      </w:tr>
      <w:tr>
        <w:tc>
          <w:tcPr>
            <w:tcW w:type="dxa" w:w="4968"/>
          </w:tcPr>
          <w:p>
            <w:r>
              <w:t>Audit Service</w:t>
            </w:r>
          </w:p>
        </w:tc>
        <w:tc>
          <w:tcPr>
            <w:tcW w:type="dxa" w:w="4968"/>
          </w:tcPr>
          <w:p>
            <w:r>
              <w:t>Business event history and integrity.</w:t>
            </w:r>
          </w:p>
        </w:tc>
      </w:tr>
      <w:tr>
        <w:tc>
          <w:tcPr>
            <w:tcW w:type="dxa" w:w="4968"/>
          </w:tcPr>
          <w:p>
            <w:r>
              <w:t>Notification Service</w:t>
            </w:r>
          </w:p>
        </w:tc>
        <w:tc>
          <w:tcPr>
            <w:tcW w:type="dxa" w:w="4968"/>
          </w:tcPr>
          <w:p>
            <w:r>
              <w:t>Internal interface only; no Version 1 push notifications.</w:t>
            </w:r>
          </w:p>
        </w:tc>
      </w:tr>
    </w:tbl>
    <w:p>
      <w:pPr>
        <w:pStyle w:val="Heading2"/>
      </w:pPr>
      <w:r>
        <w:t>14.3 Engineering Rules</w:t>
      </w:r>
    </w:p>
    <w:p>
      <w:pPr>
        <w:pStyle w:val="ListBullet"/>
      </w:pPr>
      <w:r>
        <w:t>UI contains no duplicated business logic.</w:t>
      </w:r>
    </w:p>
    <w:p>
      <w:pPr>
        <w:pStyle w:val="ListBullet"/>
      </w:pPr>
      <w:r>
        <w:t>All database access flows through a common data-access layer.</w:t>
      </w:r>
    </w:p>
    <w:p>
      <w:pPr>
        <w:pStyle w:val="ListBullet"/>
      </w:pPr>
      <w:r>
        <w:t>Business calculations are implemented once and reused by routing, profiles, and reports.</w:t>
      </w:r>
    </w:p>
    <w:p>
      <w:pPr>
        <w:pStyle w:val="ListBullet"/>
      </w:pPr>
      <w:r>
        <w:t>Write operations requiring consistency are transactional.</w:t>
      </w:r>
    </w:p>
    <w:p>
      <w:pPr>
        <w:pStyle w:val="ListBullet"/>
      </w:pPr>
      <w:r>
        <w:t>Failed transactions leave production data unchanged.</w:t>
      </w:r>
    </w:p>
    <w:p>
      <w:pPr>
        <w:pStyle w:val="ListBullet"/>
      </w:pPr>
      <w:r>
        <w:t>Manual overrides have explicit precedence.</w:t>
      </w:r>
    </w:p>
    <w:p>
      <w:pPr>
        <w:pStyle w:val="Heading1"/>
      </w:pPr>
      <w:r>
        <w:t>15. Security, Privacy, and Reliability</w:t>
      </w:r>
    </w:p>
    <w:p>
      <w:pPr>
        <w:pStyle w:val="ListBullet"/>
      </w:pPr>
      <w:r>
        <w:t>Private authenticated application.</w:t>
      </w:r>
    </w:p>
    <w:p>
      <w:pPr>
        <w:pStyle w:val="ListBullet"/>
      </w:pPr>
      <w:r>
        <w:t>Role-based access enforced server-side.</w:t>
      </w:r>
    </w:p>
    <w:p>
      <w:pPr>
        <w:pStyle w:val="ListBullet"/>
      </w:pPr>
      <w:r>
        <w:t>Secrets and database credentials are never committed to GitHub.</w:t>
      </w:r>
    </w:p>
    <w:p>
      <w:pPr>
        <w:pStyle w:val="ListBullet"/>
      </w:pPr>
      <w:r>
        <w:t>Original notes are preserved.</w:t>
      </w:r>
    </w:p>
    <w:p>
      <w:pPr>
        <w:pStyle w:val="ListBullet"/>
      </w:pPr>
      <w:r>
        <w:t>Normal workflows use deactivation or supersession instead of permanent deletion.</w:t>
      </w:r>
    </w:p>
    <w:p>
      <w:pPr>
        <w:pStyle w:val="ListBullet"/>
      </w:pPr>
      <w:r>
        <w:t>Imports and day finalization are atomic.</w:t>
      </w:r>
    </w:p>
    <w:p>
      <w:pPr>
        <w:pStyle w:val="ListBullet"/>
      </w:pPr>
      <w:r>
        <w:t>AI outages do not block core visit workflow.</w:t>
      </w:r>
    </w:p>
    <w:p>
      <w:pPr>
        <w:pStyle w:val="ListBullet"/>
      </w:pPr>
      <w:r>
        <w:t>Local Streamlit filesystem is never treated as persistent storage.</w:t>
      </w:r>
    </w:p>
    <w:p>
      <w:pPr>
        <w:pStyle w:val="Heading1"/>
      </w:pPr>
      <w:r>
        <w:t>16. Acceptance Test Specification</w:t>
      </w:r>
    </w:p>
    <w:p>
      <w:pPr>
        <w:pStyle w:val="Heading2"/>
      </w:pPr>
      <w:r>
        <w:t>Doctor Management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rPr>
              <w:t>ID</w:t>
            </w:r>
          </w:p>
        </w:tc>
        <w:tc>
          <w:tcPr>
            <w:tcW w:type="dxa" w:w="3312"/>
            <w:vAlign w:val="center"/>
            <w:shd w:fill="D9EAF7"/>
          </w:tcPr>
          <w:p>
            <w:r>
              <w:rPr>
                <w:b/>
              </w:rPr>
              <w:t>Test</w:t>
            </w:r>
          </w:p>
        </w:tc>
        <w:tc>
          <w:tcPr>
            <w:tcW w:type="dxa" w:w="3312"/>
            <w:vAlign w:val="center"/>
            <w:shd w:fill="D9EAF7"/>
          </w:tcPr>
          <w:p>
            <w:r>
              <w:rPr>
                <w:b/>
              </w:rPr>
              <w:t>Expected Result</w:t>
            </w:r>
          </w:p>
        </w:tc>
      </w:tr>
      <w:tr>
        <w:tc>
          <w:tcPr>
            <w:tcW w:type="dxa" w:w="3312"/>
          </w:tcPr>
          <w:p>
            <w:r>
              <w:t>DR-001</w:t>
            </w:r>
          </w:p>
        </w:tc>
        <w:tc>
          <w:tcPr>
            <w:tcW w:type="dxa" w:w="3312"/>
          </w:tcPr>
          <w:p>
            <w:r>
              <w:t>Create Doctor</w:t>
            </w:r>
          </w:p>
        </w:tc>
        <w:tc>
          <w:tcPr>
            <w:tcW w:type="dxa" w:w="3312"/>
          </w:tcPr>
          <w:p>
            <w:r>
              <w:t>New doctor is created without duplicate and receives correct defaults.</w:t>
            </w:r>
          </w:p>
        </w:tc>
      </w:tr>
      <w:tr>
        <w:tc>
          <w:tcPr>
            <w:tcW w:type="dxa" w:w="3312"/>
          </w:tcPr>
          <w:p>
            <w:r>
              <w:t>DR-002</w:t>
            </w:r>
          </w:p>
        </w:tc>
        <w:tc>
          <w:tcPr>
            <w:tcW w:type="dxa" w:w="3312"/>
          </w:tcPr>
          <w:p>
            <w:r>
              <w:t>Multiple Practices</w:t>
            </w:r>
          </w:p>
        </w:tc>
        <w:tc>
          <w:tcPr>
            <w:tcW w:type="dxa" w:w="3312"/>
          </w:tcPr>
          <w:p>
            <w:r>
              <w:t>Doctor may have multiple Practice associations and none is primary.</w:t>
            </w:r>
          </w:p>
        </w:tc>
      </w:tr>
      <w:tr>
        <w:tc>
          <w:tcPr>
            <w:tcW w:type="dxa" w:w="3312"/>
          </w:tcPr>
          <w:p>
            <w:r>
              <w:t>DR-003</w:t>
            </w:r>
          </w:p>
        </w:tc>
        <w:tc>
          <w:tcPr>
            <w:tcW w:type="dxa" w:w="3312"/>
          </w:tcPr>
          <w:p>
            <w:r>
              <w:t>Doctor Moves</w:t>
            </w:r>
          </w:p>
        </w:tc>
        <w:tc>
          <w:tcPr>
            <w:tcW w:type="dxa" w:w="3312"/>
          </w:tcPr>
          <w:p>
            <w:r>
              <w:t>Historical visits and referrals remain intact when associations change.</w:t>
            </w:r>
          </w:p>
        </w:tc>
      </w:tr>
    </w:tbl>
    <w:p>
      <w:pPr>
        <w:pStyle w:val="Heading2"/>
      </w:pPr>
      <w:r>
        <w:t>Routing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rPr>
              <w:t>ID</w:t>
            </w:r>
          </w:p>
        </w:tc>
        <w:tc>
          <w:tcPr>
            <w:tcW w:type="dxa" w:w="3312"/>
            <w:vAlign w:val="center"/>
            <w:shd w:fill="D9EAF7"/>
          </w:tcPr>
          <w:p>
            <w:r>
              <w:rPr>
                <w:b/>
              </w:rPr>
              <w:t>Test</w:t>
            </w:r>
          </w:p>
        </w:tc>
        <w:tc>
          <w:tcPr>
            <w:tcW w:type="dxa" w:w="3312"/>
            <w:vAlign w:val="center"/>
            <w:shd w:fill="D9EAF7"/>
          </w:tcPr>
          <w:p>
            <w:r>
              <w:rPr>
                <w:b/>
              </w:rPr>
              <w:t>Expected Result</w:t>
            </w:r>
          </w:p>
        </w:tc>
      </w:tr>
      <w:tr>
        <w:tc>
          <w:tcPr>
            <w:tcW w:type="dxa" w:w="3312"/>
          </w:tcPr>
          <w:p>
            <w:r>
              <w:t>RT-001</w:t>
            </w:r>
          </w:p>
        </w:tc>
        <w:tc>
          <w:tcPr>
            <w:tcW w:type="dxa" w:w="3312"/>
          </w:tcPr>
          <w:p>
            <w:r>
              <w:t>New Referrer Anchor</w:t>
            </w:r>
          </w:p>
        </w:tc>
        <w:tc>
          <w:tcPr>
            <w:tcW w:type="dxa" w:w="3312"/>
          </w:tcPr>
          <w:p>
            <w:r>
              <w:t>A new referrer may anchor a day.</w:t>
            </w:r>
          </w:p>
        </w:tc>
      </w:tr>
      <w:tr>
        <w:tc>
          <w:tcPr>
            <w:tcW w:type="dxa" w:w="3312"/>
          </w:tcPr>
          <w:p>
            <w:r>
              <w:t>RT-002</w:t>
            </w:r>
          </w:p>
        </w:tc>
        <w:tc>
          <w:tcPr>
            <w:tcW w:type="dxa" w:w="3312"/>
          </w:tcPr>
          <w:p>
            <w:r>
              <w:t>Never Visited</w:t>
            </w:r>
          </w:p>
        </w:tc>
        <w:tc>
          <w:tcPr>
            <w:tcW w:type="dxa" w:w="3312"/>
          </w:tcPr>
          <w:p>
            <w:r>
              <w:t>Never-visited doctor receives elevated priority.</w:t>
            </w:r>
          </w:p>
        </w:tc>
      </w:tr>
      <w:tr>
        <w:tc>
          <w:tcPr>
            <w:tcW w:type="dxa" w:w="3312"/>
          </w:tcPr>
          <w:p>
            <w:r>
              <w:t>RT-003</w:t>
            </w:r>
          </w:p>
        </w:tc>
        <w:tc>
          <w:tcPr>
            <w:tcW w:type="dxa" w:w="3312"/>
          </w:tcPr>
          <w:p>
            <w:r>
              <w:t>Strategic Early Visit</w:t>
            </w:r>
          </w:p>
        </w:tc>
        <w:tc>
          <w:tcPr>
            <w:tcW w:type="dxa" w:w="3312"/>
          </w:tcPr>
          <w:p>
            <w:r>
              <w:t>Quarterly doctor may be scheduled early when strengthening a route.</w:t>
            </w:r>
          </w:p>
        </w:tc>
      </w:tr>
      <w:tr>
        <w:tc>
          <w:tcPr>
            <w:tcW w:type="dxa" w:w="3312"/>
          </w:tcPr>
          <w:p>
            <w:r>
              <w:t>RT-004</w:t>
            </w:r>
          </w:p>
        </w:tc>
        <w:tc>
          <w:tcPr>
            <w:tcW w:type="dxa" w:w="3312"/>
          </w:tcPr>
          <w:p>
            <w:r>
              <w:t>Independent Daily Planning</w:t>
            </w:r>
          </w:p>
        </w:tc>
        <w:tc>
          <w:tcPr>
            <w:tcW w:type="dxa" w:w="3312"/>
          </w:tcPr>
          <w:p>
            <w:r>
              <w:t>Remaining doctors in one area do not prevent selecting another area next day.</w:t>
            </w:r>
          </w:p>
        </w:tc>
      </w:tr>
      <w:tr>
        <w:tc>
          <w:tcPr>
            <w:tcW w:type="dxa" w:w="3312"/>
          </w:tcPr>
          <w:p>
            <w:r>
              <w:t>RT-005</w:t>
            </w:r>
          </w:p>
        </w:tc>
        <w:tc>
          <w:tcPr>
            <w:tcW w:type="dxa" w:w="3312"/>
          </w:tcPr>
          <w:p>
            <w:r>
              <w:t>Manual Override</w:t>
            </w:r>
          </w:p>
        </w:tc>
        <w:tc>
          <w:tcPr>
            <w:tcW w:type="dxa" w:w="3312"/>
          </w:tcPr>
          <w:p>
            <w:r>
              <w:t>Pinned Practice remains through recalculation.</w:t>
            </w:r>
          </w:p>
        </w:tc>
      </w:tr>
      <w:tr>
        <w:tc>
          <w:tcPr>
            <w:tcW w:type="dxa" w:w="3312"/>
          </w:tcPr>
          <w:p>
            <w:r>
              <w:t>RT-006</w:t>
            </w:r>
          </w:p>
        </w:tc>
        <w:tc>
          <w:tcPr>
            <w:tcW w:type="dxa" w:w="3312"/>
          </w:tcPr>
          <w:p>
            <w:r>
              <w:t>Deferred Practice</w:t>
            </w:r>
          </w:p>
        </w:tc>
        <w:tc>
          <w:tcPr>
            <w:tcW w:type="dxa" w:w="3312"/>
          </w:tcPr>
          <w:p>
            <w:r>
              <w:t>Deferred Practice returns to future pool and is not reported as missed.</w:t>
            </w:r>
          </w:p>
        </w:tc>
      </w:tr>
    </w:tbl>
    <w:p>
      <w:pPr>
        <w:pStyle w:val="Heading2"/>
      </w:pPr>
      <w:r>
        <w:t>Visit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rPr>
              <w:t>ID</w:t>
            </w:r>
          </w:p>
        </w:tc>
        <w:tc>
          <w:tcPr>
            <w:tcW w:type="dxa" w:w="3312"/>
            <w:vAlign w:val="center"/>
            <w:shd w:fill="D9EAF7"/>
          </w:tcPr>
          <w:p>
            <w:r>
              <w:rPr>
                <w:b/>
              </w:rPr>
              <w:t>Test</w:t>
            </w:r>
          </w:p>
        </w:tc>
        <w:tc>
          <w:tcPr>
            <w:tcW w:type="dxa" w:w="3312"/>
            <w:vAlign w:val="center"/>
            <w:shd w:fill="D9EAF7"/>
          </w:tcPr>
          <w:p>
            <w:r>
              <w:rPr>
                <w:b/>
              </w:rPr>
              <w:t>Expected Result</w:t>
            </w:r>
          </w:p>
        </w:tc>
      </w:tr>
      <w:tr>
        <w:tc>
          <w:tcPr>
            <w:tcW w:type="dxa" w:w="3312"/>
          </w:tcPr>
          <w:p>
            <w:r>
              <w:t>VS-001</w:t>
            </w:r>
          </w:p>
        </w:tc>
        <w:tc>
          <w:tcPr>
            <w:tcW w:type="dxa" w:w="3312"/>
          </w:tcPr>
          <w:p>
            <w:r>
              <w:t>Finalize Visit</w:t>
            </w:r>
          </w:p>
        </w:tc>
        <w:tc>
          <w:tcPr>
            <w:tcW w:type="dxa" w:w="3312"/>
          </w:tcPr>
          <w:p>
            <w:r>
              <w:t>Visit finalizes, note is preserved, and remains editable until Finalize Day.</w:t>
            </w:r>
          </w:p>
        </w:tc>
      </w:tr>
      <w:tr>
        <w:tc>
          <w:tcPr>
            <w:tcW w:type="dxa" w:w="3312"/>
          </w:tcPr>
          <w:p>
            <w:r>
              <w:t>VS-002</w:t>
            </w:r>
          </w:p>
        </w:tc>
        <w:tc>
          <w:tcPr>
            <w:tcW w:type="dxa" w:w="3312"/>
          </w:tcPr>
          <w:p>
            <w:r>
              <w:t>Finalize Day</w:t>
            </w:r>
          </w:p>
        </w:tc>
        <w:tc>
          <w:tcPr>
            <w:tcW w:type="dxa" w:w="3312"/>
          </w:tcPr>
          <w:p>
            <w:r>
              <w:t>Publication, last-visit updates, deferral return, and status change occur atomically.</w:t>
            </w:r>
          </w:p>
        </w:tc>
      </w:tr>
      <w:tr>
        <w:tc>
          <w:tcPr>
            <w:tcW w:type="dxa" w:w="3312"/>
          </w:tcPr>
          <w:p>
            <w:r>
              <w:t>VS-003</w:t>
            </w:r>
          </w:p>
        </w:tc>
        <w:tc>
          <w:tcPr>
            <w:tcW w:type="dxa" w:w="3312"/>
          </w:tcPr>
          <w:p>
            <w:r>
              <w:t>Reopen Day</w:t>
            </w:r>
          </w:p>
        </w:tc>
        <w:tc>
          <w:tcPr>
            <w:tcW w:type="dxa" w:w="3312"/>
          </w:tcPr>
          <w:p>
            <w:r>
              <w:t>Audit event is preserved and corrected publication replaces prior state after re-finalization.</w:t>
            </w:r>
          </w:p>
        </w:tc>
      </w:tr>
    </w:tbl>
    <w:p>
      <w:pPr>
        <w:pStyle w:val="Heading2"/>
      </w:pPr>
      <w:r>
        <w:t>AI Intelligence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rPr>
              <w:t>ID</w:t>
            </w:r>
          </w:p>
        </w:tc>
        <w:tc>
          <w:tcPr>
            <w:tcW w:type="dxa" w:w="3312"/>
            <w:vAlign w:val="center"/>
            <w:shd w:fill="D9EAF7"/>
          </w:tcPr>
          <w:p>
            <w:r>
              <w:rPr>
                <w:b/>
              </w:rPr>
              <w:t>Test</w:t>
            </w:r>
          </w:p>
        </w:tc>
        <w:tc>
          <w:tcPr>
            <w:tcW w:type="dxa" w:w="3312"/>
            <w:vAlign w:val="center"/>
            <w:shd w:fill="D9EAF7"/>
          </w:tcPr>
          <w:p>
            <w:r>
              <w:rPr>
                <w:b/>
              </w:rPr>
              <w:t>Expected Result</w:t>
            </w:r>
          </w:p>
        </w:tc>
      </w:tr>
      <w:tr>
        <w:tc>
          <w:tcPr>
            <w:tcW w:type="dxa" w:w="3312"/>
          </w:tcPr>
          <w:p>
            <w:r>
              <w:t>AI-001</w:t>
            </w:r>
          </w:p>
        </w:tc>
        <w:tc>
          <w:tcPr>
            <w:tcW w:type="dxa" w:w="3312"/>
          </w:tcPr>
          <w:p>
            <w:r>
              <w:t>Single Note</w:t>
            </w:r>
          </w:p>
        </w:tc>
        <w:tc>
          <w:tcPr>
            <w:tcW w:type="dxa" w:w="3312"/>
          </w:tcPr>
          <w:p>
            <w:r>
              <w:t>One note may yield multiple proposed insights.</w:t>
            </w:r>
          </w:p>
        </w:tc>
      </w:tr>
      <w:tr>
        <w:tc>
          <w:tcPr>
            <w:tcW w:type="dxa" w:w="3312"/>
          </w:tcPr>
          <w:p>
            <w:r>
              <w:t>AI-002</w:t>
            </w:r>
          </w:p>
        </w:tc>
        <w:tc>
          <w:tcPr>
            <w:tcW w:type="dxa" w:w="3312"/>
          </w:tcPr>
          <w:p>
            <w:r>
              <w:t>Approval Required</w:t>
            </w:r>
          </w:p>
        </w:tc>
        <w:tc>
          <w:tcPr>
            <w:tcW w:type="dxa" w:w="3312"/>
          </w:tcPr>
          <w:p>
            <w:r>
              <w:t>No insight updates a profile before approval.</w:t>
            </w:r>
          </w:p>
        </w:tc>
      </w:tr>
      <w:tr>
        <w:tc>
          <w:tcPr>
            <w:tcW w:type="dxa" w:w="3312"/>
          </w:tcPr>
          <w:p>
            <w:r>
              <w:t>AI-003</w:t>
            </w:r>
          </w:p>
        </w:tc>
        <w:tc>
          <w:tcPr>
            <w:tcW w:type="dxa" w:w="3312"/>
          </w:tcPr>
          <w:p>
            <w:r>
              <w:t>Existing Knowledge</w:t>
            </w:r>
          </w:p>
        </w:tc>
        <w:tc>
          <w:tcPr>
            <w:tcW w:type="dxa" w:w="3312"/>
          </w:tcPr>
          <w:p>
            <w:r>
              <w:t>AI recommends updating rather than duplicating known context.</w:t>
            </w:r>
          </w:p>
        </w:tc>
      </w:tr>
      <w:tr>
        <w:tc>
          <w:tcPr>
            <w:tcW w:type="dxa" w:w="3312"/>
          </w:tcPr>
          <w:p>
            <w:r>
              <w:t>AI-004</w:t>
            </w:r>
          </w:p>
        </w:tc>
        <w:tc>
          <w:tcPr>
            <w:tcW w:type="dxa" w:w="3312"/>
          </w:tcPr>
          <w:p>
            <w:r>
              <w:t>Historical Context</w:t>
            </w:r>
          </w:p>
        </w:tc>
        <w:tc>
          <w:tcPr>
            <w:tcW w:type="dxa" w:w="3312"/>
          </w:tcPr>
          <w:p>
            <w:r>
              <w:t>Recurring patterns are recognized using previous visits.</w:t>
            </w:r>
          </w:p>
        </w:tc>
      </w:tr>
      <w:tr>
        <w:tc>
          <w:tcPr>
            <w:tcW w:type="dxa" w:w="3312"/>
          </w:tcPr>
          <w:p>
            <w:r>
              <w:t>AI-005</w:t>
            </w:r>
          </w:p>
        </w:tc>
        <w:tc>
          <w:tcPr>
            <w:tcW w:type="dxa" w:w="3312"/>
          </w:tcPr>
          <w:p>
            <w:r>
              <w:t>AI Failure</w:t>
            </w:r>
          </w:p>
        </w:tc>
        <w:tc>
          <w:tcPr>
            <w:tcW w:type="dxa" w:w="3312"/>
          </w:tcPr>
          <w:p>
            <w:r>
              <w:t>Original note and visit remain valid when processing fails.</w:t>
            </w:r>
          </w:p>
        </w:tc>
      </w:tr>
    </w:tbl>
    <w:p>
      <w:pPr>
        <w:pStyle w:val="Heading2"/>
      </w:pPr>
      <w:r>
        <w:t>Referral Imports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rPr>
              <w:t>ID</w:t>
            </w:r>
          </w:p>
        </w:tc>
        <w:tc>
          <w:tcPr>
            <w:tcW w:type="dxa" w:w="3312"/>
            <w:vAlign w:val="center"/>
            <w:shd w:fill="D9EAF7"/>
          </w:tcPr>
          <w:p>
            <w:r>
              <w:rPr>
                <w:b/>
              </w:rPr>
              <w:t>Test</w:t>
            </w:r>
          </w:p>
        </w:tc>
        <w:tc>
          <w:tcPr>
            <w:tcW w:type="dxa" w:w="3312"/>
            <w:vAlign w:val="center"/>
            <w:shd w:fill="D9EAF7"/>
          </w:tcPr>
          <w:p>
            <w:r>
              <w:rPr>
                <w:b/>
              </w:rPr>
              <w:t>Expected Result</w:t>
            </w:r>
          </w:p>
        </w:tc>
      </w:tr>
      <w:tr>
        <w:tc>
          <w:tcPr>
            <w:tcW w:type="dxa" w:w="3312"/>
          </w:tcPr>
          <w:p>
            <w:r>
              <w:t>RF-001</w:t>
            </w:r>
          </w:p>
        </w:tc>
        <w:tc>
          <w:tcPr>
            <w:tcW w:type="dxa" w:w="3312"/>
          </w:tcPr>
          <w:p>
            <w:r>
              <w:t>Duplicate File</w:t>
            </w:r>
          </w:p>
        </w:tc>
        <w:tc>
          <w:tcPr>
            <w:tcW w:type="dxa" w:w="3312"/>
          </w:tcPr>
          <w:p>
            <w:r>
              <w:t>Repeated upload does not duplicate data.</w:t>
            </w:r>
          </w:p>
        </w:tc>
      </w:tr>
      <w:tr>
        <w:tc>
          <w:tcPr>
            <w:tcW w:type="dxa" w:w="3312"/>
          </w:tcPr>
          <w:p>
            <w:r>
              <w:t>RF-002</w:t>
            </w:r>
          </w:p>
        </w:tc>
        <w:tc>
          <w:tcPr>
            <w:tcW w:type="dxa" w:w="3312"/>
          </w:tcPr>
          <w:p>
            <w:r>
              <w:t>Saved Alias</w:t>
            </w:r>
          </w:p>
        </w:tc>
        <w:tc>
          <w:tcPr>
            <w:tcW w:type="dxa" w:w="3312"/>
          </w:tcPr>
          <w:p>
            <w:r>
              <w:t>Approved aliases match automatically later.</w:t>
            </w:r>
          </w:p>
        </w:tc>
      </w:tr>
      <w:tr>
        <w:tc>
          <w:tcPr>
            <w:tcW w:type="dxa" w:w="3312"/>
          </w:tcPr>
          <w:p>
            <w:r>
              <w:t>RF-003</w:t>
            </w:r>
          </w:p>
        </w:tc>
        <w:tc>
          <w:tcPr>
            <w:tcW w:type="dxa" w:w="3312"/>
          </w:tcPr>
          <w:p>
            <w:r>
              <w:t>Unknown Doctor</w:t>
            </w:r>
          </w:p>
        </w:tc>
        <w:tc>
          <w:tcPr>
            <w:tcW w:type="dxa" w:w="3312"/>
          </w:tcPr>
          <w:p>
            <w:r>
              <w:t>Approved new doctor may be created with Active/Build/New Referrer defaults.</w:t>
            </w:r>
          </w:p>
        </w:tc>
      </w:tr>
      <w:tr>
        <w:tc>
          <w:tcPr>
            <w:tcW w:type="dxa" w:w="3312"/>
          </w:tcPr>
          <w:p>
            <w:r>
              <w:t>RF-004</w:t>
            </w:r>
          </w:p>
        </w:tc>
        <w:tc>
          <w:tcPr>
            <w:tcW w:type="dxa" w:w="3312"/>
          </w:tcPr>
          <w:p>
            <w:r>
              <w:t>Practice Attribution</w:t>
            </w:r>
          </w:p>
        </w:tc>
        <w:tc>
          <w:tcPr>
            <w:tcW w:type="dxa" w:w="3312"/>
          </w:tcPr>
          <w:p>
            <w:r>
              <w:t>Import succeeds without Practice assignment.</w:t>
            </w:r>
          </w:p>
        </w:tc>
      </w:tr>
      <w:tr>
        <w:tc>
          <w:tcPr>
            <w:tcW w:type="dxa" w:w="3312"/>
          </w:tcPr>
          <w:p>
            <w:r>
              <w:t>RF-005</w:t>
            </w:r>
          </w:p>
        </w:tc>
        <w:tc>
          <w:tcPr>
            <w:tcW w:type="dxa" w:w="3312"/>
          </w:tcPr>
          <w:p>
            <w:r>
              <w:t>Corrected Report</w:t>
            </w:r>
          </w:p>
        </w:tc>
        <w:tc>
          <w:tcPr>
            <w:tcW w:type="dxa" w:w="3312"/>
          </w:tcPr>
          <w:p>
            <w:r>
              <w:t>Replacement period supersedes prior data without duplication.</w:t>
            </w:r>
          </w:p>
        </w:tc>
      </w:tr>
    </w:tbl>
    <w:p>
      <w:pPr>
        <w:pStyle w:val="Heading2"/>
      </w:pPr>
      <w:r>
        <w:t>Command Center and Leadership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rPr>
              <w:t>ID</w:t>
            </w:r>
          </w:p>
        </w:tc>
        <w:tc>
          <w:tcPr>
            <w:tcW w:type="dxa" w:w="3312"/>
            <w:vAlign w:val="center"/>
            <w:shd w:fill="D9EAF7"/>
          </w:tcPr>
          <w:p>
            <w:r>
              <w:rPr>
                <w:b/>
              </w:rPr>
              <w:t>Test</w:t>
            </w:r>
          </w:p>
        </w:tc>
        <w:tc>
          <w:tcPr>
            <w:tcW w:type="dxa" w:w="3312"/>
            <w:vAlign w:val="center"/>
            <w:shd w:fill="D9EAF7"/>
          </w:tcPr>
          <w:p>
            <w:r>
              <w:rPr>
                <w:b/>
              </w:rPr>
              <w:t>Expected Result</w:t>
            </w:r>
          </w:p>
        </w:tc>
      </w:tr>
      <w:tr>
        <w:tc>
          <w:tcPr>
            <w:tcW w:type="dxa" w:w="3312"/>
          </w:tcPr>
          <w:p>
            <w:r>
              <w:t>CC-001</w:t>
            </w:r>
          </w:p>
        </w:tc>
        <w:tc>
          <w:tcPr>
            <w:tcW w:type="dxa" w:w="3312"/>
          </w:tcPr>
          <w:p>
            <w:r>
              <w:t>Incomplete Day</w:t>
            </w:r>
          </w:p>
        </w:tc>
        <w:tc>
          <w:tcPr>
            <w:tcW w:type="dxa" w:w="3312"/>
          </w:tcPr>
          <w:p>
            <w:r>
              <w:t>Prior incomplete day appears while today remains accessible.</w:t>
            </w:r>
          </w:p>
        </w:tc>
      </w:tr>
      <w:tr>
        <w:tc>
          <w:tcPr>
            <w:tcW w:type="dxa" w:w="3312"/>
          </w:tcPr>
          <w:p>
            <w:r>
              <w:t>CC-002</w:t>
            </w:r>
          </w:p>
        </w:tc>
        <w:tc>
          <w:tcPr>
            <w:tcW w:type="dxa" w:w="3312"/>
          </w:tcPr>
          <w:p>
            <w:r>
              <w:t>Reminder Clears</w:t>
            </w:r>
          </w:p>
        </w:tc>
        <w:tc>
          <w:tcPr>
            <w:tcW w:type="dxa" w:w="3312"/>
          </w:tcPr>
          <w:p>
            <w:r>
              <w:t>Reminder disappears after finalization.</w:t>
            </w:r>
          </w:p>
        </w:tc>
      </w:tr>
      <w:tr>
        <w:tc>
          <w:tcPr>
            <w:tcW w:type="dxa" w:w="3312"/>
          </w:tcPr>
          <w:p>
            <w:r>
              <w:t>LD-001</w:t>
            </w:r>
          </w:p>
        </w:tc>
        <w:tc>
          <w:tcPr>
            <w:tcW w:type="dxa" w:w="3312"/>
          </w:tcPr>
          <w:p>
            <w:r>
              <w:t>Visit Finalization Private</w:t>
            </w:r>
          </w:p>
        </w:tc>
        <w:tc>
          <w:tcPr>
            <w:tcW w:type="dxa" w:w="3312"/>
          </w:tcPr>
          <w:p>
            <w:r>
              <w:t>Finalize Visit alone does not publish.</w:t>
            </w:r>
          </w:p>
        </w:tc>
      </w:tr>
      <w:tr>
        <w:tc>
          <w:tcPr>
            <w:tcW w:type="dxa" w:w="3312"/>
          </w:tcPr>
          <w:p>
            <w:r>
              <w:t>LD-002</w:t>
            </w:r>
          </w:p>
        </w:tc>
        <w:tc>
          <w:tcPr>
            <w:tcW w:type="dxa" w:w="3312"/>
          </w:tcPr>
          <w:p>
            <w:r>
              <w:t>Day Publication</w:t>
            </w:r>
          </w:p>
        </w:tc>
        <w:tc>
          <w:tcPr>
            <w:tcW w:type="dxa" w:w="3312"/>
          </w:tcPr>
          <w:p>
            <w:r>
              <w:t>Finalize Day publishes eligible records.</w:t>
            </w:r>
          </w:p>
        </w:tc>
      </w:tr>
      <w:tr>
        <w:tc>
          <w:tcPr>
            <w:tcW w:type="dxa" w:w="3312"/>
          </w:tcPr>
          <w:p>
            <w:r>
              <w:t>LD-003</w:t>
            </w:r>
          </w:p>
        </w:tc>
        <w:tc>
          <w:tcPr>
            <w:tcW w:type="dxa" w:w="3312"/>
          </w:tcPr>
          <w:p>
            <w:r>
              <w:t>Draft Privacy</w:t>
            </w:r>
          </w:p>
        </w:tc>
        <w:tc>
          <w:tcPr>
            <w:tcW w:type="dxa" w:w="3312"/>
          </w:tcPr>
          <w:p>
            <w:r>
              <w:t>Draft notes remain private.</w:t>
            </w:r>
          </w:p>
        </w:tc>
      </w:tr>
      <w:tr>
        <w:tc>
          <w:tcPr>
            <w:tcW w:type="dxa" w:w="3312"/>
          </w:tcPr>
          <w:p>
            <w:r>
              <w:t>LD-004</w:t>
            </w:r>
          </w:p>
        </w:tc>
        <w:tc>
          <w:tcPr>
            <w:tcW w:type="dxa" w:w="3312"/>
          </w:tcPr>
          <w:p>
            <w:r>
              <w:t>No Activity Timeline</w:t>
            </w:r>
          </w:p>
        </w:tc>
        <w:tc>
          <w:tcPr>
            <w:tcW w:type="dxa" w:w="3312"/>
          </w:tcPr>
          <w:p>
            <w:r>
              <w:t>Leadership cannot view consultant activity timeline.</w:t>
            </w:r>
          </w:p>
        </w:tc>
      </w:tr>
      <w:tr>
        <w:tc>
          <w:tcPr>
            <w:tcW w:type="dxa" w:w="3312"/>
          </w:tcPr>
          <w:p>
            <w:r>
              <w:t>LD-005</w:t>
            </w:r>
          </w:p>
        </w:tc>
        <w:tc>
          <w:tcPr>
            <w:tcW w:type="dxa" w:w="3312"/>
          </w:tcPr>
          <w:p>
            <w:r>
              <w:t>Rejected AI Hidden</w:t>
            </w:r>
          </w:p>
        </w:tc>
        <w:tc>
          <w:tcPr>
            <w:tcW w:type="dxa" w:w="3312"/>
          </w:tcPr>
          <w:p>
            <w:r>
              <w:t>Rejected insights never appear.</w:t>
            </w:r>
          </w:p>
        </w:tc>
      </w:tr>
    </w:tbl>
    <w:p>
      <w:pPr>
        <w:pStyle w:val="Heading2"/>
      </w:pPr>
      <w:r>
        <w:t>Reporting and Integrity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rPr>
              <w:t>ID</w:t>
            </w:r>
          </w:p>
        </w:tc>
        <w:tc>
          <w:tcPr>
            <w:tcW w:type="dxa" w:w="3312"/>
            <w:vAlign w:val="center"/>
            <w:shd w:fill="D9EAF7"/>
          </w:tcPr>
          <w:p>
            <w:r>
              <w:rPr>
                <w:b/>
              </w:rPr>
              <w:t>Test</w:t>
            </w:r>
          </w:p>
        </w:tc>
        <w:tc>
          <w:tcPr>
            <w:tcW w:type="dxa" w:w="3312"/>
            <w:vAlign w:val="center"/>
            <w:shd w:fill="D9EAF7"/>
          </w:tcPr>
          <w:p>
            <w:r>
              <w:rPr>
                <w:b/>
              </w:rPr>
              <w:t>Expected Result</w:t>
            </w:r>
          </w:p>
        </w:tc>
      </w:tr>
      <w:tr>
        <w:tc>
          <w:tcPr>
            <w:tcW w:type="dxa" w:w="3312"/>
          </w:tcPr>
          <w:p>
            <w:r>
              <w:t>RP-001</w:t>
            </w:r>
          </w:p>
        </w:tc>
        <w:tc>
          <w:tcPr>
            <w:tcW w:type="dxa" w:w="3312"/>
          </w:tcPr>
          <w:p>
            <w:r>
              <w:t>Finalized Data Only</w:t>
            </w:r>
          </w:p>
        </w:tc>
        <w:tc>
          <w:tcPr>
            <w:tcW w:type="dxa" w:w="3312"/>
          </w:tcPr>
          <w:p>
            <w:r>
              <w:t>Weekly reports use finalized workdays only.</w:t>
            </w:r>
          </w:p>
        </w:tc>
      </w:tr>
      <w:tr>
        <w:tc>
          <w:tcPr>
            <w:tcW w:type="dxa" w:w="3312"/>
          </w:tcPr>
          <w:p>
            <w:r>
              <w:t>RP-002</w:t>
            </w:r>
          </w:p>
        </w:tc>
        <w:tc>
          <w:tcPr>
            <w:tcW w:type="dxa" w:w="3312"/>
          </w:tcPr>
          <w:p>
            <w:r>
              <w:t>Deferred Exclusion</w:t>
            </w:r>
          </w:p>
        </w:tc>
        <w:tc>
          <w:tcPr>
            <w:tcW w:type="dxa" w:w="3312"/>
          </w:tcPr>
          <w:p>
            <w:r>
              <w:t>Deferred Practices excluded from completed totals.</w:t>
            </w:r>
          </w:p>
        </w:tc>
      </w:tr>
      <w:tr>
        <w:tc>
          <w:tcPr>
            <w:tcW w:type="dxa" w:w="3312"/>
          </w:tcPr>
          <w:p>
            <w:r>
              <w:t>RP-003</w:t>
            </w:r>
          </w:p>
        </w:tc>
        <w:tc>
          <w:tcPr>
            <w:tcW w:type="dxa" w:w="3312"/>
          </w:tcPr>
          <w:p>
            <w:r>
              <w:t>Multi-Doctor Counting</w:t>
            </w:r>
          </w:p>
        </w:tc>
        <w:tc>
          <w:tcPr>
            <w:tcW w:type="dxa" w:w="3312"/>
          </w:tcPr>
          <w:p>
            <w:r>
              <w:t>One Practice with three doctors reports one stop and three doctor visits.</w:t>
            </w:r>
          </w:p>
        </w:tc>
      </w:tr>
      <w:tr>
        <w:tc>
          <w:tcPr>
            <w:tcW w:type="dxa" w:w="3312"/>
          </w:tcPr>
          <w:p>
            <w:r>
              <w:t>RP-004</w:t>
            </w:r>
          </w:p>
        </w:tc>
        <w:tc>
          <w:tcPr>
            <w:tcW w:type="dxa" w:w="3312"/>
          </w:tcPr>
          <w:p>
            <w:r>
              <w:t>Doctor-Centric Referrals</w:t>
            </w:r>
          </w:p>
        </w:tc>
        <w:tc>
          <w:tcPr>
            <w:tcW w:type="dxa" w:w="3312"/>
          </w:tcPr>
          <w:p>
            <w:r>
              <w:t>Referral reporting remains doctor-centric.</w:t>
            </w:r>
          </w:p>
        </w:tc>
      </w:tr>
      <w:tr>
        <w:tc>
          <w:tcPr>
            <w:tcW w:type="dxa" w:w="3312"/>
          </w:tcPr>
          <w:p>
            <w:r>
              <w:t>RP-005</w:t>
            </w:r>
          </w:p>
        </w:tc>
        <w:tc>
          <w:tcPr>
            <w:tcW w:type="dxa" w:w="3312"/>
          </w:tcPr>
          <w:p>
            <w:r>
              <w:t>Plain Export</w:t>
            </w:r>
          </w:p>
        </w:tc>
        <w:tc>
          <w:tcPr>
            <w:tcW w:type="dxa" w:w="3312"/>
          </w:tcPr>
          <w:p>
            <w:r>
              <w:t>Excel contains no decorative formatting.</w:t>
            </w:r>
          </w:p>
        </w:tc>
      </w:tr>
      <w:tr>
        <w:tc>
          <w:tcPr>
            <w:tcW w:type="dxa" w:w="3312"/>
          </w:tcPr>
          <w:p>
            <w:r>
              <w:t>DB-001</w:t>
            </w:r>
          </w:p>
        </w:tc>
        <w:tc>
          <w:tcPr>
            <w:tcW w:type="dxa" w:w="3312"/>
          </w:tcPr>
          <w:p>
            <w:r>
              <w:t>Original Note Preservation</w:t>
            </w:r>
          </w:p>
        </w:tc>
        <w:tc>
          <w:tcPr>
            <w:tcW w:type="dxa" w:w="3312"/>
          </w:tcPr>
          <w:p>
            <w:r>
              <w:t>Editing never destroys original note.</w:t>
            </w:r>
          </w:p>
        </w:tc>
      </w:tr>
      <w:tr>
        <w:tc>
          <w:tcPr>
            <w:tcW w:type="dxa" w:w="3312"/>
          </w:tcPr>
          <w:p>
            <w:r>
              <w:t>DB-002</w:t>
            </w:r>
          </w:p>
        </w:tc>
        <w:tc>
          <w:tcPr>
            <w:tcW w:type="dxa" w:w="3312"/>
          </w:tcPr>
          <w:p>
            <w:r>
              <w:t>Override Precedence</w:t>
            </w:r>
          </w:p>
        </w:tc>
        <w:tc>
          <w:tcPr>
            <w:tcW w:type="dxa" w:w="3312"/>
          </w:tcPr>
          <w:p>
            <w:r>
              <w:t>Manual override wins over automation.</w:t>
            </w:r>
          </w:p>
        </w:tc>
      </w:tr>
      <w:tr>
        <w:tc>
          <w:tcPr>
            <w:tcW w:type="dxa" w:w="3312"/>
          </w:tcPr>
          <w:p>
            <w:r>
              <w:t>DB-003</w:t>
            </w:r>
          </w:p>
        </w:tc>
        <w:tc>
          <w:tcPr>
            <w:tcW w:type="dxa" w:w="3312"/>
          </w:tcPr>
          <w:p>
            <w:r>
              <w:t>No Routine Hard Delete</w:t>
            </w:r>
          </w:p>
        </w:tc>
        <w:tc>
          <w:tcPr>
            <w:tcW w:type="dxa" w:w="3312"/>
          </w:tcPr>
          <w:p>
            <w:r>
              <w:t>Normal workflow does not permanently delete business records.</w:t>
            </w:r>
          </w:p>
        </w:tc>
      </w:tr>
      <w:tr>
        <w:tc>
          <w:tcPr>
            <w:tcW w:type="dxa" w:w="3312"/>
          </w:tcPr>
          <w:p>
            <w:r>
              <w:t>DB-004</w:t>
            </w:r>
          </w:p>
        </w:tc>
        <w:tc>
          <w:tcPr>
            <w:tcW w:type="dxa" w:w="3312"/>
          </w:tcPr>
          <w:p>
            <w:r>
              <w:t>Transactional Failure</w:t>
            </w:r>
          </w:p>
        </w:tc>
        <w:tc>
          <w:tcPr>
            <w:tcW w:type="dxa" w:w="3312"/>
          </w:tcPr>
          <w:p>
            <w:r>
              <w:t>Failed transaction leaves database unchanged.</w:t>
            </w:r>
          </w:p>
        </w:tc>
      </w:tr>
    </w:tbl>
    <w:p>
      <w:pPr>
        <w:pStyle w:val="Heading1"/>
      </w:pPr>
      <w:r>
        <w:t>17. Performance Target</w:t>
      </w:r>
    </w:p>
    <w:p>
      <w:r>
        <w:t>Version 1 must remain acceptably responsive with approximately 300 doctors, hundreds of Practices, multiple years of visit and referral history, and thousands of approved intelligence records, without changing the consultant’s workflow.</w:t>
      </w:r>
    </w:p>
    <w:p>
      <w:pPr>
        <w:pStyle w:val="Heading1"/>
      </w:pPr>
      <w:r>
        <w:t>18. Release Criteria</w:t>
      </w:r>
    </w:p>
    <w:p>
      <w:pPr>
        <w:pStyle w:val="ListBullet"/>
      </w:pPr>
      <w:r>
        <w:t>All required acceptance tests pass.</w:t>
      </w:r>
    </w:p>
    <w:p>
      <w:pPr>
        <w:pStyle w:val="ListBullet"/>
      </w:pPr>
      <w:r>
        <w:t>Approved workflows behave exactly as specified.</w:t>
      </w:r>
    </w:p>
    <w:p>
      <w:pPr>
        <w:pStyle w:val="ListBullet"/>
      </w:pPr>
      <w:r>
        <w:t>No unresolved critical defects remain.</w:t>
      </w:r>
    </w:p>
    <w:p>
      <w:pPr>
        <w:pStyle w:val="ListBullet"/>
      </w:pPr>
      <w:r>
        <w:t>The system supports a complete workweek using live territory data.</w:t>
      </w:r>
    </w:p>
    <w:p>
      <w:pPr>
        <w:pStyle w:val="ListBullet"/>
      </w:pPr>
      <w:r>
        <w:t>Referral imports, routing, visits, notes, AI review, leadership publication, and reporting operate together without violating approved rules.</w:t>
      </w:r>
    </w:p>
    <w:p>
      <w:pPr>
        <w:pStyle w:val="ListBullet"/>
      </w:pPr>
      <w:r>
        <w:t>The deployed Streamlit application uses persistent hosted storage and protects credentials.</w:t>
      </w:r>
    </w:p>
    <w:p>
      <w:pPr>
        <w:pStyle w:val="Heading1"/>
      </w:pPr>
      <w:r>
        <w:t>19. Implementation Sequence</w:t>
      </w:r>
    </w:p>
    <w:p>
      <w:pPr>
        <w:pStyle w:val="ListNumber"/>
      </w:pPr>
      <w:r>
        <w:t>Foundation: repository structure, configuration, database connection, migrations, authentication shell.</w:t>
      </w:r>
    </w:p>
    <w:p>
      <w:pPr>
        <w:pStyle w:val="ListNumber"/>
      </w:pPr>
      <w:r>
        <w:t>Master data: Doctor, Practice, association, import of current authoritative data.</w:t>
      </w:r>
    </w:p>
    <w:p>
      <w:pPr>
        <w:pStyle w:val="ListNumber"/>
      </w:pPr>
      <w:r>
        <w:t>Core workflow: Workday, Visit cards, notes, finalize visit, finalize day, incomplete day handling.</w:t>
      </w:r>
    </w:p>
    <w:p>
      <w:pPr>
        <w:pStyle w:val="ListNumber"/>
      </w:pPr>
      <w:r>
        <w:t>Routing: commitments, candidate scoring, daily build, weekly build, manual overrides, route explanations.</w:t>
      </w:r>
    </w:p>
    <w:p>
      <w:pPr>
        <w:pStyle w:val="ListNumber"/>
      </w:pPr>
      <w:r>
        <w:t>Relationship profiles and approved intelligence.</w:t>
      </w:r>
    </w:p>
    <w:p>
      <w:pPr>
        <w:pStyle w:val="ListNumber"/>
      </w:pPr>
      <w:r>
        <w:t>Referral import, matching, aliases, corrections, trend calculations.</w:t>
      </w:r>
    </w:p>
    <w:p>
      <w:pPr>
        <w:pStyle w:val="ListNumber"/>
      </w:pPr>
      <w:r>
        <w:t>Leadership publication and reporting exports.</w:t>
      </w:r>
    </w:p>
    <w:p>
      <w:pPr>
        <w:pStyle w:val="ListNumber"/>
      </w:pPr>
      <w:r>
        <w:t>AI note processing and approval workflow.</w:t>
      </w:r>
    </w:p>
    <w:p>
      <w:pPr>
        <w:pStyle w:val="ListNumber"/>
      </w:pPr>
      <w:r>
        <w:t>Acceptance testing, live-data validation, deployment stabilization.</w:t>
      </w:r>
    </w:p>
    <w:p>
      <w:pPr>
        <w:pStyle w:val="Heading1"/>
      </w:pPr>
      <w:r>
        <w:t>20. Frozen Product Decisions</w:t>
      </w:r>
    </w:p>
    <w:p>
      <w:r>
        <w:t>This specification is the implementation contract for Version 1. Any idea not described here is not automatically part of Version 1. Proposed additions must be explicitly approved and placed either into a controlled amendment or a post-Version-1 backlog. Engineering should not reinterpret settled business decisions during build.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Professional Relations Platform — Version 1 Engineering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