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产品需求文档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一、产品概述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本产品旨在成为金融类APP用户的全生命周期的智能陪伴体。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（一）产品背景和机遇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（二）产品愿景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（三）目标用户画像与使用场景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（四）产品目标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二、功能详述</w:t>
      </w:r>
    </w:p>
    <w:p>
      <w:pPr>
        <w:rPr>
          <w:rFonts w:hint="eastAsia"/>
        </w:rPr>
      </w:pPr>
      <w:r>
        <w:rPr>
          <w:rFonts w:hint="eastAsia"/>
        </w:rPr>
        <w:t>（一）功能列表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（二）产品结构与信息框架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（三）核心流程与用户故事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（四）功能详细描述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1、陪伴生命体形象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（1）视觉元素：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以企鹅为原型，可以在QQ或者微众银行的企鹅logo基础上进行变化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（2）交互体验：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无交互时，隐藏在手机侧边，可以保留企鹅部分形象；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有交互时，且从侧边翻滚/跳跃/行走出来，并形成弹框展示交互内容；同时，若用户主动点击企鹅，则以随机方式翻滚/跳跃/行走等出来，若用户持续点击徐做出相应变化。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（3）个性化：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用户可以通过完成任务（持有理财产品、学习理财知识、观看相关理财产品营销广告等）获取积分，并通过积分兑换或自行绘制服装，所设计形象可自行保存。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2、用户信息分析</w:t>
      </w:r>
    </w:p>
    <w:p>
      <w:pPr>
        <w:pBdr/>
        <w:ind w:left="0"/>
        <w:rPr>
          <w:rFonts w:hint="eastAsia"/>
          <w:lang/>
        </w:rPr>
      </w:pPr>
      <w:r>
        <w:rPr>
          <w:rFonts w:hint="eastAsia"/>
        </w:rPr>
        <w:t>（1）</w:t>
      </w:r>
      <w:r>
        <w:rPr>
          <w:rFonts w:hint="eastAsia"/>
          <w:lang/>
        </w:rPr>
        <w:t>社会角色分析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2775"/>
        <w:gridCol w:w="2745"/>
        <w:gridCol w:w="2760"/>
      </w:tblGrid>
      <w:tr>
        <w:trPr>
          <w:wBefore/>
          <w:trHeight w:val="507" w:hRule="atLeast"/>
        </w:trPr>
        <w:tc>
          <w:tcPr>
            <w:tcW w:w="2775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数据源或事实</w:t>
            </w:r>
          </w:p>
        </w:tc>
        <w:tc>
          <w:tcPr>
            <w:tcW w:w="2745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标签/推断结果</w:t>
            </w:r>
          </w:p>
        </w:tc>
        <w:tc>
          <w:tcPr>
            <w:tcW w:w="276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逻辑与规则说明</w:t>
            </w:r>
          </w:p>
        </w:tc>
      </w:tr>
      <w:tr>
        <w:trPr>
          <w:trHeight/>
        </w:trPr>
        <w:tc>
          <w:tcPr>
            <w:tcW w:w="2775" w:type="dxa"/>
          </w:tcPr>
          <w:p>
            <w:pPr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身份证号</w:t>
            </w:r>
          </w:p>
        </w:tc>
        <w:tc>
          <w:tcPr>
            <w:tcW w:w="2745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性别/年龄/籍贯</w:t>
            </w:r>
          </w:p>
        </w:tc>
        <w:tc>
          <w:tcPr>
            <w:tcW w:w="2760" w:type="dxa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b w:val="false"/>
                <w:i w:val="false"/>
                <w:strike w:val="false"/>
                <w:color w:val="000000"/>
                <w:u w:val="none"/>
              </w:rPr>
              <w:t>直接获取。</w:t>
            </w:r>
            <w:r>
              <w:rPr>
                <w:i w:val="false"/>
                <w:strike w:val="false"/>
                <w:color w:val="000000"/>
                <w:u w:val="none"/>
              </w:rPr>
              <w:t>规则：根据身份证号码规则计算年龄和性别。</w:t>
            </w:r>
          </w:p>
        </w:tc>
      </w:tr>
      <w:tr>
        <w:trPr>
          <w:trHeight/>
        </w:trPr>
        <w:tc>
          <w:tcPr>
            <w:tcW w:w="2775" w:type="dxa"/>
          </w:tcPr>
          <w:p>
            <w:pPr>
              <w:rPr>
                <w:rFonts w:hint="eastAsia"/>
                <w:highlight w:val="yellow"/>
                <w:shd w:val="clear" w:color="auto" w:fill="FFFFFF"/>
                <w:lang/>
              </w:rPr>
            </w:pPr>
            <w:r>
              <w:rPr>
                <w:rFonts w:hint="eastAsia"/>
                <w:lang/>
              </w:rPr>
              <w:t>手机号/地址/</w:t>
            </w:r>
            <w:r>
              <w:rPr>
                <w:rFonts w:hint="eastAsia"/>
                <w:highlight w:val="yellow"/>
                <w:shd w:val="clear" w:color="auto" w:fill="FFFFFF"/>
                <w:lang/>
              </w:rPr>
              <w:t>高频消费城市</w:t>
            </w:r>
          </w:p>
        </w:tc>
        <w:tc>
          <w:tcPr>
            <w:tcW w:w="2745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常驻城市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直接获取。号码归属地查询；并根据用户自行填写的常住地址以及</w:t>
            </w:r>
            <w:r>
              <w:rPr>
                <w:rFonts w:hint="eastAsia"/>
                <w:highlight w:val="yellow"/>
                <w:lang/>
              </w:rPr>
              <w:t>高频消费城市</w:t>
            </w:r>
            <w:r>
              <w:rPr>
                <w:rFonts w:hint="eastAsia"/>
                <w:lang/>
              </w:rPr>
              <w:t>进行交叉验证。</w:t>
            </w:r>
          </w:p>
        </w:tc>
      </w:tr>
      <w:tr>
        <w:trPr>
          <w:trHeight/>
        </w:trPr>
        <w:tc>
          <w:tcPr>
            <w:tcW w:w="2775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微信/QQ账号</w:t>
            </w:r>
          </w:p>
        </w:tc>
        <w:tc>
          <w:tcPr>
            <w:tcW w:w="2745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>
          <w:trHeight/>
        </w:trPr>
        <w:tc>
          <w:tcPr>
            <w:tcW w:w="2775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职业/邮箱（公司或学校）</w:t>
            </w:r>
          </w:p>
        </w:tc>
        <w:tc>
          <w:tcPr>
            <w:tcW w:w="2745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职业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直接获取或简介推断。根据用户填写的职业类型和邮箱进行初步认证，再根据其年龄和消费习惯进行分类检验。规则：</w:t>
            </w:r>
            <w:r>
              <w:rPr>
                <w:i w:val="false"/>
                <w:strike w:val="false"/>
                <w:color w:val="000000"/>
                <w:u w:val="none"/>
              </w:rPr>
              <w:t>年龄在18-24岁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且</w:t>
            </w:r>
            <w:r>
              <w:rPr>
                <w:i w:val="false"/>
                <w:strike w:val="false"/>
                <w:color w:val="000000"/>
                <w:u w:val="none"/>
              </w:rPr>
              <w:t>消费模式高度符合学生特征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，则</w:t>
            </w:r>
            <w:r>
              <w:rPr>
                <w:i w:val="false"/>
                <w:strike w:val="false"/>
                <w:color w:val="000000"/>
                <w:u w:val="none"/>
              </w:rPr>
              <w:t>标记为学生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。</w:t>
            </w:r>
          </w:p>
        </w:tc>
      </w:tr>
      <w:tr>
        <w:trPr>
          <w:wBefore/>
          <w:trHeight/>
        </w:trPr>
        <w:tc>
          <w:tcPr>
            <w:tcW w:w="2775" w:type="dxa"/>
          </w:tcPr>
          <w:p>
            <w:pPr>
              <w:ind/>
              <w:rPr>
                <w:rFonts w:hint="eastAsia"/>
                <w:lang/>
              </w:rPr>
            </w:pPr>
          </w:p>
        </w:tc>
        <w:tc>
          <w:tcPr>
            <w:tcW w:w="2745" w:type="dxa"/>
          </w:tcPr>
          <w:p>
            <w:pPr>
              <w:ind/>
              <w:rPr>
                <w:rFonts w:hint="eastAsia"/>
                <w:lang/>
              </w:rPr>
            </w:pPr>
          </w:p>
        </w:tc>
        <w:tc>
          <w:tcPr>
            <w:tcW w:w="2760" w:type="dxa"/>
          </w:tcPr>
          <w:p>
            <w:pPr>
              <w:ind/>
              <w:rPr>
                <w:rFonts w:hint="eastAsia"/>
                <w:lang/>
              </w:rPr>
            </w:pPr>
          </w:p>
        </w:tc>
      </w:tr>
    </w:tbl>
    <w:p>
      <w:pPr>
        <w:pStyle w:val="000005"/>
        <w:rPr>
          <w:lang/>
        </w:rPr>
      </w:pPr>
      <w:r>
        <w:rPr>
          <w:lang/>
        </w:rPr>
        <w:t>用户画像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类别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标签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年龄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18-：禁止投资；18-25：初入社会，风险承受能力较低；26-30：财富积累期，风险承受能力较高但波动性大；31-40：财富积累期，生活支出加大，风险承受能力较高；41-50：财富增值期，收入稳定，风险承受能力高；50+：财富增值期，风险承受能力较低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城市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b/>
                <w:lang/>
              </w:rPr>
              <w:t>一线</w:t>
            </w:r>
            <w:r>
              <w:rPr>
                <w:rFonts w:hint="eastAsia"/>
                <w:lang/>
              </w:rPr>
              <w:t>：北京、上海、广州、深圳</w:t>
            </w:r>
            <w:r>
              <w:rPr>
                <w:rFonts w:hint="eastAsia"/>
                <w:lang/>
              </w:rPr>
              <w:br w:type="textWrapping"/>
            </w:r>
            <w:r>
              <w:rPr>
                <w:rFonts w:hint="eastAsia"/>
                <w:b/>
                <w:lang/>
              </w:rPr>
              <w:t>新一线</w:t>
            </w:r>
            <w:r>
              <w:rPr>
                <w:rFonts w:hint="eastAsia"/>
                <w:lang/>
              </w:rPr>
              <w:t>：</w:t>
            </w:r>
            <w:r>
              <w:rPr>
                <w:i w:val="false"/>
                <w:strike w:val="false"/>
                <w:color w:val="auto"/>
                <w:spacing w:val="0"/>
                <w:u w:val="none"/>
                <w:shd w:val="clear" w:color="auto" w:fill="auto"/>
                <w:vertAlign w:val="baseline"/>
              </w:rPr>
              <w:t>成都、杭州、重庆、武汉、苏州、西安、南京、长沙、郑州、天津、合肥、青岛、东莞、宁波、佛山</w:t>
            </w:r>
            <w:r>
              <w:rPr>
                <w:rFonts w:hint="eastAsia"/>
                <w:lang/>
              </w:rPr>
              <w:br w:type="textWrapping"/>
            </w:r>
            <w:r>
              <w:rPr>
                <w:rFonts w:hint="eastAsia"/>
                <w:b/>
                <w:lang/>
              </w:rPr>
              <w:t>二线（含省会、计划单列市等）</w:t>
            </w:r>
            <w:r>
              <w:rPr>
                <w:rFonts w:hint="eastAsia"/>
                <w:lang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沈阳、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大连、</w:t>
            </w:r>
            <w:r>
              <w:rPr>
                <w:i w:val="false"/>
                <w:strike w:val="false"/>
                <w:color w:val="000000"/>
                <w:u w:val="none"/>
              </w:rPr>
              <w:t>长春、哈尔滨、石家庄、太原、呼和浩特、福州、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厦门、</w:t>
            </w:r>
            <w:r>
              <w:rPr>
                <w:i w:val="false"/>
                <w:strike w:val="false"/>
                <w:color w:val="000000"/>
                <w:u w:val="none"/>
              </w:rPr>
              <w:t>南昌、济南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</w:rPr>
              <w:t>海口、南宁、贵阳、昆明、拉萨、兰州、西宁、银川、乌鲁木齐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</w:rPr>
              <w:t>无锡、烟台、泉州、南通、唐山、温州、徐州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</w:rPr>
              <w:t>淄博、鄂尔多斯、包头</w:t>
            </w:r>
            <w:r>
              <w:rPr>
                <w:rFonts w:hint="eastAsia"/>
                <w:lang/>
              </w:rPr>
              <w:br w:type="textWrapping"/>
            </w:r>
            <w:r>
              <w:rPr>
                <w:rFonts w:hint="eastAsia"/>
                <w:b/>
                <w:lang/>
              </w:rPr>
              <w:t>其他</w:t>
            </w:r>
            <w:r>
              <w:rPr>
                <w:rFonts w:hint="eastAsia"/>
                <w:lang/>
              </w:rPr>
              <w:t>：除去上述城市之外的所有城市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区域</w:t>
            </w:r>
          </w:p>
        </w:tc>
        <w:tc>
          <w:tcPr>
            <w:tcW w:w="4140" w:type="dxa"/>
          </w:tcPr>
          <w:p>
            <w:pPr>
              <w:pBdr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b/>
                <w:lang/>
              </w:rPr>
              <w:t>长三角</w:t>
            </w:r>
            <w:r>
              <w:rPr>
                <w:rFonts w:hint="eastAsia"/>
                <w:lang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上海、南京、无锡、常州、苏州、南通、盐城、扬州、镇江、泰州、杭州、宁波、嘉兴、湖州、绍兴、金华、舟山、台州、合肥、芜湖、马鞍山、铜陵、安庆、滁州、池州、宣城</w:t>
            </w:r>
          </w:p>
          <w:p>
            <w:pPr>
              <w:pBdr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b/>
                <w:i w:val="false"/>
                <w:strike w:val="false"/>
                <w:color w:val="000000"/>
                <w:u w:val="none"/>
                <w:lang/>
              </w:rPr>
              <w:t>珠三角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广州、深圳、珠海、佛山、东莞、惠州、中山、江门、肇庆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br w:type="textWrapping"/>
            </w:r>
            <w:r>
              <w:rPr>
                <w:rFonts w:hint="eastAsia"/>
                <w:b/>
                <w:i w:val="false"/>
                <w:strike w:val="false"/>
                <w:color w:val="000000"/>
                <w:u w:val="none"/>
                <w:lang/>
              </w:rPr>
              <w:t>京津冀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北京、天津、石家庄、保定、秦皇岛、廊坊、沧州、承德、张家口、唐山</w:t>
            </w:r>
          </w:p>
          <w:p>
            <w:pPr>
              <w:pBdr/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b/>
                <w:i w:val="false"/>
                <w:strike w:val="false"/>
                <w:color w:val="000000"/>
                <w:u w:val="none"/>
                <w:lang/>
              </w:rPr>
              <w:t>其他城市按照地理区域分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：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东北地区包含省份：辽宁、吉林、黑龙江、内蒙古东部（</w:t>
            </w:r>
            <w:r>
              <w:rPr>
                <w:i w:val="false"/>
                <w:strike w:val="false"/>
                <w:color w:val="000000"/>
                <w:u w:val="none"/>
              </w:rPr>
              <w:t>呼伦贝尔、兴安盟、通辽、赤峰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）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华北地区：北京、天津、河北、山西、内蒙古中部</w:t>
            </w:r>
            <w:r>
              <w:rPr>
                <w:i w:val="false"/>
                <w:strike w:val="false"/>
                <w:color w:val="000000"/>
                <w:u w:val="none"/>
              </w:rPr>
              <w:t>（呼和浩特、乌兰察布、锡林郭勒盟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</w:rPr>
              <w:t>包头、鄂尔多斯等）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华东地区：上海、江苏、浙江、安徽、福建、江西、山东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华中地区：河南、湖北、湖南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华南地区：广东、广西、海南</w:t>
            </w:r>
          </w:p>
          <w:p>
            <w:pP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西南地区：重庆、四川、贵州、云南、西藏</w:t>
            </w:r>
          </w:p>
          <w:p>
            <w:pPr>
              <w:pBdr>
                <w:bottom/>
              </w:pBdr>
              <w:ind/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  <w:lang/>
              </w:rPr>
              <w:t>西北地区：陕西、甘肃、青海、宁夏、新疆、内蒙古西部（</w:t>
            </w:r>
            <w:r>
              <w:rPr>
                <w:i w:val="false"/>
                <w:strike w:val="false"/>
                <w:color w:val="000000"/>
                <w:u w:val="none"/>
              </w:rPr>
              <w:t>巴彦淖尔、乌海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</w:rPr>
              <w:t>阿拉善盟等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）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职业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学生、公务员、公司职员、自由职业者、无业</w:t>
            </w:r>
          </w:p>
        </w:tc>
      </w:tr>
    </w:tbl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  <w:lang/>
        </w:rPr>
        <w:t>（2）</w:t>
      </w:r>
      <w:r>
        <w:rPr>
          <w:rFonts w:hint="eastAsia"/>
        </w:rPr>
        <w:t>资产分析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2760"/>
        <w:gridCol w:w="2760"/>
        <w:gridCol w:w="2760"/>
      </w:tblGrid>
      <w:tr>
        <w:trPr/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数据源或事实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标签/推断结果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逻辑与规则说明</w:t>
            </w:r>
          </w:p>
        </w:tc>
      </w:tr>
      <w:tr>
        <w:trPr/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银行存款/基金/保险等理财产品的总持有量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资产水平等级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模型推断</w:t>
            </w:r>
          </w:p>
        </w:tc>
      </w:tr>
      <w:tr>
        <w:trPr/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银行存款/基金/保险等理财产品的持有比例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风险偏好水平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模型推断</w:t>
            </w:r>
          </w:p>
        </w:tc>
      </w:tr>
      <w:tr>
        <w:trPr/>
        <w:tc>
          <w:tcPr>
            <w:tcW w:w="2760" w:type="dxa"/>
          </w:tcPr>
          <w:p>
            <w:pPr>
              <w:rPr>
                <w:rFonts w:hint="eastAsia"/>
                <w:strike/>
                <w:lang/>
              </w:rPr>
            </w:pPr>
            <w:r>
              <w:rPr>
                <w:rFonts w:hint="eastAsia"/>
                <w:strike/>
                <w:lang/>
              </w:rPr>
              <w:t>消费贷等个人消费贷款的授信额度和未偿还金额</w:t>
            </w:r>
          </w:p>
        </w:tc>
        <w:tc>
          <w:tcPr>
            <w:tcW w:w="2760" w:type="dxa"/>
          </w:tcPr>
          <w:p>
            <w:pPr>
              <w:pBdr>
                <w:bottom/>
              </w:pBdr>
              <w:ind/>
              <w:rPr>
                <w:rFonts w:hint="eastAsia"/>
                <w:strike/>
                <w:lang/>
              </w:rPr>
            </w:pPr>
            <w:r>
              <w:rPr>
                <w:rFonts w:hint="eastAsia"/>
                <w:strike/>
                <w:lang/>
              </w:rPr>
              <w:t>信贷意愿与还款能力</w:t>
            </w:r>
          </w:p>
        </w:tc>
        <w:tc>
          <w:tcPr>
            <w:tcW w:w="2760" w:type="dxa"/>
          </w:tcPr>
          <w:p>
            <w:pPr>
              <w:rPr>
                <w:rFonts w:hint="eastAsia"/>
                <w:strike/>
                <w:lang/>
              </w:rPr>
            </w:pPr>
            <w:r>
              <w:rPr>
                <w:rFonts w:hint="eastAsia"/>
                <w:strike/>
                <w:lang/>
              </w:rPr>
              <w:t>模型推断</w:t>
            </w:r>
          </w:p>
        </w:tc>
      </w:tr>
      <w:tr>
        <w:trPr/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76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Bdr/>
        <w:snapToGrid/>
        <w:spacing w:line="240"/>
        <w:ind w:left="0"/>
        <w:rPr>
          <w:rFonts w:hint="eastAsia"/>
        </w:rPr>
      </w:pPr>
    </w:p>
    <w:p>
      <w:pPr>
        <w:pStyle w:val="000005"/>
        <w:rPr/>
      </w:pPr>
      <w:r>
        <w:rPr/>
        <w:t>资产水平（以在APP上持有的所有资产值和计算）：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>
          <w:wBefore/>
          <w:trHeight/>
        </w:trPr>
        <w:tc>
          <w:tcPr>
            <w:tcW w:w="4140" w:type="dxa"/>
          </w:tcPr>
          <w:p>
            <w:pPr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资产＜2万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学生</w:t>
            </w:r>
          </w:p>
        </w:tc>
      </w:tr>
      <w:tr>
        <w:trPr>
          <w:wBefore/>
          <w:trHeight/>
        </w:trPr>
        <w:tc>
          <w:tcPr>
            <w:tcW w:w="4140" w:type="dxa"/>
          </w:tcPr>
          <w:p>
            <w:pPr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2万≤资产小于10万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大众用户1</w:t>
            </w:r>
          </w:p>
        </w:tc>
      </w:tr>
      <w:tr>
        <w:trPr/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10万≤资产＜50万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大众用户2</w:t>
            </w:r>
          </w:p>
        </w:tc>
      </w:tr>
      <w:tr>
        <w:trPr/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50万≤资产＜300万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中产用户1</w:t>
            </w:r>
          </w:p>
        </w:tc>
      </w:tr>
      <w:tr>
        <w:trPr/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300万≤资产＜1000万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中产用户2</w:t>
            </w:r>
          </w:p>
        </w:tc>
      </w:tr>
      <w:tr>
        <w:trPr/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≥1000万</w:t>
            </w:r>
          </w:p>
        </w:tc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高净值用户</w:t>
            </w:r>
          </w:p>
        </w:tc>
      </w:tr>
      <w:tr>
        <w:trPr/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</w:p>
        </w:tc>
        <w:tc>
          <w:tcPr>
            <w:tcW w:w="4140" w:type="dxa"/>
          </w:tcPr>
          <w:p>
            <w:pPr>
              <w:snapToGrid/>
              <w:spacing w:line="240"/>
              <w:rPr>
                <w:rFonts w:hint="eastAsia"/>
              </w:rPr>
            </w:pPr>
          </w:p>
        </w:tc>
      </w:tr>
    </w:tbl>
    <w:p>
      <w:pPr>
        <w:pBdr/>
        <w:snapToGrid/>
        <w:spacing w:line="240"/>
        <w:ind w:left="0"/>
        <w:rPr>
          <w:rFonts w:hint="eastAsia"/>
        </w:rPr>
      </w:pPr>
    </w:p>
    <w:p>
      <w:pPr>
        <w:pStyle w:val="000005"/>
        <w:rPr/>
      </w:pPr>
      <w:r>
        <w:rPr/>
        <w:t>风险承受能力：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风险偏好（权重 30%）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题目示例：“若投资 1 年亏损 10%，你的反应是？”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选项评分：恐慌抛售（1 分）、观望不动（2 分）、适当补仓（3 分）、大幅加仓（4 分）、满仓买入（5 分）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投资经验（权重 25%）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题目示例：“过往投资品类包含（可多选，按复杂度计分）？”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选项评分：仅存款 / 国债（1 分）、银行理财（2 分）、基金 / 债券（3 分）、股票 / 期货（4 分）、衍生品 / 私募（5 分）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财务状况（权重 25%）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题目示例：“可投资资产占家庭总资产的比例？”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选项评分：＜10%（1 分）、10%-30%（2 分）、30%-50%（3 分）、50%-70%（4 分）、＞70%（5 分）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投资期限（权重 10%）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题目示例：“计划持有投资资金的期限？”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选项评分：＜6 个月（1 分）、6 个月 - 1 年（2 分）、1-3 年（3 分）、3-5 年（4 分）、＞5 年（5 分）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抗风险能力（权重 10%）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题目示例：“若投资亏损 20%，是否影响家庭正常生活？”</w:t>
      </w:r>
    </w:p>
    <w:p>
      <w:pPr>
        <w:numPr>
          <w:ilvl w:val="0"/>
          <w:numId w:val="10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选项评分：严重影响（1 分）、有一定影响（2 分）、影响较小（3 分）、基本无影响（4 分）、完全无影响（5 分）</w:t>
      </w:r>
    </w:p>
    <w:p>
      <w:pPr>
        <w:pBdr>
          <w:bottom/>
        </w:pBdr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险等级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总分区间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等级定义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典型用户画像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保守型（R1）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10-18 分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拒绝任何亏损，优先本金安全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老年群体、风险厌恶者、短期资金规划者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稳健型（R2）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19-26 分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可接受小幅波动，追求稳定收益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中年稳健投资者、职场新人、储蓄型用户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平衡型（R3）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27-34 分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接受适度亏损，兼顾收益与风险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有 3 年以上投资经验、中等收入群体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进取型（R4）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35-42 分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能承受较大波动，追求较高收益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资深投资者、高收入群体、长期资金持有者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激进型（R5）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43-50 分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接受大幅亏损，追求高收益最大化</w:t>
            </w: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ascii="sans-serif" w:hAnsi="sans-serif" w:eastAsia="sans-serif" w:cs="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专业投资者、风险偏好极高者、高净值人群</w:t>
            </w:r>
          </w:p>
        </w:tc>
      </w:tr>
      <w:tr>
        <w:trPr/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3、用户行为分析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意图大类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具体意图标签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行为触发器（根据什么内容）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推断逻辑与权重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学习探索型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意图-理财入门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搜索“基金是什么”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浏览“新手专区”文章 &gt; 2篇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完成“风险测评”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规则引擎： 满足以上任意两条，则判定。权重：搜索 &gt; 浏览。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意图-研究某产品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反复查看某基金详情页（30秒+）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将产品加入自选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查看产品的“历史净值”和“基金经理”页签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模型计算： 行为序列的密度和深度是关键。持续研究且查看深层信息，意图分数高。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投资交易型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意图-寻求高收益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搜索“今年收益最高的基金”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筛选器中选择“收益率从高到低”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浏览多个股票型基金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规则+模型： 搜索关键词是强信号；结合用户历史持仓（若均为低风险产品，则此意图分数降低，可能仅为好奇）。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意图-避险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市场大跌日，频繁查看持仓盈亏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搜索“赎回”、“止损”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进入某产品的赎回操作页面（未完成）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实时规则引擎： 行为与市场事件强相关。进入赎回页面是极强信号，需触发即时干预。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规划管理型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意图-养老规划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搜索“养老”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浏览养老目标基金（如“目标日期2045”）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用户年龄在40-55岁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用户画像+行为： 结合年龄这一静态属性，使意图判断更精准。</w:t>
            </w:r>
          </w:p>
        </w:tc>
      </w:tr>
      <w:tr>
        <w:trPr/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意图-资产配置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1. 同时浏览多只不同类别的基金（股票、债券、黄金）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2. 使用“资产分析”工具</w:t>
            </w:r>
          </w:p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3. 搜索“如何配置资产”</w:t>
            </w:r>
          </w:p>
        </w:tc>
        <w:tc>
          <w:tcPr>
            <w:tcW w:w="2070" w:type="dxa"/>
          </w:tcPr>
          <w:p>
            <w:pP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模型计算： 识别行为的广度（跨资产类别）和工具使用情况。</w:t>
            </w:r>
          </w:p>
        </w:tc>
      </w:tr>
    </w:tbl>
    <w:p>
      <w:pPr>
        <w:pBdr/>
        <w:ind w:left="0"/>
        <w:rPr>
          <w:rFonts w:hint="eastAsia"/>
          <w:lang/>
        </w:rPr>
      </w:pPr>
      <w:r>
        <w:rPr>
          <w:rFonts w:hint="eastAsia"/>
          <w:lang/>
        </w:rPr>
        <w:t>用户行为抓取：</w:t>
      </w:r>
    </w:p>
    <w:p>
      <w:pPr>
        <w:pStyle w:val="000005"/>
        <w:rPr>
          <w:lang/>
        </w:rPr>
      </w:pPr>
      <w:r>
        <w:rPr>
          <w:lang/>
        </w:rPr>
        <w:t>活跃度：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登陆频率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每天至少登录一次：日活</w:t>
            </w:r>
            <w:r>
              <w:rPr>
                <w:i w:val="false"/>
                <w:strike w:val="false"/>
                <w:color w:val="000000"/>
                <w:u w:val="none"/>
              </w:rPr>
              <w:br w:type="textWrapping"/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每周登录至少3天：</w:t>
            </w:r>
            <w:r>
              <w:rPr>
                <w:i w:val="false"/>
                <w:strike w:val="false"/>
                <w:color w:val="000000"/>
                <w:u w:val="none"/>
              </w:rPr>
              <w:t>周活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br w:type="textWrapping"/>
              <w:t>每个月至少登录10天：</w:t>
            </w:r>
            <w:r>
              <w:rPr>
                <w:i w:val="false"/>
                <w:strike w:val="false"/>
                <w:color w:val="000000"/>
                <w:u w:val="none"/>
              </w:rPr>
              <w:t>月活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br w:type="textWrapping"/>
              <w:t>连续1个月（30天）未登录：</w:t>
            </w:r>
            <w:r>
              <w:rPr>
                <w:i w:val="false"/>
                <w:strike w:val="false"/>
                <w:color w:val="000000"/>
                <w:u w:val="none"/>
              </w:rPr>
              <w:t>沉睡用户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br w:type="textWrapping"/>
              <w:t>连续3个月（90天）未登录：</w:t>
            </w:r>
            <w:r>
              <w:rPr>
                <w:i w:val="false"/>
                <w:strike w:val="false"/>
                <w:color w:val="000000"/>
                <w:u w:val="none"/>
              </w:rPr>
              <w:t>流失用户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使用时长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高频(&gt;30min/天), 中频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（5≤时长＜30min/天）</w:t>
            </w:r>
            <w:r>
              <w:rPr>
                <w:i w:val="false"/>
                <w:strike w:val="false"/>
                <w:color w:val="000000"/>
                <w:u w:val="none"/>
              </w:rPr>
              <w:t>, 低频(&lt;5min/天)</w:t>
            </w:r>
          </w:p>
        </w:tc>
      </w:tr>
    </w:tbl>
    <w:p>
      <w:pPr>
        <w:pStyle w:val="000005"/>
        <w:rPr>
          <w:lang/>
        </w:rPr>
      </w:pPr>
      <w:r>
        <w:rPr>
          <w:lang/>
        </w:rPr>
        <w:t>行为操作：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浏览</w:t>
            </w:r>
          </w:p>
        </w:tc>
        <w:tc>
          <w:tcPr>
            <w:tcW w:w="4140" w:type="dxa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浏览某基金详情页超过10s：推荐该基金所属行业得咨询</w:t>
            </w:r>
          </w:p>
          <w:p>
            <w:pPr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浏览某行业咨询超过3篇，时间超过10s：推荐该行业表现较好的基金3支</w:t>
            </w:r>
            <w:r>
              <w:rPr>
                <w:rFonts w:hint="eastAsia"/>
                <w:lang/>
              </w:rPr>
              <w:br w:type="textWrapping"/>
            </w:r>
            <w:r>
              <w:rPr>
                <w:rFonts w:hint="eastAsia"/>
                <w:lang/>
              </w:rPr>
              <w:t>浏交易记录超过10s：分析用户消费行为习惯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搜索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点击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Style w:val="000005"/>
        <w:rPr>
          <w:lang/>
        </w:rPr>
      </w:pPr>
      <w:r>
        <w:rPr>
          <w:lang/>
        </w:rPr>
        <w:t>Agent数据输入与输出</w:t>
      </w:r>
    </w:p>
    <w:p>
      <w:pPr>
        <w:pStyle w:val="000005"/>
        <w:pBdr/>
        <w:ind/>
        <w:rPr>
          <w:lang/>
        </w:rPr>
      </w:pPr>
      <w:r>
        <w:rPr>
          <w:lang/>
        </w:rPr>
        <w:t>SocioRoleAgent:</w:t>
      </w:r>
    </w:p>
    <w:p>
      <w:pPr>
        <w:pStyle w:val="000001"/>
        <w:pBdr>
          <w:bottom/>
        </w:pBdr>
        <w:ind/>
        <w:rPr>
          <w:lang/>
        </w:rPr>
      </w:pPr>
      <w:r>
        <w:rPr>
          <w:rFonts w:hint="eastAsia"/>
          <w:lang/>
        </w:rPr>
        <w:t>注册需要完善以下信息（包括asset的风险承受能力）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输入标签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备注</w:t>
            </w:r>
          </w:p>
        </w:tc>
      </w:tr>
      <w:tr>
        <w:trPr/>
        <w:tc>
          <w:tcPr>
            <w:tcW w:w="4140" w:type="dxa"/>
          </w:tcPr>
          <w:p>
            <w:pPr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姓名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身份证号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手机号码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城市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可选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职业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可选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投资目的</w:t>
            </w:r>
          </w:p>
        </w:tc>
        <w:tc>
          <w:tcPr>
            <w:tcW w:w="4140" w:type="dxa"/>
          </w:tcPr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可选，在风险偏好问卷之前。</w:t>
            </w:r>
          </w:p>
          <w:p>
            <w:pPr>
              <w:pBdr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选项：①资本增值与长期财富积累；②</w:t>
            </w:r>
          </w:p>
          <w:p>
            <w:pPr>
              <w:pBdr>
                <w:bottom/>
              </w:pBdr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稳健收益与资产保值；③现金管理与流动性管理；④分散风险与资产配置；⑤教育学习与体验市场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Style w:val="000007"/>
        <w:rPr/>
      </w:pPr>
      <w:r>
        <w:rPr/>
        <w:t>购买/浏览基金的主要目的（5类）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第1类：资本增值与长期财富积累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：追求资产的长远、显著增长，实现财富的倍增。通常投资周期较长（5年以上），愿意承受较高的短期波动以换取更高的潜在回报。</w:t>
      </w:r>
      <w:r>
        <w:rPr>
          <w:b/>
          <w:i w:val="false"/>
          <w:strike w:val="false"/>
          <w:color w:val="000000"/>
          <w:u w:val="none"/>
        </w:rPr>
        <w:t>典型基金</w:t>
      </w:r>
      <w:r>
        <w:rPr>
          <w:i w:val="false"/>
          <w:strike w:val="false"/>
          <w:color w:val="000000"/>
          <w:u w:val="none"/>
        </w:rPr>
        <w:t>：股票型基金、偏股混合型基金、行业主题基金（如科技、消费、新能源等）。</w:t>
      </w:r>
      <w:r>
        <w:rPr>
          <w:b/>
          <w:i w:val="false"/>
          <w:strike w:val="false"/>
          <w:color w:val="000000"/>
          <w:u w:val="none"/>
        </w:rPr>
        <w:t>人群画像</w:t>
      </w:r>
      <w:r>
        <w:rPr>
          <w:i w:val="false"/>
          <w:strike w:val="false"/>
          <w:color w:val="000000"/>
          <w:u w:val="none"/>
        </w:rPr>
        <w:t>：年轻投资者、收入稳定且风险承受能力较强的投资者，为养老、子女教育等长期目标做准备。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第2类：稳健收益与资产保值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：在控制风险的前提下，获得超越银行存款的稳定收益，对抗通货膨胀，实现资产的稳健保值。</w:t>
      </w:r>
      <w:r>
        <w:rPr>
          <w:b/>
          <w:i w:val="false"/>
          <w:strike w:val="false"/>
          <w:color w:val="000000"/>
          <w:u w:val="none"/>
        </w:rPr>
        <w:t>典型基金</w:t>
      </w:r>
      <w:r>
        <w:rPr>
          <w:i w:val="false"/>
          <w:strike w:val="false"/>
          <w:color w:val="000000"/>
          <w:u w:val="none"/>
        </w:rPr>
        <w:t>：债券型基金、偏债混合型基金、“固收+”策略基金。</w:t>
      </w:r>
      <w:r>
        <w:rPr>
          <w:b/>
          <w:i w:val="false"/>
          <w:strike w:val="false"/>
          <w:color w:val="000000"/>
          <w:u w:val="none"/>
        </w:rPr>
        <w:t>人群画像</w:t>
      </w:r>
      <w:r>
        <w:rPr>
          <w:i w:val="false"/>
          <w:strike w:val="false"/>
          <w:color w:val="000000"/>
          <w:u w:val="none"/>
        </w:rPr>
        <w:t>：风险偏好中性或保守的投资者，如中老年人、临近退休或需要定期现金流补充的投资者。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第3类：现金管理与流动性管理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：将暂时闲置的资金进行管理，追求比活期存款更高的收益，同时保证资金的极高流动性和安全性，方便随时取用。</w:t>
      </w:r>
      <w:r>
        <w:rPr>
          <w:b/>
          <w:i w:val="false"/>
          <w:strike w:val="false"/>
          <w:color w:val="000000"/>
          <w:u w:val="none"/>
        </w:rPr>
        <w:t>典型基金</w:t>
      </w:r>
      <w:r>
        <w:rPr>
          <w:i w:val="false"/>
          <w:strike w:val="false"/>
          <w:color w:val="000000"/>
          <w:u w:val="none"/>
        </w:rPr>
        <w:t>：货币市场基金。</w:t>
      </w:r>
      <w:r>
        <w:rPr>
          <w:b/>
          <w:i w:val="false"/>
          <w:strike w:val="false"/>
          <w:color w:val="000000"/>
          <w:u w:val="none"/>
        </w:rPr>
        <w:t>人群画像</w:t>
      </w:r>
      <w:r>
        <w:rPr>
          <w:i w:val="false"/>
          <w:strike w:val="false"/>
          <w:color w:val="000000"/>
          <w:u w:val="none"/>
        </w:rPr>
        <w:t>：所有投资者，尤其是将基金账户作为“资金中转站”或存放应急备用金的用户。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第4类：分散风险与资产配置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：不把鸡蛋放在同一个篮子里。通过投资不同类型的基金（如跨市场、跨资产类别），降低整体投资组合的波动性。</w:t>
      </w:r>
      <w:r>
        <w:rPr>
          <w:b/>
          <w:i w:val="false"/>
          <w:strike w:val="false"/>
          <w:color w:val="000000"/>
          <w:u w:val="none"/>
        </w:rPr>
        <w:t>典型基金</w:t>
      </w:r>
      <w:r>
        <w:rPr>
          <w:i w:val="false"/>
          <w:strike w:val="false"/>
          <w:color w:val="000000"/>
          <w:u w:val="none"/>
        </w:rPr>
        <w:t>：指数基金（尤其是宽基指数如沪深300）、QDII基金（投资海外市场）、商品基金（如黄金ETF）、不同行业或风格的基金组合。</w:t>
      </w:r>
      <w:r>
        <w:rPr>
          <w:b/>
          <w:i w:val="false"/>
          <w:strike w:val="false"/>
          <w:color w:val="000000"/>
          <w:u w:val="none"/>
        </w:rPr>
        <w:t>人群画像</w:t>
      </w:r>
      <w:r>
        <w:rPr>
          <w:i w:val="false"/>
          <w:strike w:val="false"/>
          <w:color w:val="000000"/>
          <w:u w:val="none"/>
        </w:rPr>
        <w:t>：有一定投资经验、注重投资组合构建和风险管理的成熟投资者。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第5类：教育学习与体验市场</w:t>
      </w:r>
    </w:p>
    <w:p>
      <w:pPr>
        <w:pBdr/>
        <w:ind w:left="0"/>
        <w:rPr>
          <w:rFonts w:hint="eastAsia"/>
          <w:lang/>
        </w:rPr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：主要目的并非立即获得高额回报，而是通过小额投入来学习基金投资的知识、熟悉市场规则、体验投资过程，为未来的投资实践打下基础。</w:t>
      </w:r>
      <w:r>
        <w:rPr>
          <w:b/>
          <w:i w:val="false"/>
          <w:strike w:val="false"/>
          <w:color w:val="000000"/>
          <w:u w:val="none"/>
        </w:rPr>
        <w:t>典型基金</w:t>
      </w:r>
      <w:r>
        <w:rPr>
          <w:i w:val="false"/>
          <w:strike w:val="false"/>
          <w:color w:val="000000"/>
          <w:u w:val="none"/>
        </w:rPr>
        <w:t>：各种类型的基金都可能涉及，但金额通常较小。</w:t>
      </w:r>
      <w:r>
        <w:rPr>
          <w:b/>
          <w:i w:val="false"/>
          <w:strike w:val="false"/>
          <w:color w:val="000000"/>
          <w:u w:val="none"/>
        </w:rPr>
        <w:t>人群画像</w:t>
      </w:r>
      <w:r>
        <w:rPr>
          <w:i w:val="false"/>
          <w:strike w:val="false"/>
          <w:color w:val="000000"/>
          <w:u w:val="none"/>
        </w:rPr>
        <w:t>：投资新手、在校学生、对金融市场充满好奇的学习者。</w:t>
      </w:r>
    </w:p>
    <w:p>
      <w:pPr>
        <w:pStyle w:val="000005"/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AssetAgent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输入标签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备注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风险承受能力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必选，如下问卷，存入选项和结果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资产总水平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存款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本银行账户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基金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本银行渠道购买基金</w:t>
            </w:r>
          </w:p>
        </w:tc>
      </w:tr>
      <w:tr>
        <w:trPr>
          <w:trHeight w:val="507" w:hRule="atLeast"/>
        </w:trPr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Style w:val="000007"/>
        <w:numPr/>
        <w:rPr/>
      </w:pPr>
      <w:r>
        <w:rPr/>
        <w:t>风险承受能力：</w:t>
      </w:r>
    </w:p>
    <w:p>
      <w:pPr>
        <w:numPr>
          <w:ilvl w:val="0"/>
          <w:numId w:val="12"/>
        </w:numPr>
        <w:snapToGrid/>
        <w:spacing w:line="240"/>
        <w:ind/>
        <w:rPr/>
      </w:pPr>
      <w:bookmarkStart w:id="1" w:name="_hidden:hidden1762613596574"/>
      <w:bookmarkStart w:id="2" w:name="_hidden:hidden1762613602774"/>
      <w:r>
        <w:rPr>
          <w:i w:val="false"/>
          <w:strike w:val="false"/>
          <w:color w:val="000000"/>
          <w:u w:val="none"/>
        </w:rPr>
        <w:t>风险偏好（权重 30%）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题目示例：“若投资 1 年亏损 10%，你的反应是？”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选项评分：恐慌抛售（1 分）、观望不动（2 分）、适当补仓（3 分）、大幅加仓（4 分）、满仓买入（5 分）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投资经验（权重 25%）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题目示例：“过往投资品类包含（可多选，按复杂度计分）？”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选项评分：仅存款 / 国债（1 分）、银行理财（2 分）、基金 / 债券（3 分）、股票 / 期货（4 分）、衍生品 / 私募（5 分）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财务状况（权重 25%）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题目示例：“可投资资产占家庭总资产的比例？”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选项评分：＜10%（1 分）、10%-30%（2 分）、30%-50%（3 分）、50%-70%（4 分）、＞70%（5 分）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投资期限（权重 10%）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题目示例：“计划持有投资资金的期限？”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选项评分：＜6 个月（1 分）、6 个月 - 1 年（2 分）、1-3 年（3 分）、3-5 年（4 分）、＞5 年（5 分）</w:t>
      </w:r>
    </w:p>
    <w:p>
      <w:pPr>
        <w:numPr>
          <w:ilvl w:val="0"/>
          <w:numId w:val="2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抗风险能力（权重 10%）</w:t>
      </w:r>
    </w:p>
    <w:p>
      <w:pPr>
        <w:numPr>
          <w:ilvl w:val="0"/>
          <w:numId w:val="2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题目示例：“若投资亏损 20%，是否影响家庭正常生活？”</w:t>
      </w:r>
    </w:p>
    <w:p>
      <w:pPr>
        <w:numPr>
          <w:ilvl w:val="0"/>
          <w:numId w:val="2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选项评分：严重影响（1 分）、有一定影响（2 分）、影响较小（3 分）、基本无影响（4 分）、完全无影响（5 分）</w:t>
      </w:r>
    </w:p>
    <w:p>
      <w:pPr>
        <w:pBdr/>
        <w:ind w:left="0"/>
        <w:rPr>
          <w:rFonts w:hint="eastAsia"/>
          <w:lang/>
        </w:rPr>
      </w:pPr>
      <w:bookmarkEnd w:id="1"/>
    </w:p>
    <w:p>
      <w:pPr>
        <w:pStyle w:val="000005"/>
        <w:numPr/>
        <w:snapToGrid/>
        <w:spacing w:line="240"/>
        <w:ind/>
        <w:rPr/>
      </w:pPr>
      <w:bookmarkEnd w:id="2"/>
      <w:r>
        <w:rPr>
          <w:i w:val="false"/>
          <w:strike w:val="false"/>
          <w:color w:val="000000"/>
          <w:u w:val="none"/>
        </w:rPr>
        <w:t>BehaviorAgent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Bdr/>
        <w:ind w:left="0"/>
        <w:rPr>
          <w:rFonts w:hint="eastAsia"/>
          <w:lang/>
        </w:rPr>
      </w:pPr>
    </w:p>
    <w:p>
      <w:pPr>
        <w:pStyle w:val="000005"/>
        <w:numPr/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SummaryAgent</w:t>
      </w: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输出标签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备注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交互形式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必选，选项：聊天气泡，高亮，无交互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基金ID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必选，如果无推荐基金，返回NaN</w:t>
            </w: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建议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下一步操作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  <w:tr>
        <w:trPr/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风险偏好</w:t>
            </w:r>
          </w:p>
        </w:tc>
        <w:tc>
          <w:tcPr>
            <w:tcW w:w="4140" w:type="dxa"/>
          </w:tcPr>
          <w:p>
            <w:pPr>
              <w:rPr>
                <w:rFonts w:hint="eastAsia"/>
                <w:lang/>
              </w:rPr>
            </w:pPr>
          </w:p>
        </w:tc>
      </w:tr>
    </w:tbl>
    <w:p>
      <w:pPr>
        <w:pBdr/>
        <w:ind w:left="0"/>
        <w:rPr>
          <w:rFonts w:hint="eastAsia"/>
          <w:lang/>
        </w:rPr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三、Agent 设计</w:t>
      </w:r>
    </w:p>
    <w:p>
      <w:pPr>
        <w:pStyle w:val="000004"/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3.1 </w:t>
      </w:r>
      <w:r>
        <w:rPr>
          <w:rFonts w:hint="eastAsia"/>
          <w:i w:val="false"/>
          <w:strike w:val="false"/>
          <w:color w:val="000000"/>
          <w:u w:val="none"/>
        </w:rPr>
        <w:t>基础配置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使用Agno框架，搭建agentic workflow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3.2 Agent 目录概览</w:t>
      </w:r>
    </w:p>
    <w:tbl>
      <w:tblPr>
        <w:tblStyle w:val="000015"/>
        <w:tblLayout w:type="fixed"/>
      </w:tblPr>
      <w:tblGrid>
        <w:gridCol w:w="1995"/>
        <w:gridCol w:w="3705"/>
        <w:gridCol w:w="3840"/>
      </w:tblGrid>
      <w:tr>
        <w:trPr/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模块路径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角色说明</w:t>
            </w:r>
          </w:p>
        </w:tc>
      </w:tr>
      <w:tr>
        <w:trPr/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SocioRoleAgent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agents/socio_role/builder.py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解析用户身份画像与常驻标签</w:t>
            </w:r>
          </w:p>
        </w:tc>
      </w:tr>
      <w:tr>
        <w:trPr/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AssetAgent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agents/asset/builder.py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计算资产等级、风险等级与授信能力</w:t>
            </w:r>
          </w:p>
        </w:tc>
      </w:tr>
      <w:tr>
        <w:trPr/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BehaviorAgent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agents/behavior/builder.py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识别行为意图、活跃度信号</w:t>
            </w:r>
          </w:p>
        </w:tc>
      </w:tr>
      <w:tr>
        <w:trPr/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SummaryAgent</w:t>
            </w:r>
          </w:p>
        </w:tc>
        <w:tc>
          <w:tcPr>
            <w:tcW w:w="3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agents/summary/builder.py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汇总各子结果生成推荐与话术</w:t>
            </w:r>
          </w:p>
        </w:tc>
      </w:tr>
    </w:tbl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3.3 工作流配置</w:t>
      </w: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实现文件</w:t>
      </w:r>
      <w:r>
        <w:rPr>
          <w:i w:val="false"/>
          <w:strike w:val="false"/>
          <w:color w:val="000000"/>
          <w:u w:val="none"/>
        </w:rPr>
        <w:t>：agents/pipeline.py</w:t>
      </w: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工作流名称</w:t>
      </w:r>
      <w:r>
        <w:rPr>
          <w:i w:val="false"/>
          <w:strike w:val="false"/>
          <w:color w:val="000000"/>
          <w:u w:val="none"/>
        </w:rPr>
        <w:t>：webank_agent_pipeline</w:t>
      </w: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执行顺序</w:t>
      </w:r>
      <w:r>
        <w:rPr>
          <w:i w:val="false"/>
          <w:strike w:val="false"/>
          <w:color w:val="000000"/>
          <w:u w:val="none"/>
        </w:rPr>
        <w:t>：SocioRole → Asset → Behavior → Summary</w:t>
      </w: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引擎</w:t>
      </w:r>
      <w:r>
        <w:rPr>
          <w:i w:val="false"/>
          <w:strike w:val="false"/>
          <w:color w:val="000000"/>
          <w:u w:val="none"/>
        </w:rPr>
        <w:t>：agno.workflow.Workflow，每个步骤通过 Step 执行自定义 Python 函数，函数内调用对应 Agent。</w:t>
      </w: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状态传递</w:t>
      </w:r>
      <w:r>
        <w:rPr>
          <w:i w:val="false"/>
          <w:strike w:val="false"/>
          <w:color w:val="000000"/>
          <w:u w:val="none"/>
        </w:rPr>
        <w:t>： SocioRole/Asset/Behavior 的结构化输出会保存至 StepOutput.content，供 Summary 步骤读取。</w:t>
      </w:r>
    </w:p>
    <w:p>
      <w:pPr>
        <w:numPr>
          <w:ilvl w:val="1"/>
          <w:numId w:val="2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Summary 步骤构造的总览结果作为工作流最终内容返回。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3.4 Agent 输入输出规范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3.4.1 SocioRoleAgent</w:t>
      </w:r>
    </w:p>
    <w:p>
      <w:pPr>
        <w:numPr>
          <w:ilvl w:val="0"/>
          <w:numId w:val="2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标准输入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jugmu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"customer_id": "C123456789",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"demographics":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"age": 34,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"gender": "female",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"city_tier": "T2"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"contact_preferences":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"preferred_channel": "app_push",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"do_not_call": false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"kyc":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"onboarded_at": "2021-06-18",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"resident_city": "Shenzhen",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"occupation": "Product Manager"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标准输出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po02m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"agent": "SocioRoleAgent",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"age_segment": "31-40",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"gender": "female",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"residence_city": "Shenzhen",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"city_tier": "T2",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"region": "珠三角",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"occupation": "Product Manager",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"compliance_flags":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"do_not_call": false,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"kyc_valid": true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"insights":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"年龄 34 岁，处于财富积累期，风险承受能力中高。",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"常驻深圳，珠三角核心城市，可优先推荐本地权益活动。"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3.4.2 AssetAgent</w:t>
      </w:r>
    </w:p>
    <w:p>
      <w:pPr>
        <w:numPr>
          <w:ilvl w:val="0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标准输入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gi4e3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"accounts":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"deposit",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"balance_cny": 820000.0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"fund",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"balance_cny": 120000.0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"risk_questionnaire":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"score": 78,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"submitted_at": "2023-11-05"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"credit":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"existing_limit": 500000,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"utilization_ratio": 0.36,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"delinquency_days": 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标准输出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fmza6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"agent": "AssetAgent",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"asset_level": "中产2",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"total_assets_cny": 940000.0,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"risk_score": 39,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"risk_level": "R4",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"credit_intent": "中",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"repayment_capacity": "良好",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"signals":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"总资产约94万元，超过中产用户2阈值。",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"风险测评得分 39，对应进取型（R4），可承受中高波动。",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"授信额度 50 万，利用率 36%，按时还款记录良好。"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3.4.3 BehaviorAgent</w:t>
      </w:r>
    </w:p>
    <w:p>
      <w:pPr>
        <w:numPr>
          <w:ilvl w:val="0"/>
          <w:numId w:val="2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标准输入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bfgix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"app_sessions_last_30d": 18,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"key_events":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"event": "viewed_credit_upgrade",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"count": 4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"event": "redeemed_fund_coupon",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"count": 2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"search_terms":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"指数基金",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"高端理财",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"信用卡额度"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"market_context":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"hs300_change_pct": -1.2,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"housing_index_change_pct": 0.8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标准输出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n8irn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"agent": "BehaviorAgent",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"activity_level": "周活",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"usage_duration": "中频",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"intent_tags":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"意图-寻求高收益",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"意图-资产配置"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"intervention_signals":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"机会",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"description": "多次查看信用卡提额与高端理财，适合作额度提升与中高端理财搭售。"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"跟进",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"description": "观察沪深300回撤时仍关注基金，可推送波动提醒与再平衡教育内容。"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3.4.4 SummaryAgent</w:t>
      </w:r>
    </w:p>
    <w:p>
      <w:pPr>
        <w:numPr>
          <w:ilvl w:val="0"/>
          <w:numId w:val="2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标准输入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rz56h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"socio_role":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"agent": "SocioRoleAgent",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"age_segment": "31-40",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"gender": "female",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"residence_city": "Shenzhen",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"city_tier": "T2",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"region": "珠三角",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"occupation": "Product Manager",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"compliance_flags":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"do_not_call": false,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"kyc_valid": true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"asset":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"agent": "AssetAgent",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"asset_level": "中产2",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"total_assets_cny": 940000.0,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"risk_score": 39,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"risk_level": "R4",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"credit_intent": "中",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"repayment_capacity": "良好"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"behavior":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"agent": "BehaviorAgent",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"activity_level": "周活",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"usage_duration": "中频",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"intent_tags":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"意图-寻求高收益",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"意图-资产配置"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"context":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"locale": "zh-CN",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"channel": "app",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"campaign": "spring_finance_2024"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标准输出 JSON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s3x3k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"agent": "SummaryAgent",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"persona": "珠三角中产进取型理财人群",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"tone": "专业且友好，强调结构化资产配置建议",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"recommendations":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"理财产品",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"message": "建议将新增资金 30% 投入中低波动的固收增强产品，余下 70% 延续指数基金配置，关注市场回调时定投。",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"confidence": "高"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"type": "信用服务",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"message": "基于良好的用信行为，可申请信用卡提额或定制消费分期权益。",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"confidence": "中"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"next_best_actions":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"推送资产再平衡图谱，结合珠三角区域权益权益活动。",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"安排客服在 48 小时内回访了解提额意愿。"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"risk_warnings":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"提醒关注市场波动，设置止盈与止损策略。"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3.5 运行与部署要点</w:t>
      </w:r>
    </w:p>
    <w:p>
      <w:pPr>
        <w:numPr>
          <w:ilvl w:val="0"/>
          <w:numId w:val="3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模型配置</w:t>
      </w:r>
      <w:r>
        <w:rPr>
          <w:i w:val="false"/>
          <w:strike w:val="false"/>
          <w:color w:val="000000"/>
          <w:u w:val="none"/>
        </w:rPr>
        <w:t>：通过环境变量 DASHSCOPE_API_KEY、DASHSCOPE_BASE_URL、AGNO_MODEL_ID 与 AGNO_TEMPERATURE 控制所有 Agent 与 Workflow 的默认模型实例。</w:t>
      </w:r>
    </w:p>
    <w:p>
      <w:pPr>
        <w:numPr>
          <w:ilvl w:val="0"/>
          <w:numId w:val="3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AgentOS 接入</w:t>
      </w:r>
      <w:r>
        <w:rPr>
          <w:i w:val="false"/>
          <w:strike w:val="false"/>
          <w:color w:val="000000"/>
          <w:u w:val="none"/>
        </w:rPr>
        <w:t>：agent_os.py 暴露 build_agent_os/get_app 方法，可直接使用 uvicorn agent_os:get_app --factory --reload 启动 HTTP API。</w:t>
      </w:r>
    </w:p>
    <w:p>
      <w:pPr>
        <w:numPr>
          <w:ilvl w:val="0"/>
          <w:numId w:val="31"/>
        </w:num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示例输入</w:t>
      </w:r>
      <w:r>
        <w:rPr>
          <w:i w:val="false"/>
          <w:strike w:val="false"/>
          <w:color w:val="000000"/>
          <w:u w:val="none"/>
        </w:rPr>
        <w:t>：根目录提供 example.json，可用于本地调试 WebankAgentPipeline 或 AgentOS 接口。</w:t>
      </w:r>
    </w:p>
    <w:p>
      <w:pPr>
        <w:pBdr/>
        <w:spacing w:before="0"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pBdr/>
        <w:ind w:left="0"/>
        <w:rPr>
          <w:rFonts w:hint="eastAsia"/>
          <w:lang/>
        </w:rPr>
      </w:pPr>
    </w:p>
    <w:p>
      <w:pP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lowerRoman"/>
      <w:lvlText w:val="%3."/>
      <w:pPr>
        <w:ind w:leftChars="400" w:hanging="336"/>
      </w:pPr>
    </w:lvl>
    <w:lvl w:ilvl="0">
      <w:start w:val="2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lowerLetter"/>
      <w:lvlText w:val="%8."/>
      <w:pPr>
        <w:ind w:leftChars="14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0">
      <w:start w:val="5"/>
      <w:numFmt w:val="decimal"/>
      <w:lvlText w:val="%1."/>
      <w:pPr>
        <w:tabs/>
        <w:ind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</w:abstractNum>
  <w:abstractNum w:abstractNumId="1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1">
    <w:lvl w:ilvl="5">
      <w:start w:val="1"/>
      <w:numFmt w:val="lowerRoman"/>
      <w:lvlText w:val="%6."/>
      <w:pPr>
        <w:ind w:leftChars="10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</w:abstractNum>
  <w:abstractNum w:abstractNumId="22">
    <w:lvl w:ilvl="1">
      <w:start w:val="1"/>
      <w:numFmt w:val="lowerLetter"/>
      <w:lvlText w:val="%2."/>
      <w:pPr>
        <w:ind w:leftChars="2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0">
      <w:start w:val="2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</w:abstractNum>
  <w:abstractNum w:abstractNumId="23">
    <w:lvl w:ilvl="8">
      <w:start w:val="1"/>
      <w:numFmt w:val="lowerRoman"/>
      <w:lvlText w:val="%9."/>
      <w:pPr>
        <w:ind w:leftChars="16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0">
      <w:start w:val="4"/>
      <w:numFmt w:val="decimal"/>
      <w:lvlText w:val="%1."/>
      <w:pPr>
        <w:tabs/>
        <w:ind/>
      </w:pPr>
      <w:rPr/>
    </w:lvl>
  </w:abstractNum>
  <w:abstractNum w:abstractNumId="24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4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5">
    <w:lvl w:ilvl="0">
      <w:start w:val="3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6"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0">
      <w:start w:val="3"/>
      <w:numFmt w:val="decimal"/>
      <w:lvlText w:val="%1."/>
      <w:pPr>
        <w:tabs/>
        <w:ind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</w:abstractNum>
  <w:abstractNum w:abstractNumId="2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9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5"/>
      <w:numFmt w:val="decimal"/>
      <w:lvlText w:val="%1."/>
      <w:pPr>
        <w:ind/>
      </w:pPr>
      <w:rPr/>
    </w:lvl>
  </w:abstractNum>
  <w:abstractNum w:abstractNumId="3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22">
    <w:abstractNumId w:val="10"/>
  </w:num>
  <w:num w:numId="31">
    <w:abstractNumId w:val="5"/>
  </w:num>
  <w:num w:numId="15">
    <w:abstractNumId w:val="11"/>
  </w:num>
  <w:num w:numId="25">
    <w:abstractNumId w:val="28"/>
  </w:num>
  <w:num w:numId="12">
    <w:abstractNumId w:val="21"/>
  </w:num>
  <w:num w:numId="16">
    <w:abstractNumId w:val="26"/>
  </w:num>
  <w:num w:numId="4">
    <w:abstractNumId w:val="1"/>
  </w:num>
  <w:num w:numId="21">
    <w:abstractNumId w:val="9"/>
  </w:num>
  <w:num w:numId="9">
    <w:abstractNumId w:val="29"/>
  </w:num>
  <w:num w:numId="7">
    <w:abstractNumId w:val="24"/>
  </w:num>
  <w:num w:numId="13">
    <w:abstractNumId w:val="3"/>
  </w:num>
  <w:num w:numId="14">
    <w:abstractNumId w:val="22"/>
  </w:num>
  <w:num w:numId="26">
    <w:abstractNumId w:val="2"/>
  </w:num>
  <w:num w:numId="5">
    <w:abstractNumId w:val="25"/>
  </w:num>
  <w:num w:numId="24">
    <w:abstractNumId w:val="8"/>
  </w:num>
  <w:num w:numId="17">
    <w:abstractNumId w:val="14"/>
  </w:num>
  <w:num w:numId="8">
    <w:abstractNumId w:val="15"/>
  </w:num>
  <w:num w:numId="1">
    <w:abstractNumId w:val="16"/>
  </w:num>
  <w:num w:numId="18">
    <w:abstractNumId w:val="23"/>
  </w:num>
  <w:num w:numId="2">
    <w:abstractNumId w:val="19"/>
  </w:num>
  <w:num w:numId="28">
    <w:abstractNumId w:val="30"/>
  </w:num>
  <w:num w:numId="3">
    <w:abstractNumId w:val="7"/>
  </w:num>
  <w:num w:numId="23">
    <w:abstractNumId w:val="17"/>
  </w:num>
  <w:num w:numId="30">
    <w:abstractNumId w:val="31"/>
  </w:num>
  <w:num w:numId="11">
    <w:abstractNumId w:val="18"/>
  </w:num>
  <w:num w:numId="29">
    <w:abstractNumId w:val="27"/>
  </w:num>
  <w:num w:numId="27">
    <w:abstractNumId w:val="20"/>
  </w:num>
  <w:num w:numId="19">
    <w:abstractNumId w:val="4"/>
  </w:num>
  <w:num w:numId="6">
    <w:abstractNumId w:val="13"/>
  </w:num>
  <w:num w:numId="20">
    <w:abstractNumId w:val="12"/>
  </w:num>
  <w:num w:numId="10">
    <w:abstractNumId w:val="6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ght Shading Accent 5" w:uiPriority="60"/>
    <w:lsdException w:name="Grid Table 1 Light Accent 3" w:uiPriority="46"/>
    <w:lsdException w:name="List Table 7 Colorful Accent 5" w:uiPriority="52"/>
    <w:lsdException w:name="Grid Table 7 Colorful Accent 3" w:uiPriority="52"/>
    <w:lsdException w:name="Medium List 1 Accent 4" w:uiPriority="65"/>
    <w:lsdException w:name="Light Grid Accent 6" w:uiPriority="62"/>
    <w:lsdException w:name="List Table 2 Accent 4" w:uiPriority="47"/>
    <w:lsdException w:name="List Table 1 Light Accent 2" w:uiPriority="46"/>
    <w:lsdException w:name="heading 5" w:qFormat="true"/>
    <w:lsdException w:name="HTML Sample" w:uiPriority="99"/>
    <w:lsdException w:name="Table Classic 2" w:semiHidden="true" w:unhideWhenUsed="true"/>
    <w:lsdException w:name="Medium Shading 1 Accent 2" w:uiPriority="63"/>
    <w:lsdException w:name="Medium List 1 Accent 5" w:uiPriority="65"/>
    <w:lsdException w:name="Medium List 1 Accent 1" w:uiPriority="65"/>
    <w:lsdException w:name="HTML Typewriter" w:uiPriority="99"/>
    <w:lsdException w:name="Table List 6" w:semiHidden="true" w:unhideWhenUsed="true"/>
    <w:lsdException w:name="Grid Table 1 Light" w:uiPriority="46"/>
    <w:lsdException w:name="Medium List 1 Accent 6" w:uiPriority="65"/>
    <w:lsdException w:name="Light Grid Accent 2" w:uiPriority="62"/>
    <w:lsdException w:name="Grid Table 3 Accent 3" w:uiPriority="48"/>
    <w:lsdException w:name="Grid Table 7 Colorful Accent 6" w:uiPriority="52"/>
    <w:lsdException w:name="List Table 2 Accent 6" w:uiPriority="47"/>
    <w:lsdException w:name="List Table 5 Dark Accent 5" w:uiPriority="50"/>
    <w:lsdException w:name="Grid Table 5 Dark Accent 3" w:uiPriority="50"/>
    <w:lsdException w:name="Dark List Accent 3" w:uiPriority="70"/>
    <w:lsdException w:name="Table 3D effects 3" w:semiHidden="true" w:unhideWhenUsed="true"/>
    <w:lsdException w:name="Light Shading Accent 6" w:uiPriority="60"/>
    <w:lsdException w:name="Table Elegant" w:semiHidden="true" w:unhideWhenUsed="true"/>
    <w:lsdException w:name="Table Columns 4" w:semiHidden="true" w:unhideWhenUsed="true"/>
    <w:lsdException w:name="Colorful Shading Accent 2" w:uiPriority="71"/>
    <w:lsdException w:name="Intense Reference" w:uiPriority="32" w:qFormat="true"/>
    <w:lsdException w:name="Medium Grid 3 Accent 3" w:uiPriority="69"/>
    <w:lsdException w:name="List Table 1 Light Accent 5" w:uiPriority="46"/>
    <w:lsdException w:name="Medium Grid 2 Accent 1" w:uiPriority="68"/>
    <w:lsdException w:name="Table 3D effects 2" w:semiHidden="true" w:unhideWhenUsed="true"/>
    <w:lsdException w:name="Medium Shading 2 Accent 5" w:uiPriority="64"/>
    <w:lsdException w:name="List Paragraph" w:uiPriority="99"/>
    <w:lsdException w:name="Table Classic 4" w:semiHidden="true" w:unhideWhenUsed="true"/>
    <w:lsdException w:name="toc 6" w:uiPriority="99"/>
    <w:lsdException w:name="Table Web 2" w:semiHidden="true" w:unhideWhenUsed="true"/>
    <w:lsdException w:name="Colorful List Accent 1" w:uiPriority="72"/>
    <w:lsdException w:name="caption" w:semiHidden="true" w:unhideWhenUsed="true" w:qFormat="true"/>
    <w:lsdException w:name="Colorful List" w:uiPriority="72"/>
    <w:lsdException w:name="List Table 5 Dark Accent 4" w:uiPriority="50"/>
    <w:lsdException w:name="List Table 4" w:uiPriority="49"/>
    <w:lsdException w:name="Table Grid 2" w:semiHidden="true" w:unhideWhenUsed="true"/>
    <w:lsdException w:name="Medium List 2" w:uiPriority="66"/>
    <w:lsdException w:name="Outline List 2" w:uiPriority="99" w:semiHidden="true" w:unhideWhenUsed="true"/>
    <w:lsdException w:name="Colorful List Accent 2" w:uiPriority="72"/>
    <w:lsdException w:name="List Table 7 Colorful Accent 3" w:uiPriority="52"/>
    <w:lsdException w:name="Colorful List Accent 4" w:uiPriority="72"/>
    <w:lsdException w:name="List Table 1 Light Accent 3" w:uiPriority="46"/>
    <w:lsdException w:name="Light Shading" w:uiPriority="60"/>
    <w:lsdException w:name="Plain Table 5" w:uiPriority="45"/>
    <w:lsdException w:name="Light Grid Accent 1" w:uiPriority="62"/>
    <w:lsdException w:name="Medium Shading 1 Accent 3" w:uiPriority="63"/>
    <w:lsdException w:name="Medium Grid 3 Accent 5" w:uiPriority="69"/>
    <w:lsdException w:name="Light Shading Accent 1" w:uiPriority="60"/>
    <w:lsdException w:name="Grid Table 1 Light Accent 2" w:uiPriority="46"/>
    <w:lsdException w:name="Table Simple 3" w:semiHidden="true" w:unhideWhenUsed="true"/>
    <w:lsdException w:name="Colorful Shading Accent 4" w:uiPriority="71"/>
    <w:lsdException w:name="List Table 3 Accent 2" w:uiPriority="48"/>
    <w:lsdException w:name="Grid Table 6 Colorful Accent 5" w:uiPriority="51"/>
    <w:lsdException w:name="Medium List 1 Accent 3" w:uiPriority="65"/>
    <w:lsdException w:name="Grid Table 2 Accent 2" w:uiPriority="47"/>
    <w:lsdException w:name="HTML Acronym" w:uiPriority="99"/>
    <w:lsdException w:name="Colorful Shading Accent 6" w:uiPriority="71"/>
    <w:lsdException w:name="Grid Table 3 Accent 6" w:uiPriority="48"/>
    <w:lsdException w:name="Colorful Grid Accent 4" w:uiPriority="73"/>
    <w:lsdException w:name="Medium Shading 1 Accent 5" w:uiPriority="63"/>
    <w:lsdException w:name="Medium Grid 1 Accent 1" w:uiPriority="67"/>
    <w:lsdException w:name="Table List 2" w:semiHidden="true" w:unhideWhenUsed="true"/>
    <w:lsdException w:name="Default Paragraph Font" w:uiPriority="1" w:semiHidden="true" w:unhideWhenUsed="true"/>
    <w:lsdException w:name="Subtle Reference" w:uiPriority="31" w:qFormat="true"/>
    <w:lsdException w:name="HTML Variable" w:uiPriority="99"/>
    <w:lsdException w:name="Grid Table 1 Light Accent 5" w:uiPriority="46"/>
    <w:lsdException w:name="List Table 5 Dark Accent 2" w:uiPriority="50"/>
    <w:lsdException w:name="Light Shading Accent 2" w:uiPriority="60"/>
    <w:lsdException w:name="HTML Definition" w:uiPriority="99"/>
    <w:lsdException w:name="Medium Grid 2" w:uiPriority="68"/>
    <w:lsdException w:name="Medium Grid 1 Accent 5" w:uiPriority="67"/>
    <w:lsdException w:name="Hashtag" w:uiPriority="99" w:semiHidden="true" w:unhideWhenUsed="true"/>
    <w:lsdException w:name="List Table 7 Colorful Accent 2" w:uiPriority="52"/>
    <w:lsdException w:name="Grid Table Light" w:uiPriority="40"/>
    <w:lsdException w:name="Medium Shading 2 Accent 6" w:uiPriority="64"/>
    <w:lsdException w:name="Grid Table 5 Dark Accent 6" w:uiPriority="50"/>
    <w:lsdException w:name="Table Classic 1" w:semiHidden="true" w:unhideWhenUsed="true"/>
    <w:lsdException w:name="Dark List Accent 6" w:uiPriority="70"/>
    <w:lsdException w:name="List Table 7 Colorful Accent 6" w:uiPriority="52"/>
    <w:lsdException w:name="HTML Cite" w:uiPriority="99"/>
    <w:lsdException w:name="Grid Table 5 Dark" w:uiPriority="50"/>
    <w:lsdException w:name="Medium Shading 2 Accent 2" w:uiPriority="64"/>
    <w:lsdException w:name="Colorful Grid Accent 5" w:uiPriority="73"/>
    <w:lsdException w:name="List Table 5 Dark Accent 3" w:uiPriority="50"/>
    <w:lsdException w:name="Plain Table 2" w:uiPriority="42"/>
    <w:lsdException w:name="Table Subtle 1" w:semiHidden="true" w:unhideWhenUsed="true"/>
    <w:lsdException w:name="Grid Table 6 Colorful" w:uiPriority="51"/>
    <w:lsdException w:name="List Table 7 Colorful Accent 4" w:uiPriority="52"/>
    <w:lsdException w:name="Table 3D effects 1" w:semiHidden="true" w:unhideWhenUsed="true"/>
    <w:lsdException w:name="Grid Table 3 Accent 1" w:uiPriority="48"/>
    <w:lsdException w:name="Light Grid Accent 3" w:uiPriority="62"/>
    <w:lsdException w:name="toc 8" w:uiPriority="99"/>
    <w:lsdException w:name="Medium Grid 2 Accent 2" w:uiPriority="68"/>
    <w:lsdException w:name="Table Theme" w:semiHidden="true" w:unhideWhenUsed="true"/>
    <w:lsdException w:name="Colorful Grid Accent 2" w:uiPriority="73"/>
    <w:lsdException w:name="Grid Table 1 Light Accent 4" w:uiPriority="46"/>
    <w:lsdException w:name="List Table 4 Accent 5" w:uiPriority="49"/>
    <w:lsdException w:name="Medium Shading 1 Accent 4" w:uiPriority="63"/>
    <w:lsdException w:name="Grid Table 6 Colorful Accent 6" w:uiPriority="51"/>
    <w:lsdException w:name="Grid Table 2 Accent 1" w:uiPriority="47"/>
    <w:lsdException w:name="Book Title" w:uiPriority="33" w:qFormat="true"/>
    <w:lsdException w:name="Light Shading Accent 4" w:uiPriority="60"/>
    <w:lsdException w:name="HTML Keyboard" w:uiPriority="99"/>
    <w:lsdException w:name="List Table 1 Light" w:uiPriority="46"/>
    <w:lsdException w:name="Table Columns 3" w:semiHidden="true" w:unhideWhenUsed="true"/>
    <w:lsdException w:name="Medium List 2 Accent 5" w:uiPriority="66"/>
    <w:lsdException w:name="Medium List 1 Accent 2" w:uiPriority="65"/>
    <w:lsdException w:name="Grid Table 2 Accent 4" w:uiPriority="47"/>
    <w:lsdException w:name="List Table 6 Colorful Accent 5" w:uiPriority="51"/>
    <w:lsdException w:name="Table List 8" w:semiHidden="true" w:unhideWhenUsed="true"/>
    <w:lsdException w:name="Dark List" w:uiPriority="70"/>
    <w:lsdException w:name="Table Grid 7" w:semiHidden="true" w:unhideWhenUsed="true"/>
    <w:lsdException w:name="Light List" w:uiPriority="61"/>
    <w:lsdException w:name="Table Professional" w:semiHidden="true" w:unhideWhenUsed="true"/>
    <w:lsdException w:name="List Table 4 Accent 3" w:uiPriority="49"/>
    <w:lsdException w:name="toc 9" w:uiPriority="99"/>
    <w:lsdException w:name="Grid Table 5 Dark Accent 5" w:uiPriority="50"/>
    <w:lsdException w:name="Table List 7" w:semiHidden="true" w:unhideWhenUsed="true"/>
    <w:lsdException w:name="Smart Link" w:uiPriority="99" w:semiHidden="true" w:unhideWhenUsed="true"/>
    <w:lsdException w:name="Table Simple 1" w:semiHidden="true" w:unhideWhenUsed="true"/>
    <w:lsdException w:name="Light List Accent 2" w:uiPriority="61"/>
    <w:lsdException w:name="Light List Accent 6" w:uiPriority="61"/>
    <w:lsdException w:name="Grid Table 4 Accent 4" w:uiPriority="49"/>
    <w:lsdException w:name="toc 7" w:uiPriority="99"/>
    <w:lsdException w:name="Light Grid Accent 4" w:uiPriority="62"/>
    <w:lsdException w:name="List Table 2 Accent 3" w:uiPriority="47"/>
    <w:lsdException w:name="Smart Hyperlink" w:uiPriority="99" w:semiHidden="true" w:unhideWhenUsed="true"/>
    <w:lsdException w:name="Medium List 2 Accent 3" w:uiPriority="66"/>
    <w:lsdException w:name="HTML Preformatted" w:uiPriority="99"/>
    <w:lsdException w:name="Grid Table 7 Colorful Accent 1" w:uiPriority="52"/>
    <w:lsdException w:name="Medium Grid 2 Accent 5" w:uiPriority="68"/>
    <w:lsdException w:name="List Table 7 Colorful" w:uiPriority="52"/>
    <w:lsdException w:name="Normal Table" w:uiPriority="99" w:semiHidden="true" w:unhideWhenUsed="true"/>
    <w:lsdException w:name="List Table 5 Dark Accent 6" w:uiPriority="50"/>
    <w:lsdException w:name="Intense Emphasis" w:uiPriority="21" w:qFormat="true"/>
    <w:lsdException w:name="Intense Quote" w:uiPriority="99"/>
    <w:lsdException w:name="heading 3" w:qFormat="true"/>
    <w:lsdException w:name="List Table 3 Accent 1" w:uiPriority="48"/>
    <w:lsdException w:name="Table Web 1" w:semiHidden="true" w:unhideWhenUsed="true"/>
    <w:lsdException w:name="Grid Table 2 Accent 6" w:uiPriority="47"/>
    <w:lsdException w:name="Colorful Shading" w:uiPriority="71"/>
    <w:lsdException w:name="toc 2" w:uiPriority="99"/>
    <w:lsdException w:name="Medium List 2 Accent 1" w:uiPriority="66"/>
    <w:lsdException w:name="Grid Table 5 Dark Accent 4" w:uiPriority="50"/>
    <w:lsdException w:name="List Table 4 Accent 1" w:uiPriority="49"/>
    <w:lsdException w:name="Medium Grid 1 Accent 2" w:uiPriority="67"/>
    <w:lsdException w:name="Grid Table 3 Accent 2" w:uiPriority="48"/>
    <w:lsdException w:name="Subtitle" w:qFormat="true"/>
    <w:lsdException w:name="Grid Table 1 Light Accent 6" w:uiPriority="46"/>
    <w:lsdException w:name="Colorful Grid" w:uiPriority="73"/>
    <w:lsdException w:name="Table List 3" w:semiHidden="true" w:unhideWhenUsed="true"/>
    <w:lsdException w:name="Light List Accent 4" w:uiPriority="61"/>
    <w:lsdException w:name="Grid Table 4 Accent 1" w:uiPriority="49"/>
    <w:lsdException w:name="Quote" w:uiPriority="99"/>
    <w:lsdException w:name="Grid Table 7 Colorful Accent 5" w:uiPriority="52"/>
    <w:lsdException w:name="List Table 7 Colorful Accent 1" w:uiPriority="52"/>
    <w:lsdException w:name="Table Classic 3" w:semiHidden="true" w:unhideWhenUsed="true"/>
    <w:lsdException w:name="Table Grid 3" w:semiHidden="true" w:unhideWhenUsed="true"/>
    <w:lsdException w:name="Medium Shading 2 Accent 4" w:uiPriority="64"/>
    <w:lsdException w:name="Table List 1" w:semiHidden="true" w:unhideWhenUsed="true"/>
    <w:lsdException w:name="Medium Grid 1 Accent 3" w:uiPriority="67"/>
    <w:lsdException w:name="heading 6" w:qFormat="true"/>
    <w:lsdException w:name="Unresolved Mention" w:uiPriority="99" w:semiHidden="true" w:unhideWhenUsed="true"/>
    <w:lsdException w:name="Colorful Shading Accent 5" w:uiPriority="71"/>
    <w:lsdException w:name="Emphasis" w:qFormat="true"/>
    <w:lsdException w:name="Medium Grid 2 Accent 6" w:uiPriority="68"/>
    <w:lsdException w:name="Table Subtle 2" w:semiHidden="true" w:unhideWhenUsed="true"/>
    <w:lsdException w:name="Normal" w:qFormat="true"/>
    <w:lsdException w:name="Grid Table 1 Light Accent 1" w:uiPriority="46"/>
    <w:lsdException w:name="Table List 5" w:semiHidden="true" w:unhideWhenUsed="true"/>
    <w:lsdException w:name="Medium Grid 1 Accent 4" w:uiPriority="67"/>
    <w:lsdException w:name="Grid Table 5 Dark Accent 2" w:uiPriority="50"/>
    <w:lsdException w:name="Dark List Accent 2" w:uiPriority="70"/>
    <w:lsdException w:name="Light Shading Accent 3" w:uiPriority="60"/>
    <w:lsdException w:name="List Table 6 Colorful Accent 4" w:uiPriority="51"/>
    <w:lsdException w:name="Table Grid 5" w:semiHidden="true" w:unhideWhenUsed="true"/>
    <w:lsdException w:name="List Table 6 Colorful Accent 2" w:uiPriority="51"/>
    <w:lsdException w:name="Mention" w:uiPriority="99" w:semiHidden="true" w:unhideWhenUsed="true"/>
    <w:lsdException w:name="List Table 5 Dark" w:uiPriority="50"/>
    <w:lsdException w:name="List Table 2 Accent 1" w:uiPriority="47"/>
    <w:lsdException w:name="Outline List 1" w:uiPriority="99" w:semiHidden="true" w:unhideWhenUsed="true"/>
    <w:lsdException w:name="Medium Grid 1 Accent 6" w:uiPriority="67"/>
    <w:lsdException w:name="Table Colorful 2" w:semiHidden="true" w:unhideWhenUsed="true"/>
    <w:lsdException w:name="Colorful Grid Accent 1" w:uiPriority="73"/>
    <w:lsdException w:name="Light List Accent 3" w:uiPriority="61"/>
    <w:lsdException w:name="Table Simple 2" w:semiHidden="true" w:unhideWhenUsed="true"/>
    <w:lsdException w:name="Medium List 2 Accent 6" w:uiPriority="66"/>
    <w:lsdException w:name="Table Grid 1" w:semiHidden="true" w:unhideWhenUsed="true"/>
    <w:lsdException w:name="Table Colorful 3" w:semiHidden="true" w:unhideWhenUsed="true"/>
    <w:lsdException w:name="Grid Table 6 Colorful Accent 2" w:uiPriority="51"/>
    <w:lsdException w:name="Outline List 3" w:uiPriority="99" w:semiHidden="true" w:unhideWhenUsed="true"/>
    <w:lsdException w:name="Grid Table 7 Colorful Accent 2" w:uiPriority="52"/>
    <w:lsdException w:name="List Table 1 Light Accent 4" w:uiPriority="46"/>
    <w:lsdException w:name="heading 7" w:unhideWhenUsed="true" w:qFormat="true"/>
    <w:lsdException w:name="heading 8" w:unhideWhenUsed="true" w:qFormat="true"/>
    <w:lsdException w:name="Grid Table 7 Colorful Accent 4" w:uiPriority="52"/>
    <w:lsdException w:name="List Table 4 Accent 4" w:uiPriority="49"/>
    <w:lsdException w:name="List Table 2 Accent 2" w:uiPriority="47"/>
    <w:lsdException w:name="Dark List Accent 5" w:uiPriority="70"/>
    <w:lsdException w:name="Light Grid" w:uiPriority="62"/>
    <w:lsdException w:name="Grid Table 6 Colorful Accent 3" w:uiPriority="51"/>
    <w:lsdException w:name="Light List Accent 1" w:uiPriority="61"/>
    <w:lsdException w:name="Grid Table 5 Dark Accent 1" w:uiPriority="50"/>
    <w:lsdException w:name="List Table 2" w:uiPriority="47"/>
    <w:lsdException w:name="List Table 6 Colorful Accent 6" w:uiPriority="51"/>
    <w:lsdException w:name="List Table 6 Colorful Accent 1" w:uiPriority="51"/>
    <w:lsdException w:name="heading 2" w:qFormat="true"/>
    <w:lsdException w:name="Dark List Accent 1" w:uiPriority="70"/>
    <w:lsdException w:name="List Table 3 Accent 4" w:uiPriority="48"/>
    <w:lsdException w:name="Table Grid" w:qFormat="true"/>
    <w:lsdException w:name="List Table 3 Accent 6" w:uiPriority="48"/>
    <w:lsdException w:name="Revision" w:uiPriority="99" w:semiHidden="true"/>
    <w:lsdException w:name="Table List 4" w:semiHidden="true" w:unhideWhenUsed="true"/>
    <w:lsdException w:name="Placeholder Text" w:uiPriority="99" w:semiHidden="true"/>
    <w:lsdException w:name="List Table 4 Accent 2" w:uiPriority="49"/>
    <w:lsdException w:name="No List" w:uiPriority="99" w:semiHidden="true" w:unhideWhenUsed="true"/>
    <w:lsdException w:name="TOC Heading" w:uiPriority="39" w:semiHidden="true" w:unhideWhenUsed="true" w:qFormat="true"/>
    <w:lsdException w:name="Subtle Emphasis" w:uiPriority="19" w:qFormat="true"/>
    <w:lsdException w:name="toc 3" w:uiPriority="99"/>
    <w:lsdException w:name="List Table 6 Colorful Accent 3" w:uiPriority="51"/>
    <w:lsdException w:name="Medium Shading 2 Accent 1" w:uiPriority="64"/>
    <w:lsdException w:name="List Table 5 Dark Accent 1" w:uiPriority="50"/>
    <w:lsdException w:name="Colorful Shading Accent 1" w:uiPriority="71"/>
    <w:lsdException w:name="Grid Table 4 Accent 3" w:uiPriority="49"/>
    <w:lsdException w:name="Medium Shading 1" w:uiPriority="63"/>
    <w:lsdException w:name="Medium Shading 1 Accent 1" w:uiPriority="63"/>
    <w:lsdException w:name="footnote reference" w:uiPriority="99" w:semiHidden="true" w:unhideWhenUsed="true"/>
    <w:lsdException w:name="Medium Shading 2" w:uiPriority="64"/>
    <w:lsdException w:name="toc 5" w:uiPriority="99"/>
    <w:lsdException w:name="List Table 4 Accent 6" w:uiPriority="49"/>
    <w:lsdException w:name="Table Web 3" w:semiHidden="true" w:unhideWhenUsed="true"/>
    <w:lsdException w:name="Colorful Grid Accent 3" w:uiPriority="73"/>
    <w:lsdException w:name="Medium List 2 Accent 2" w:uiPriority="66"/>
    <w:lsdException w:name="HTML Code" w:uiPriority="99"/>
    <w:lsdException w:name="heading 1" w:qFormat="true"/>
    <w:lsdException w:name="Table Contemporary" w:semiHidden="true" w:unhideWhenUsed="true"/>
    <w:lsdException w:name="Plain Table 4" w:uiPriority="44"/>
    <w:lsdException w:name="Colorful List Accent 3" w:uiPriority="72"/>
    <w:lsdException w:name="HTML Top of Form" w:uiPriority="99" w:semiHidden="true" w:unhideWhenUsed="true"/>
    <w:lsdException w:name="Grid Table 2" w:uiPriority="47"/>
    <w:lsdException w:name="List Table 2 Accent 5" w:uiPriority="47"/>
    <w:lsdException w:name="Grid Table 4 Accent 6" w:uiPriority="49"/>
    <w:lsdException w:name="Table Colorful 1" w:semiHidden="true" w:unhideWhenUsed="true"/>
    <w:lsdException w:name="Plain Table 1" w:uiPriority="41"/>
    <w:lsdException w:name="Grid Table 6 Colorful Accent 1" w:uiPriority="51"/>
    <w:lsdException w:name="Title" w:qFormat="true"/>
    <w:lsdException w:name="List Table 3 Accent 5" w:uiPriority="48"/>
    <w:lsdException w:name="Table Columns 1" w:semiHidden="true" w:unhideWhenUsed="true"/>
    <w:lsdException w:name="Medium Shading 1 Accent 6" w:uiPriority="63"/>
    <w:lsdException w:name="Grid Table 4 Accent 2" w:uiPriority="49"/>
    <w:lsdException w:name="List Table 6 Colorful" w:uiPriority="51"/>
    <w:lsdException w:name="Grid Table 3 Accent 5" w:uiPriority="48"/>
    <w:lsdException w:name="Grid Table 4" w:uiPriority="49"/>
    <w:lsdException w:name="Light Grid Accent 5" w:uiPriority="62"/>
    <w:lsdException w:name="Grid Table 6 Colorful Accent 4" w:uiPriority="51"/>
    <w:lsdException w:name="footnote text" w:uiPriority="99" w:semiHidden="true" w:unhideWhenUsed="true"/>
    <w:lsdException w:name="Medium List 2 Accent 4" w:uiPriority="66"/>
    <w:lsdException w:name="Medium Shading 2 Accent 3" w:uiPriority="64"/>
    <w:lsdException w:name="Medium Grid 3 Accent 1" w:uiPriority="69"/>
    <w:lsdException w:name="Medium Grid 3 Accent 2" w:uiPriority="69"/>
    <w:lsdException w:name="Grid Table 2 Accent 3" w:uiPriority="47"/>
    <w:lsdException w:name="Table Grid 4" w:semiHidden="true" w:unhideWhenUsed="true"/>
    <w:lsdException w:name="Grid Table 3" w:uiPriority="48"/>
    <w:lsdException w:name="Medium Grid 3 Accent 4" w:uiPriority="69"/>
    <w:lsdException w:name="List Table 1 Light Accent 1" w:uiPriority="46"/>
    <w:lsdException w:name="Colorful List Accent 5" w:uiPriority="72"/>
    <w:lsdException w:name="Plain Table 3" w:uiPriority="43"/>
    <w:lsdException w:name="Colorful List Accent 6" w:uiPriority="72"/>
    <w:lsdException w:name="HTML Bottom of Form" w:uiPriority="99" w:semiHidden="true" w:unhideWhenUsed="true"/>
    <w:lsdException w:name="Grid Table 3 Accent 4" w:uiPriority="48"/>
    <w:lsdException w:name="Table Columns 5" w:semiHidden="true" w:unhideWhenUsed="true"/>
    <w:lsdException w:name="Medium Grid 3" w:uiPriority="69"/>
    <w:lsdException w:name="Medium List 1" w:uiPriority="65"/>
    <w:lsdException w:name="heading 9" w:unhideWhenUsed="true" w:qFormat="true"/>
    <w:lsdException w:name="Table Grid 8" w:semiHidden="true" w:unhideWhenUsed="true"/>
    <w:lsdException w:name="List Table 1 Light Accent 6" w:uiPriority="46"/>
    <w:lsdException w:name="Bibliography" w:uiPriority="37" w:semiHidden="true" w:unhideWhenUsed="true"/>
    <w:lsdException w:name="Medium Grid 1" w:uiPriority="67"/>
    <w:lsdException w:name="HTML Address" w:uiPriority="99"/>
    <w:lsdException w:name="Grid Table 7 Colorful" w:uiPriority="52"/>
    <w:lsdException w:name="toc 4" w:uiPriority="99"/>
    <w:lsdException w:name="No Spacing" w:uiPriority="99"/>
    <w:lsdException w:name="Table Grid 6" w:semiHidden="true" w:unhideWhenUsed="true"/>
    <w:lsdException w:name="List Table 3 Accent 3" w:uiPriority="48"/>
    <w:lsdException w:name="Strong" w:qFormat="true"/>
    <w:lsdException w:name="Medium Grid 3 Accent 6" w:uiPriority="69"/>
    <w:lsdException w:name="heading 4" w:qFormat="true"/>
    <w:lsdException w:name="Table Columns 2" w:semiHidden="true" w:unhideWhenUsed="true"/>
    <w:lsdException w:name="Medium Grid 2 Accent 3" w:uiPriority="68"/>
    <w:lsdException w:name="Colorful Grid Accent 6" w:uiPriority="73"/>
    <w:lsdException w:name="toc 1" w:uiPriority="99"/>
    <w:lsdException w:name="Colorful Shading Accent 3" w:uiPriority="71"/>
    <w:lsdException w:name="Dark List Accent 4" w:uiPriority="70"/>
    <w:lsdException w:name="Medium Grid 2 Accent 4" w:uiPriority="68"/>
    <w:lsdException w:name="Grid Table 4 Accent 5" w:uiPriority="49"/>
    <w:lsdException w:name="Grid Table 2 Accent 5" w:uiPriority="47"/>
    <w:lsdException w:name="List Table 3" w:uiPriority="48"/>
    <w:lsdException w:name="Light List Accent 5" w:uiPriority="61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2025-11-08T22:53:24Z</dcterms:created>
  <dcterms:modified xsi:type="dcterms:W3CDTF">2025-11-08T22:53:24Z</dcterms:modified>
</cp:coreProperties>
</file>