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345" w:rsidRDefault="007E7345" w:rsidP="0093799E">
      <w:pPr>
        <w:spacing w:after="200"/>
        <w:jc w:val="center"/>
        <w:rPr>
          <w:rFonts w:ascii="Arial" w:hAnsi="Arial" w:cs="Arial"/>
          <w:b/>
          <w:sz w:val="20"/>
          <w:szCs w:val="20"/>
        </w:rPr>
      </w:pPr>
      <w:bookmarkStart w:id="0" w:name="_Toc214886731"/>
      <w:bookmarkStart w:id="1" w:name="_Toc216764137"/>
      <w:r>
        <w:rPr>
          <w:noProof/>
        </w:rPr>
        <w:drawing>
          <wp:inline distT="0" distB="0" distL="0" distR="0" wp14:anchorId="5339F6BA" wp14:editId="71BB3168">
            <wp:extent cx="211518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771525"/>
                    </a:xfrm>
                    <a:prstGeom prst="rect">
                      <a:avLst/>
                    </a:prstGeom>
                    <a:noFill/>
                    <a:ln>
                      <a:noFill/>
                    </a:ln>
                  </pic:spPr>
                </pic:pic>
              </a:graphicData>
            </a:graphic>
          </wp:inline>
        </w:drawing>
      </w:r>
      <w:r>
        <w:rPr>
          <w:noProof/>
          <w:lang w:val="en-US"/>
        </w:rPr>
        <w:br/>
      </w:r>
      <w:r>
        <w:rPr>
          <w:rFonts w:ascii="Arial" w:hAnsi="Arial" w:cs="Arial"/>
          <w:b/>
        </w:rPr>
        <w:t>Statistical Working Group</w:t>
      </w:r>
      <w:r>
        <w:rPr>
          <w:rFonts w:ascii="Arial" w:hAnsi="Arial" w:cs="Arial"/>
          <w:b/>
        </w:rPr>
        <w:br/>
      </w:r>
      <w:r>
        <w:rPr>
          <w:rFonts w:ascii="Arial" w:hAnsi="Arial" w:cs="Arial"/>
          <w:b/>
          <w:sz w:val="20"/>
          <w:szCs w:val="20"/>
        </w:rPr>
        <w:t>Statistical Guidelines</w:t>
      </w:r>
    </w:p>
    <w:p w:rsidR="007E7345" w:rsidRDefault="007E7345" w:rsidP="0093799E">
      <w:pPr>
        <w:tabs>
          <w:tab w:val="decimal" w:leader="underscore" w:pos="9072"/>
        </w:tabs>
        <w:spacing w:after="200"/>
        <w:rPr>
          <w:rFonts w:ascii="Calibri" w:hAnsi="Calibri"/>
          <w:b/>
          <w:sz w:val="36"/>
          <w:szCs w:val="36"/>
        </w:rPr>
      </w:pPr>
      <w:r>
        <w:rPr>
          <w:b/>
          <w:sz w:val="36"/>
          <w:szCs w:val="36"/>
        </w:rPr>
        <w:tab/>
      </w:r>
    </w:p>
    <w:p w:rsidR="007E7345" w:rsidRPr="00D156C0" w:rsidRDefault="007E7345" w:rsidP="0093799E">
      <w:pPr>
        <w:spacing w:after="200"/>
        <w:jc w:val="center"/>
        <w:rPr>
          <w:rFonts w:ascii="Arial" w:hAnsi="Arial" w:cs="Arial"/>
          <w:b/>
          <w:sz w:val="28"/>
          <w:szCs w:val="28"/>
        </w:rPr>
      </w:pPr>
      <w:r w:rsidRPr="00D156C0">
        <w:rPr>
          <w:rFonts w:ascii="Arial" w:hAnsi="Arial" w:cs="Arial"/>
          <w:b/>
          <w:sz w:val="28"/>
          <w:szCs w:val="28"/>
        </w:rPr>
        <w:t>CL_SEX</w:t>
      </w:r>
      <w:r w:rsidRPr="00D156C0">
        <w:rPr>
          <w:rFonts w:ascii="Arial" w:hAnsi="Arial" w:cs="Arial"/>
          <w:b/>
          <w:sz w:val="28"/>
          <w:szCs w:val="28"/>
        </w:rPr>
        <w:br/>
        <w:t>Code list for Sex</w:t>
      </w:r>
    </w:p>
    <w:p w:rsidR="007E7345" w:rsidRDefault="007E7345" w:rsidP="007E7345">
      <w:pPr>
        <w:jc w:val="center"/>
        <w:rPr>
          <w:rFonts w:ascii="Arial" w:hAnsi="Arial" w:cs="Arial"/>
          <w:b/>
          <w:sz w:val="28"/>
          <w:szCs w:val="28"/>
        </w:rPr>
      </w:pPr>
      <w:r>
        <w:rPr>
          <w:rFonts w:ascii="Arial" w:hAnsi="Arial" w:cs="Arial"/>
          <w:b/>
          <w:sz w:val="28"/>
          <w:szCs w:val="28"/>
        </w:rPr>
        <w:t>Version 2.1 – 15/6/2017</w:t>
      </w:r>
    </w:p>
    <w:p w:rsidR="007E7345" w:rsidRDefault="007E7345" w:rsidP="0093799E">
      <w:pPr>
        <w:tabs>
          <w:tab w:val="decimal" w:leader="underscore" w:pos="9072"/>
        </w:tabs>
        <w:rPr>
          <w:rFonts w:ascii="Calibri" w:hAnsi="Calibri"/>
          <w:b/>
          <w:sz w:val="36"/>
          <w:szCs w:val="36"/>
        </w:rPr>
      </w:pPr>
      <w:r>
        <w:rPr>
          <w:b/>
          <w:sz w:val="36"/>
          <w:szCs w:val="36"/>
        </w:rPr>
        <w:tab/>
      </w:r>
    </w:p>
    <w:p w:rsidR="00F348A8" w:rsidRPr="0093799E" w:rsidRDefault="00F348A8" w:rsidP="0093799E">
      <w:pPr>
        <w:pStyle w:val="Heading2"/>
      </w:pPr>
      <w:r w:rsidRPr="0093799E">
        <w:t>CL_SEX</w:t>
      </w:r>
      <w:bookmarkEnd w:id="0"/>
      <w:bookmarkEnd w:id="1"/>
    </w:p>
    <w:p w:rsidR="00F348A8" w:rsidRPr="0093799E" w:rsidRDefault="00F348A8" w:rsidP="00C11ABC">
      <w:pPr>
        <w:pStyle w:val="style1"/>
        <w:spacing w:before="360" w:beforeAutospacing="0" w:after="120" w:afterAutospacing="0"/>
        <w:jc w:val="both"/>
        <w:rPr>
          <w:rStyle w:val="Strong"/>
          <w:sz w:val="22"/>
        </w:rPr>
      </w:pPr>
      <w:r w:rsidRPr="0093799E">
        <w:rPr>
          <w:rStyle w:val="Strong"/>
          <w:sz w:val="22"/>
        </w:rPr>
        <w:t>Name</w:t>
      </w:r>
      <w:r w:rsidRPr="0093799E">
        <w:rPr>
          <w:sz w:val="22"/>
        </w:rPr>
        <w:t xml:space="preserve">: </w:t>
      </w:r>
      <w:r w:rsidR="00AD024F" w:rsidRPr="0093799E">
        <w:rPr>
          <w:sz w:val="22"/>
        </w:rPr>
        <w:t xml:space="preserve">Code </w:t>
      </w:r>
      <w:r w:rsidRPr="0093799E">
        <w:rPr>
          <w:sz w:val="22"/>
        </w:rPr>
        <w:t xml:space="preserve">list for </w:t>
      </w:r>
      <w:r w:rsidR="00AD024F" w:rsidRPr="0093799E">
        <w:rPr>
          <w:sz w:val="22"/>
        </w:rPr>
        <w:t>concept “</w:t>
      </w:r>
      <w:r w:rsidRPr="0093799E">
        <w:rPr>
          <w:sz w:val="22"/>
        </w:rPr>
        <w:t>Sex</w:t>
      </w:r>
      <w:r w:rsidR="00AD024F" w:rsidRPr="0093799E">
        <w:rPr>
          <w:sz w:val="22"/>
        </w:rPr>
        <w:t>”</w:t>
      </w:r>
      <w:r w:rsidRPr="0093799E">
        <w:rPr>
          <w:sz w:val="22"/>
        </w:rPr>
        <w:t xml:space="preserve"> (</w:t>
      </w:r>
      <w:r w:rsidR="00AD024F" w:rsidRPr="0093799E">
        <w:rPr>
          <w:sz w:val="22"/>
        </w:rPr>
        <w:t>ID “</w:t>
      </w:r>
      <w:r w:rsidRPr="0093799E">
        <w:rPr>
          <w:sz w:val="22"/>
        </w:rPr>
        <w:t>SEX</w:t>
      </w:r>
      <w:r w:rsidR="00AD024F" w:rsidRPr="0093799E">
        <w:rPr>
          <w:sz w:val="22"/>
        </w:rPr>
        <w:t>”</w:t>
      </w:r>
      <w:r w:rsidRPr="0093799E">
        <w:rPr>
          <w:sz w:val="22"/>
        </w:rPr>
        <w:t>)</w:t>
      </w:r>
      <w:r w:rsidR="00C11ABC" w:rsidRPr="0093799E">
        <w:rPr>
          <w:sz w:val="22"/>
        </w:rPr>
        <w:t>.</w:t>
      </w:r>
    </w:p>
    <w:p w:rsidR="00AD024F" w:rsidRPr="0093799E" w:rsidRDefault="00425718" w:rsidP="0093799E">
      <w:pPr>
        <w:pStyle w:val="style1"/>
        <w:spacing w:before="120" w:beforeAutospacing="0" w:after="120" w:afterAutospacing="0"/>
        <w:jc w:val="both"/>
        <w:rPr>
          <w:sz w:val="22"/>
        </w:rPr>
      </w:pPr>
      <w:r w:rsidRPr="0093799E">
        <w:rPr>
          <w:rStyle w:val="Strong"/>
          <w:sz w:val="22"/>
        </w:rPr>
        <w:t>Description</w:t>
      </w:r>
      <w:r w:rsidR="007F4B88" w:rsidRPr="0093799E">
        <w:rPr>
          <w:sz w:val="22"/>
        </w:rPr>
        <w:t xml:space="preserve">: </w:t>
      </w:r>
      <w:r w:rsidR="00AD024F" w:rsidRPr="0093799E">
        <w:rPr>
          <w:sz w:val="22"/>
        </w:rPr>
        <w:t xml:space="preserve">This code list provides coded information about </w:t>
      </w:r>
      <w:r w:rsidR="00830981" w:rsidRPr="0093799E">
        <w:rPr>
          <w:sz w:val="22"/>
        </w:rPr>
        <w:t>t</w:t>
      </w:r>
      <w:r w:rsidR="007F4B88" w:rsidRPr="0093799E">
        <w:rPr>
          <w:sz w:val="22"/>
        </w:rPr>
        <w:t xml:space="preserve">he state of being male or female. </w:t>
      </w:r>
    </w:p>
    <w:p w:rsidR="007F4B88" w:rsidRPr="0093799E" w:rsidRDefault="00AD024F" w:rsidP="00C11ABC">
      <w:pPr>
        <w:pStyle w:val="style1"/>
        <w:spacing w:before="120" w:beforeAutospacing="0" w:after="120" w:afterAutospacing="0"/>
        <w:jc w:val="both"/>
        <w:rPr>
          <w:sz w:val="22"/>
        </w:rPr>
      </w:pPr>
      <w:r w:rsidRPr="0093799E">
        <w:rPr>
          <w:b/>
          <w:sz w:val="22"/>
        </w:rPr>
        <w:t>Explanatory notes</w:t>
      </w:r>
      <w:r w:rsidRPr="0093799E">
        <w:rPr>
          <w:sz w:val="22"/>
        </w:rPr>
        <w:t xml:space="preserve">: </w:t>
      </w:r>
      <w:r w:rsidR="007F4B88" w:rsidRPr="0093799E">
        <w:rPr>
          <w:sz w:val="22"/>
        </w:rPr>
        <w:t>This concept is applied if data needs to be categorised by sex.</w:t>
      </w:r>
      <w:r w:rsidR="00C11ABC" w:rsidRPr="0093799E">
        <w:rPr>
          <w:sz w:val="22"/>
        </w:rPr>
        <w:t xml:space="preserve"> It applies not only to human beings but also to animals and other living organisms.</w:t>
      </w:r>
    </w:p>
    <w:p w:rsidR="00AD024F" w:rsidRPr="0093799E" w:rsidRDefault="00AD024F" w:rsidP="00FC74F6">
      <w:pPr>
        <w:pStyle w:val="style1"/>
        <w:spacing w:before="120" w:beforeAutospacing="0" w:after="120" w:afterAutospacing="0"/>
        <w:jc w:val="both"/>
        <w:rPr>
          <w:sz w:val="22"/>
        </w:rPr>
      </w:pPr>
      <w:r w:rsidRPr="0093799E">
        <w:rPr>
          <w:b/>
          <w:sz w:val="22"/>
        </w:rPr>
        <w:t>Established international standard(s) used as input for the code list</w:t>
      </w:r>
      <w:r w:rsidRPr="0093799E">
        <w:rPr>
          <w:sz w:val="22"/>
        </w:rPr>
        <w:t>: None</w:t>
      </w:r>
      <w:r w:rsidR="005567EB" w:rsidRPr="0093799E">
        <w:rPr>
          <w:sz w:val="22"/>
        </w:rPr>
        <w:t xml:space="preserve"> (see under “Remarks” below for more information)</w:t>
      </w:r>
      <w:r w:rsidRPr="0093799E">
        <w:rPr>
          <w:sz w:val="22"/>
        </w:rPr>
        <w:t>.</w:t>
      </w:r>
    </w:p>
    <w:p w:rsidR="00A1361E" w:rsidRPr="0093799E" w:rsidRDefault="00A1361E" w:rsidP="00FC74F6">
      <w:pPr>
        <w:pStyle w:val="style1"/>
        <w:spacing w:before="120" w:beforeAutospacing="0" w:after="120" w:afterAutospacing="0"/>
        <w:jc w:val="both"/>
        <w:rPr>
          <w:sz w:val="22"/>
        </w:rPr>
      </w:pPr>
      <w:r w:rsidRPr="0093799E">
        <w:rPr>
          <w:b/>
          <w:sz w:val="22"/>
        </w:rPr>
        <w:t>Version</w:t>
      </w:r>
      <w:r w:rsidRPr="0093799E">
        <w:rPr>
          <w:sz w:val="22"/>
        </w:rPr>
        <w:t>: 2.</w:t>
      </w:r>
      <w:r w:rsidR="004F0467" w:rsidRPr="0093799E">
        <w:rPr>
          <w:sz w:val="22"/>
        </w:rPr>
        <w:t>1</w:t>
      </w:r>
      <w:r w:rsidRPr="0093799E">
        <w:rPr>
          <w:sz w:val="22"/>
        </w:rPr>
        <w:t>.</w:t>
      </w:r>
    </w:p>
    <w:p w:rsidR="002376F5" w:rsidRPr="0093799E" w:rsidRDefault="002376F5" w:rsidP="00C11ABC">
      <w:pPr>
        <w:pStyle w:val="style1"/>
        <w:spacing w:before="120" w:beforeAutospacing="0" w:after="240" w:afterAutospacing="0"/>
        <w:jc w:val="both"/>
        <w:rPr>
          <w:sz w:val="22"/>
        </w:rPr>
      </w:pPr>
      <w:r w:rsidRPr="0093799E">
        <w:rPr>
          <w:b/>
          <w:sz w:val="22"/>
        </w:rPr>
        <w:t>Date</w:t>
      </w:r>
      <w:r w:rsidRPr="0093799E">
        <w:rPr>
          <w:sz w:val="22"/>
        </w:rPr>
        <w:t xml:space="preserve">: </w:t>
      </w:r>
      <w:r w:rsidR="007E7345" w:rsidRPr="0093799E">
        <w:rPr>
          <w:sz w:val="22"/>
        </w:rPr>
        <w:t>15</w:t>
      </w:r>
      <w:r w:rsidR="004F0467" w:rsidRPr="0093799E">
        <w:rPr>
          <w:sz w:val="22"/>
        </w:rPr>
        <w:t xml:space="preserve"> </w:t>
      </w:r>
      <w:r w:rsidR="007E7345" w:rsidRPr="0093799E">
        <w:rPr>
          <w:sz w:val="22"/>
        </w:rPr>
        <w:t xml:space="preserve">June </w:t>
      </w:r>
      <w:r w:rsidR="004F0467" w:rsidRPr="0093799E">
        <w:rPr>
          <w:sz w:val="22"/>
        </w:rPr>
        <w:t>2017</w:t>
      </w:r>
      <w:r w:rsidRPr="0093799E">
        <w:rPr>
          <w:sz w:val="22"/>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2200"/>
        <w:gridCol w:w="5244"/>
      </w:tblGrid>
      <w:tr w:rsidR="00F348A8" w:rsidRPr="0093799E" w:rsidTr="007E7345">
        <w:tc>
          <w:tcPr>
            <w:tcW w:w="1736" w:type="dxa"/>
            <w:tcBorders>
              <w:top w:val="single" w:sz="12" w:space="0" w:color="auto"/>
              <w:left w:val="single" w:sz="12" w:space="0" w:color="auto"/>
              <w:bottom w:val="single" w:sz="12" w:space="0" w:color="auto"/>
            </w:tcBorders>
            <w:shd w:val="clear" w:color="auto" w:fill="auto"/>
            <w:vAlign w:val="center"/>
          </w:tcPr>
          <w:p w:rsidR="00F348A8" w:rsidRPr="0093799E" w:rsidRDefault="00F348A8" w:rsidP="007E7345">
            <w:pPr>
              <w:keepNext/>
              <w:spacing w:before="60" w:after="60"/>
              <w:jc w:val="center"/>
              <w:rPr>
                <w:rFonts w:ascii="Arial" w:hAnsi="Arial" w:cs="Arial"/>
                <w:b/>
                <w:bCs/>
                <w:sz w:val="20"/>
              </w:rPr>
            </w:pPr>
            <w:r w:rsidRPr="0093799E">
              <w:rPr>
                <w:rFonts w:ascii="Arial" w:hAnsi="Arial" w:cs="Arial"/>
                <w:b/>
                <w:bCs/>
                <w:sz w:val="20"/>
              </w:rPr>
              <w:lastRenderedPageBreak/>
              <w:t>Recommended code value</w:t>
            </w:r>
            <w:r w:rsidR="00CD372E" w:rsidRPr="0093799E">
              <w:rPr>
                <w:rFonts w:ascii="Arial" w:hAnsi="Arial" w:cs="Arial"/>
                <w:b/>
                <w:bCs/>
                <w:sz w:val="20"/>
              </w:rPr>
              <w:t>s</w:t>
            </w:r>
          </w:p>
        </w:tc>
        <w:tc>
          <w:tcPr>
            <w:tcW w:w="2200" w:type="dxa"/>
            <w:tcBorders>
              <w:top w:val="single" w:sz="12" w:space="0" w:color="auto"/>
              <w:bottom w:val="single" w:sz="12" w:space="0" w:color="auto"/>
            </w:tcBorders>
            <w:shd w:val="clear" w:color="auto" w:fill="auto"/>
            <w:vAlign w:val="center"/>
          </w:tcPr>
          <w:p w:rsidR="00F348A8" w:rsidRPr="0093799E" w:rsidRDefault="00F348A8" w:rsidP="007E7345">
            <w:pPr>
              <w:keepNext/>
              <w:spacing w:before="60" w:after="60"/>
              <w:jc w:val="center"/>
              <w:rPr>
                <w:rFonts w:ascii="Arial" w:hAnsi="Arial" w:cs="Arial"/>
                <w:b/>
                <w:bCs/>
                <w:sz w:val="20"/>
              </w:rPr>
            </w:pPr>
            <w:r w:rsidRPr="0093799E">
              <w:rPr>
                <w:rFonts w:ascii="Arial" w:hAnsi="Arial" w:cs="Arial"/>
                <w:b/>
                <w:bCs/>
                <w:sz w:val="20"/>
              </w:rPr>
              <w:t>Recommended code description</w:t>
            </w:r>
            <w:r w:rsidR="00CD372E" w:rsidRPr="0093799E">
              <w:rPr>
                <w:rFonts w:ascii="Arial" w:hAnsi="Arial" w:cs="Arial"/>
                <w:b/>
                <w:bCs/>
                <w:sz w:val="20"/>
              </w:rPr>
              <w:t>s</w:t>
            </w:r>
          </w:p>
        </w:tc>
        <w:tc>
          <w:tcPr>
            <w:tcW w:w="5244" w:type="dxa"/>
            <w:tcBorders>
              <w:top w:val="single" w:sz="12" w:space="0" w:color="auto"/>
              <w:bottom w:val="single" w:sz="12" w:space="0" w:color="auto"/>
              <w:right w:val="single" w:sz="12" w:space="0" w:color="auto"/>
            </w:tcBorders>
            <w:shd w:val="clear" w:color="auto" w:fill="auto"/>
          </w:tcPr>
          <w:p w:rsidR="00F348A8" w:rsidRPr="0093799E" w:rsidRDefault="00F348A8" w:rsidP="007E7345">
            <w:pPr>
              <w:keepNext/>
              <w:spacing w:before="180" w:after="60"/>
              <w:jc w:val="center"/>
              <w:rPr>
                <w:rFonts w:ascii="Arial" w:hAnsi="Arial" w:cs="Arial"/>
                <w:b/>
                <w:bCs/>
                <w:sz w:val="20"/>
              </w:rPr>
            </w:pPr>
            <w:r w:rsidRPr="0093799E">
              <w:rPr>
                <w:rFonts w:ascii="Arial" w:hAnsi="Arial" w:cs="Arial"/>
                <w:b/>
                <w:bCs/>
                <w:sz w:val="20"/>
              </w:rPr>
              <w:t>Annotation</w:t>
            </w:r>
            <w:r w:rsidR="00CD372E" w:rsidRPr="0093799E">
              <w:rPr>
                <w:rFonts w:ascii="Arial" w:hAnsi="Arial" w:cs="Arial"/>
                <w:b/>
                <w:bCs/>
                <w:sz w:val="20"/>
              </w:rPr>
              <w:t>s</w:t>
            </w:r>
          </w:p>
        </w:tc>
      </w:tr>
      <w:tr w:rsidR="00F348A8" w:rsidRPr="0093799E" w:rsidTr="007E7345">
        <w:tc>
          <w:tcPr>
            <w:tcW w:w="1736" w:type="dxa"/>
            <w:tcBorders>
              <w:top w:val="single" w:sz="12" w:space="0" w:color="auto"/>
            </w:tcBorders>
            <w:shd w:val="clear" w:color="auto" w:fill="auto"/>
            <w:vAlign w:val="center"/>
          </w:tcPr>
          <w:p w:rsidR="00F348A8" w:rsidRPr="0093799E" w:rsidRDefault="00F348A8" w:rsidP="007E7345">
            <w:pPr>
              <w:keepNext/>
              <w:spacing w:before="60" w:after="60"/>
              <w:jc w:val="center"/>
              <w:rPr>
                <w:rFonts w:ascii="Arial" w:hAnsi="Arial" w:cs="Arial"/>
                <w:sz w:val="20"/>
              </w:rPr>
            </w:pPr>
            <w:r w:rsidRPr="0093799E">
              <w:rPr>
                <w:rFonts w:ascii="Arial" w:hAnsi="Arial" w:cs="Arial"/>
                <w:sz w:val="20"/>
              </w:rPr>
              <w:t>F</w:t>
            </w:r>
          </w:p>
        </w:tc>
        <w:tc>
          <w:tcPr>
            <w:tcW w:w="2200" w:type="dxa"/>
            <w:tcBorders>
              <w:top w:val="single" w:sz="12" w:space="0" w:color="auto"/>
            </w:tcBorders>
            <w:shd w:val="clear" w:color="auto" w:fill="auto"/>
            <w:vAlign w:val="center"/>
          </w:tcPr>
          <w:p w:rsidR="00F348A8" w:rsidRPr="0093799E" w:rsidRDefault="00F348A8" w:rsidP="007E7345">
            <w:pPr>
              <w:keepNext/>
              <w:spacing w:before="60" w:after="60"/>
              <w:rPr>
                <w:rFonts w:ascii="Arial" w:hAnsi="Arial" w:cs="Arial"/>
                <w:sz w:val="20"/>
              </w:rPr>
            </w:pPr>
            <w:r w:rsidRPr="0093799E">
              <w:rPr>
                <w:rFonts w:ascii="Arial" w:hAnsi="Arial" w:cs="Arial"/>
                <w:sz w:val="20"/>
              </w:rPr>
              <w:t>Female</w:t>
            </w:r>
          </w:p>
        </w:tc>
        <w:tc>
          <w:tcPr>
            <w:tcW w:w="5244" w:type="dxa"/>
            <w:tcBorders>
              <w:top w:val="single" w:sz="12" w:space="0" w:color="auto"/>
            </w:tcBorders>
            <w:shd w:val="clear" w:color="auto" w:fill="auto"/>
          </w:tcPr>
          <w:p w:rsidR="00F348A8" w:rsidRPr="0093799E" w:rsidRDefault="00F348A8" w:rsidP="0093799E">
            <w:pPr>
              <w:keepNext/>
              <w:spacing w:before="100" w:beforeAutospacing="1" w:after="100" w:afterAutospacing="1"/>
              <w:jc w:val="both"/>
              <w:rPr>
                <w:rFonts w:ascii="Arial" w:hAnsi="Arial" w:cs="Arial"/>
                <w:sz w:val="20"/>
                <w:lang w:val="en"/>
              </w:rPr>
            </w:pPr>
          </w:p>
        </w:tc>
      </w:tr>
      <w:tr w:rsidR="00F348A8" w:rsidRPr="0093799E" w:rsidTr="007E7345">
        <w:tc>
          <w:tcPr>
            <w:tcW w:w="1736" w:type="dxa"/>
            <w:shd w:val="clear" w:color="auto" w:fill="auto"/>
            <w:vAlign w:val="center"/>
          </w:tcPr>
          <w:p w:rsidR="00F348A8" w:rsidRPr="0093799E" w:rsidRDefault="00F348A8" w:rsidP="007E7345">
            <w:pPr>
              <w:keepNext/>
              <w:spacing w:before="60" w:after="60"/>
              <w:jc w:val="center"/>
              <w:rPr>
                <w:rFonts w:ascii="Arial" w:hAnsi="Arial" w:cs="Arial"/>
                <w:sz w:val="20"/>
              </w:rPr>
            </w:pPr>
            <w:r w:rsidRPr="0093799E">
              <w:rPr>
                <w:rFonts w:ascii="Arial" w:hAnsi="Arial" w:cs="Arial"/>
                <w:sz w:val="20"/>
              </w:rPr>
              <w:t>M</w:t>
            </w:r>
          </w:p>
        </w:tc>
        <w:tc>
          <w:tcPr>
            <w:tcW w:w="2200" w:type="dxa"/>
            <w:shd w:val="clear" w:color="auto" w:fill="auto"/>
            <w:vAlign w:val="center"/>
          </w:tcPr>
          <w:p w:rsidR="00F348A8" w:rsidRPr="0093799E" w:rsidRDefault="00F348A8" w:rsidP="007E7345">
            <w:pPr>
              <w:keepNext/>
              <w:tabs>
                <w:tab w:val="left" w:pos="315"/>
              </w:tabs>
              <w:spacing w:before="60" w:after="60"/>
              <w:rPr>
                <w:rFonts w:ascii="Arial" w:hAnsi="Arial" w:cs="Arial"/>
                <w:sz w:val="20"/>
              </w:rPr>
            </w:pPr>
            <w:r w:rsidRPr="0093799E">
              <w:rPr>
                <w:rFonts w:ascii="Arial" w:hAnsi="Arial" w:cs="Arial"/>
                <w:sz w:val="20"/>
              </w:rPr>
              <w:t>Male</w:t>
            </w:r>
          </w:p>
        </w:tc>
        <w:tc>
          <w:tcPr>
            <w:tcW w:w="5244" w:type="dxa"/>
            <w:shd w:val="clear" w:color="auto" w:fill="auto"/>
          </w:tcPr>
          <w:p w:rsidR="00F348A8" w:rsidRPr="0093799E" w:rsidRDefault="00F348A8" w:rsidP="0093799E">
            <w:pPr>
              <w:keepNext/>
              <w:tabs>
                <w:tab w:val="left" w:pos="315"/>
              </w:tabs>
              <w:spacing w:before="60" w:after="60"/>
              <w:jc w:val="both"/>
              <w:rPr>
                <w:rFonts w:ascii="Arial" w:hAnsi="Arial" w:cs="Arial"/>
                <w:sz w:val="20"/>
              </w:rPr>
            </w:pPr>
          </w:p>
        </w:tc>
      </w:tr>
      <w:tr w:rsidR="00315A22" w:rsidRPr="0093799E" w:rsidTr="007E7345">
        <w:tc>
          <w:tcPr>
            <w:tcW w:w="1736" w:type="dxa"/>
            <w:shd w:val="clear" w:color="auto" w:fill="auto"/>
            <w:vAlign w:val="center"/>
          </w:tcPr>
          <w:p w:rsidR="00315A22" w:rsidRPr="0093799E" w:rsidRDefault="00315A22" w:rsidP="00D04FE4">
            <w:pPr>
              <w:keepNext/>
              <w:spacing w:before="60" w:after="60"/>
              <w:jc w:val="center"/>
              <w:rPr>
                <w:rFonts w:ascii="Arial" w:hAnsi="Arial" w:cs="Arial"/>
                <w:sz w:val="20"/>
              </w:rPr>
            </w:pPr>
            <w:r w:rsidRPr="0093799E">
              <w:rPr>
                <w:rFonts w:ascii="Arial" w:hAnsi="Arial" w:cs="Arial"/>
                <w:sz w:val="20"/>
              </w:rPr>
              <w:t>_N</w:t>
            </w:r>
          </w:p>
        </w:tc>
        <w:tc>
          <w:tcPr>
            <w:tcW w:w="2200" w:type="dxa"/>
            <w:shd w:val="clear" w:color="auto" w:fill="auto"/>
            <w:vAlign w:val="center"/>
          </w:tcPr>
          <w:p w:rsidR="00315A22" w:rsidRPr="0093799E" w:rsidRDefault="00315A22" w:rsidP="00D04FE4">
            <w:pPr>
              <w:keepNext/>
              <w:tabs>
                <w:tab w:val="left" w:pos="315"/>
              </w:tabs>
              <w:spacing w:before="60" w:after="60"/>
              <w:rPr>
                <w:rFonts w:ascii="Arial" w:hAnsi="Arial" w:cs="Arial"/>
                <w:sz w:val="20"/>
              </w:rPr>
            </w:pPr>
            <w:r w:rsidRPr="0093799E">
              <w:rPr>
                <w:rFonts w:ascii="Arial" w:hAnsi="Arial" w:cs="Arial"/>
                <w:sz w:val="20"/>
              </w:rPr>
              <w:t>Non response</w:t>
            </w:r>
          </w:p>
        </w:tc>
        <w:tc>
          <w:tcPr>
            <w:tcW w:w="5244" w:type="dxa"/>
            <w:shd w:val="clear" w:color="auto" w:fill="auto"/>
          </w:tcPr>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Failure to obtain a measurement on one or more study variables for one or more elements in a survey.</w:t>
            </w:r>
          </w:p>
        </w:tc>
      </w:tr>
      <w:tr w:rsidR="00315A22" w:rsidRPr="0093799E" w:rsidTr="007E7345">
        <w:tc>
          <w:tcPr>
            <w:tcW w:w="1736" w:type="dxa"/>
            <w:shd w:val="clear" w:color="auto" w:fill="auto"/>
            <w:vAlign w:val="center"/>
          </w:tcPr>
          <w:p w:rsidR="00315A22" w:rsidRPr="0093799E" w:rsidRDefault="00315A22" w:rsidP="007E7345">
            <w:pPr>
              <w:keepNext/>
              <w:spacing w:before="60" w:after="60"/>
              <w:jc w:val="center"/>
              <w:rPr>
                <w:rFonts w:ascii="Arial" w:hAnsi="Arial" w:cs="Arial"/>
                <w:sz w:val="20"/>
              </w:rPr>
            </w:pPr>
            <w:r w:rsidRPr="0093799E">
              <w:rPr>
                <w:rFonts w:ascii="Arial" w:hAnsi="Arial" w:cs="Arial"/>
                <w:sz w:val="20"/>
              </w:rPr>
              <w:t>_O</w:t>
            </w:r>
          </w:p>
        </w:tc>
        <w:tc>
          <w:tcPr>
            <w:tcW w:w="2200" w:type="dxa"/>
            <w:shd w:val="clear" w:color="auto" w:fill="auto"/>
            <w:vAlign w:val="center"/>
          </w:tcPr>
          <w:p w:rsidR="00315A22" w:rsidRPr="0093799E" w:rsidRDefault="00315A22" w:rsidP="007E7345">
            <w:pPr>
              <w:keepNext/>
              <w:tabs>
                <w:tab w:val="left" w:pos="315"/>
              </w:tabs>
              <w:spacing w:before="60" w:after="60"/>
              <w:rPr>
                <w:rFonts w:ascii="Arial" w:hAnsi="Arial" w:cs="Arial"/>
                <w:sz w:val="20"/>
              </w:rPr>
            </w:pPr>
            <w:r w:rsidRPr="0093799E">
              <w:rPr>
                <w:rFonts w:ascii="Arial" w:hAnsi="Arial" w:cs="Arial"/>
                <w:sz w:val="20"/>
              </w:rPr>
              <w:t>Other</w:t>
            </w:r>
          </w:p>
        </w:tc>
        <w:tc>
          <w:tcPr>
            <w:tcW w:w="5244" w:type="dxa"/>
            <w:shd w:val="clear" w:color="auto" w:fill="auto"/>
          </w:tcPr>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 xml:space="preserve">Used to cover residual information not contained in other categories of the code list (in some contexts, e.g. classifications, referred to as </w:t>
            </w:r>
            <w:proofErr w:type="spellStart"/>
            <w:r w:rsidRPr="0093799E">
              <w:rPr>
                <w:rFonts w:ascii="Arial" w:hAnsi="Arial" w:cs="Arial"/>
                <w:sz w:val="20"/>
              </w:rPr>
              <w:t>n.e.s</w:t>
            </w:r>
            <w:proofErr w:type="spellEnd"/>
            <w:r w:rsidRPr="0093799E">
              <w:rPr>
                <w:rFonts w:ascii="Arial" w:hAnsi="Arial" w:cs="Arial"/>
                <w:sz w:val="20"/>
              </w:rPr>
              <w:t xml:space="preserve">., not elsewhere specified, </w:t>
            </w:r>
            <w:proofErr w:type="spellStart"/>
            <w:r w:rsidRPr="0093799E">
              <w:rPr>
                <w:rFonts w:ascii="Arial" w:hAnsi="Arial" w:cs="Arial"/>
                <w:sz w:val="20"/>
              </w:rPr>
              <w:t>n.e.c</w:t>
            </w:r>
            <w:proofErr w:type="spellEnd"/>
            <w:r w:rsidRPr="0093799E">
              <w:rPr>
                <w:rFonts w:ascii="Arial" w:hAnsi="Arial" w:cs="Arial"/>
                <w:sz w:val="20"/>
              </w:rPr>
              <w:t>., not elsewhere classified, etc.)</w:t>
            </w:r>
          </w:p>
        </w:tc>
      </w:tr>
      <w:tr w:rsidR="00315A22" w:rsidRPr="0093799E" w:rsidTr="007E7345">
        <w:tc>
          <w:tcPr>
            <w:tcW w:w="1736" w:type="dxa"/>
            <w:shd w:val="clear" w:color="auto" w:fill="auto"/>
            <w:vAlign w:val="center"/>
          </w:tcPr>
          <w:p w:rsidR="00315A22" w:rsidRPr="0093799E" w:rsidRDefault="00315A22" w:rsidP="007E7345">
            <w:pPr>
              <w:keepNext/>
              <w:spacing w:before="60" w:after="60"/>
              <w:jc w:val="center"/>
              <w:rPr>
                <w:rFonts w:ascii="Arial" w:hAnsi="Arial" w:cs="Arial"/>
                <w:sz w:val="20"/>
              </w:rPr>
            </w:pPr>
            <w:r w:rsidRPr="0093799E">
              <w:rPr>
                <w:rFonts w:ascii="Arial" w:hAnsi="Arial" w:cs="Arial"/>
                <w:sz w:val="20"/>
              </w:rPr>
              <w:t>_T</w:t>
            </w:r>
          </w:p>
        </w:tc>
        <w:tc>
          <w:tcPr>
            <w:tcW w:w="2200" w:type="dxa"/>
            <w:shd w:val="clear" w:color="auto" w:fill="auto"/>
            <w:vAlign w:val="center"/>
          </w:tcPr>
          <w:p w:rsidR="00315A22" w:rsidRPr="0093799E" w:rsidRDefault="00315A22" w:rsidP="007E7345">
            <w:pPr>
              <w:keepNext/>
              <w:tabs>
                <w:tab w:val="left" w:pos="315"/>
              </w:tabs>
              <w:spacing w:before="60" w:after="60"/>
              <w:rPr>
                <w:rFonts w:ascii="Arial" w:hAnsi="Arial" w:cs="Arial"/>
                <w:sz w:val="20"/>
              </w:rPr>
            </w:pPr>
            <w:r w:rsidRPr="0093799E">
              <w:rPr>
                <w:rFonts w:ascii="Arial" w:hAnsi="Arial" w:cs="Arial"/>
                <w:sz w:val="20"/>
              </w:rPr>
              <w:t>Total</w:t>
            </w:r>
          </w:p>
        </w:tc>
        <w:tc>
          <w:tcPr>
            <w:tcW w:w="5244" w:type="dxa"/>
            <w:shd w:val="clear" w:color="auto" w:fill="auto"/>
          </w:tcPr>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Used for expressing totals</w:t>
            </w:r>
            <w:r w:rsidR="0093799E">
              <w:rPr>
                <w:rFonts w:ascii="Arial" w:hAnsi="Arial" w:cs="Arial"/>
                <w:sz w:val="20"/>
              </w:rPr>
              <w:t>.</w:t>
            </w:r>
          </w:p>
        </w:tc>
      </w:tr>
      <w:tr w:rsidR="00315A22" w:rsidRPr="0093799E" w:rsidTr="007E7345">
        <w:tc>
          <w:tcPr>
            <w:tcW w:w="1736" w:type="dxa"/>
            <w:shd w:val="clear" w:color="auto" w:fill="auto"/>
            <w:vAlign w:val="center"/>
          </w:tcPr>
          <w:p w:rsidR="00315A22" w:rsidRPr="0093799E" w:rsidRDefault="00315A22" w:rsidP="00D04FE4">
            <w:pPr>
              <w:keepNext/>
              <w:spacing w:before="60" w:after="60"/>
              <w:jc w:val="center"/>
              <w:rPr>
                <w:rFonts w:ascii="Arial" w:hAnsi="Arial" w:cs="Arial"/>
                <w:sz w:val="20"/>
              </w:rPr>
            </w:pPr>
            <w:r w:rsidRPr="0093799E">
              <w:rPr>
                <w:rFonts w:ascii="Arial" w:hAnsi="Arial" w:cs="Arial"/>
                <w:sz w:val="20"/>
              </w:rPr>
              <w:t>_U</w:t>
            </w:r>
          </w:p>
        </w:tc>
        <w:tc>
          <w:tcPr>
            <w:tcW w:w="2200" w:type="dxa"/>
            <w:shd w:val="clear" w:color="auto" w:fill="auto"/>
            <w:vAlign w:val="center"/>
          </w:tcPr>
          <w:p w:rsidR="00315A22" w:rsidRPr="0093799E" w:rsidRDefault="00315A22" w:rsidP="00D04FE4">
            <w:pPr>
              <w:keepNext/>
              <w:tabs>
                <w:tab w:val="left" w:pos="315"/>
              </w:tabs>
              <w:spacing w:before="60" w:after="60"/>
              <w:rPr>
                <w:rFonts w:ascii="Arial" w:hAnsi="Arial" w:cs="Arial"/>
                <w:sz w:val="20"/>
              </w:rPr>
            </w:pPr>
            <w:r w:rsidRPr="0093799E">
              <w:rPr>
                <w:rFonts w:ascii="Arial" w:hAnsi="Arial" w:cs="Arial"/>
                <w:sz w:val="20"/>
              </w:rPr>
              <w:t>Unknown</w:t>
            </w:r>
          </w:p>
        </w:tc>
        <w:tc>
          <w:tcPr>
            <w:tcW w:w="5244" w:type="dxa"/>
            <w:shd w:val="clear" w:color="auto" w:fill="auto"/>
          </w:tcPr>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Failure to obtain a measurement (e.g. non response, no data available, information not known by the respondent unit, etc.)</w:t>
            </w:r>
            <w:r w:rsidR="0093799E">
              <w:rPr>
                <w:rFonts w:ascii="Arial" w:hAnsi="Arial" w:cs="Arial"/>
                <w:sz w:val="20"/>
              </w:rPr>
              <w:t>.</w:t>
            </w:r>
          </w:p>
        </w:tc>
      </w:tr>
      <w:tr w:rsidR="00315A22" w:rsidRPr="0093799E" w:rsidTr="007E7345">
        <w:tc>
          <w:tcPr>
            <w:tcW w:w="1736" w:type="dxa"/>
            <w:shd w:val="clear" w:color="auto" w:fill="auto"/>
            <w:vAlign w:val="center"/>
          </w:tcPr>
          <w:p w:rsidR="00315A22" w:rsidRPr="0093799E" w:rsidRDefault="00315A22" w:rsidP="007E7345">
            <w:pPr>
              <w:keepNext/>
              <w:spacing w:before="60" w:after="60"/>
              <w:jc w:val="center"/>
              <w:rPr>
                <w:rFonts w:ascii="Arial" w:hAnsi="Arial" w:cs="Arial"/>
                <w:sz w:val="20"/>
              </w:rPr>
            </w:pPr>
            <w:r w:rsidRPr="0093799E">
              <w:rPr>
                <w:rFonts w:ascii="Arial" w:hAnsi="Arial" w:cs="Arial"/>
                <w:sz w:val="20"/>
              </w:rPr>
              <w:t>_Z</w:t>
            </w:r>
          </w:p>
        </w:tc>
        <w:tc>
          <w:tcPr>
            <w:tcW w:w="2200" w:type="dxa"/>
            <w:shd w:val="clear" w:color="auto" w:fill="auto"/>
            <w:vAlign w:val="center"/>
          </w:tcPr>
          <w:p w:rsidR="00315A22" w:rsidRPr="0093799E" w:rsidRDefault="00315A22" w:rsidP="007E7345">
            <w:pPr>
              <w:keepNext/>
              <w:tabs>
                <w:tab w:val="left" w:pos="315"/>
              </w:tabs>
              <w:spacing w:before="60" w:after="60"/>
              <w:rPr>
                <w:rFonts w:ascii="Arial" w:hAnsi="Arial" w:cs="Arial"/>
                <w:sz w:val="20"/>
              </w:rPr>
            </w:pPr>
            <w:r w:rsidRPr="0093799E">
              <w:rPr>
                <w:rFonts w:ascii="Arial" w:hAnsi="Arial" w:cs="Arial"/>
                <w:sz w:val="20"/>
              </w:rPr>
              <w:t>Not applicable</w:t>
            </w:r>
          </w:p>
        </w:tc>
        <w:tc>
          <w:tcPr>
            <w:tcW w:w="5244" w:type="dxa"/>
            <w:shd w:val="clear" w:color="auto" w:fill="auto"/>
          </w:tcPr>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Used in response to a question or a request for information that does not apply to the circumstances of the unit being surveyed</w:t>
            </w:r>
            <w:r w:rsidR="0093799E">
              <w:rPr>
                <w:rFonts w:ascii="Arial" w:hAnsi="Arial" w:cs="Arial"/>
                <w:sz w:val="20"/>
              </w:rPr>
              <w:t>.</w:t>
            </w:r>
          </w:p>
          <w:p w:rsidR="00315A22" w:rsidRPr="0093799E" w:rsidRDefault="00315A22" w:rsidP="0093799E">
            <w:pPr>
              <w:keepNext/>
              <w:tabs>
                <w:tab w:val="left" w:pos="315"/>
              </w:tabs>
              <w:spacing w:before="60" w:after="60"/>
              <w:jc w:val="both"/>
              <w:rPr>
                <w:rFonts w:ascii="Arial" w:hAnsi="Arial" w:cs="Arial"/>
                <w:sz w:val="20"/>
              </w:rPr>
            </w:pPr>
            <w:r w:rsidRPr="0093799E">
              <w:rPr>
                <w:rFonts w:ascii="Arial" w:hAnsi="Arial" w:cs="Arial"/>
                <w:sz w:val="20"/>
              </w:rPr>
              <w:t>This concept is to be understood as meaning "</w:t>
            </w:r>
            <w:r w:rsidRPr="0093799E">
              <w:rPr>
                <w:rFonts w:ascii="Arial" w:hAnsi="Arial" w:cs="Arial"/>
                <w:b/>
                <w:i/>
                <w:sz w:val="20"/>
              </w:rPr>
              <w:t>statistically</w:t>
            </w:r>
            <w:r w:rsidRPr="0093799E">
              <w:rPr>
                <w:rFonts w:ascii="Arial" w:hAnsi="Arial" w:cs="Arial"/>
                <w:sz w:val="20"/>
              </w:rPr>
              <w:t xml:space="preserve"> not applicable"; i.e. _Z is to be used only for statistical purposes.</w:t>
            </w:r>
          </w:p>
        </w:tc>
      </w:tr>
    </w:tbl>
    <w:p w:rsidR="003124C1" w:rsidRPr="00315A22" w:rsidRDefault="00C11ABC" w:rsidP="00AF7C9B">
      <w:pPr>
        <w:spacing w:before="360" w:after="120"/>
        <w:rPr>
          <w:rFonts w:ascii="Arial" w:hAnsi="Arial" w:cs="Arial"/>
          <w:b/>
          <w:sz w:val="22"/>
        </w:rPr>
      </w:pPr>
      <w:r w:rsidRPr="00315A22">
        <w:rPr>
          <w:rFonts w:ascii="Arial" w:hAnsi="Arial" w:cs="Arial"/>
          <w:b/>
          <w:sz w:val="22"/>
        </w:rPr>
        <w:t>Remark</w:t>
      </w:r>
      <w:r w:rsidR="005567EB" w:rsidRPr="00315A22">
        <w:rPr>
          <w:rFonts w:ascii="Arial" w:hAnsi="Arial" w:cs="Arial"/>
          <w:b/>
          <w:sz w:val="22"/>
        </w:rPr>
        <w:t>s</w:t>
      </w:r>
    </w:p>
    <w:p w:rsidR="000B2790" w:rsidRPr="00315A22" w:rsidRDefault="000B2790" w:rsidP="00AF7C9B">
      <w:pPr>
        <w:spacing w:before="120" w:after="240"/>
        <w:jc w:val="both"/>
        <w:rPr>
          <w:rFonts w:ascii="Arial" w:hAnsi="Arial" w:cs="Arial"/>
          <w:sz w:val="22"/>
        </w:rPr>
      </w:pPr>
      <w:r w:rsidRPr="00315A22">
        <w:rPr>
          <w:rFonts w:ascii="Arial" w:hAnsi="Arial" w:cs="Arial"/>
          <w:sz w:val="22"/>
        </w:rPr>
        <w:t xml:space="preserve">Further recommended code values for expressing general statistical concepts </w:t>
      </w:r>
      <w:r w:rsidR="004F0467" w:rsidRPr="00315A22">
        <w:rPr>
          <w:rFonts w:ascii="Arial" w:hAnsi="Arial" w:cs="Arial"/>
          <w:sz w:val="22"/>
        </w:rPr>
        <w:t xml:space="preserve">can </w:t>
      </w:r>
      <w:r w:rsidRPr="00315A22">
        <w:rPr>
          <w:rFonts w:ascii="Arial" w:hAnsi="Arial" w:cs="Arial"/>
          <w:sz w:val="22"/>
        </w:rPr>
        <w:t>be found in section “Generic codes” of the "Guidelines for the creation and management of SDMX Cross-Domain Code Lists"</w:t>
      </w:r>
      <w:r w:rsidR="004F0467" w:rsidRPr="00315A22">
        <w:rPr>
          <w:rStyle w:val="FootnoteReference"/>
          <w:rFonts w:ascii="Arial" w:hAnsi="Arial" w:cs="Arial"/>
          <w:sz w:val="22"/>
        </w:rPr>
        <w:footnoteReference w:id="1"/>
      </w:r>
    </w:p>
    <w:p w:rsidR="005567EB" w:rsidRPr="00315A22" w:rsidRDefault="005567EB" w:rsidP="005567EB">
      <w:pPr>
        <w:keepNext/>
        <w:spacing w:after="240"/>
        <w:jc w:val="both"/>
        <w:rPr>
          <w:rFonts w:ascii="Arial" w:hAnsi="Arial" w:cs="Arial"/>
          <w:sz w:val="22"/>
        </w:rPr>
      </w:pPr>
      <w:r w:rsidRPr="00315A22">
        <w:rPr>
          <w:rFonts w:ascii="Arial" w:hAnsi="Arial" w:cs="Arial"/>
          <w:sz w:val="22"/>
        </w:rPr>
        <w:t xml:space="preserve">One </w:t>
      </w:r>
      <w:r w:rsidR="004F0467" w:rsidRPr="00315A22">
        <w:rPr>
          <w:rFonts w:ascii="Arial" w:hAnsi="Arial" w:cs="Arial"/>
          <w:sz w:val="22"/>
        </w:rPr>
        <w:t>may</w:t>
      </w:r>
      <w:r w:rsidRPr="00315A22">
        <w:rPr>
          <w:rFonts w:ascii="Arial" w:hAnsi="Arial" w:cs="Arial"/>
          <w:sz w:val="22"/>
        </w:rPr>
        <w:t xml:space="preserve"> wonder why this cross-domain code list was not based on the ISO/IEC standard 5218 for the representation of human sexes. </w:t>
      </w:r>
      <w:r w:rsidR="004F0467" w:rsidRPr="00315A22">
        <w:rPr>
          <w:rFonts w:ascii="Arial" w:hAnsi="Arial" w:cs="Arial"/>
          <w:sz w:val="22"/>
        </w:rPr>
        <w:t xml:space="preserve">Some </w:t>
      </w:r>
      <w:r w:rsidRPr="00315A22">
        <w:rPr>
          <w:rFonts w:ascii="Arial" w:hAnsi="Arial" w:cs="Arial"/>
          <w:sz w:val="22"/>
        </w:rPr>
        <w:t xml:space="preserve">reasons </w:t>
      </w:r>
      <w:r w:rsidR="004F0467" w:rsidRPr="00315A22">
        <w:rPr>
          <w:rFonts w:ascii="Arial" w:hAnsi="Arial" w:cs="Arial"/>
          <w:sz w:val="22"/>
        </w:rPr>
        <w:t>for this are</w:t>
      </w:r>
      <w:r w:rsidRPr="00315A22">
        <w:rPr>
          <w:rFonts w:ascii="Arial" w:hAnsi="Arial" w:cs="Arial"/>
          <w:sz w:val="22"/>
        </w:rPr>
        <w:t>:</w:t>
      </w:r>
    </w:p>
    <w:p w:rsidR="005567EB" w:rsidRPr="00315A22" w:rsidRDefault="005567EB" w:rsidP="005567EB">
      <w:pPr>
        <w:numPr>
          <w:ilvl w:val="0"/>
          <w:numId w:val="2"/>
        </w:numPr>
        <w:spacing w:after="120"/>
        <w:ind w:left="714" w:hanging="357"/>
        <w:jc w:val="both"/>
        <w:rPr>
          <w:rFonts w:ascii="Arial" w:hAnsi="Arial" w:cs="Arial"/>
          <w:sz w:val="22"/>
        </w:rPr>
      </w:pPr>
      <w:r w:rsidRPr="00315A22">
        <w:rPr>
          <w:rFonts w:ascii="Arial" w:hAnsi="Arial" w:cs="Arial"/>
          <w:sz w:val="22"/>
        </w:rPr>
        <w:t>This standard is not widely implemented;</w:t>
      </w:r>
    </w:p>
    <w:p w:rsidR="005567EB" w:rsidRPr="00315A22" w:rsidRDefault="005567EB" w:rsidP="005567EB">
      <w:pPr>
        <w:numPr>
          <w:ilvl w:val="0"/>
          <w:numId w:val="2"/>
        </w:numPr>
        <w:spacing w:after="120"/>
        <w:ind w:left="714" w:hanging="357"/>
        <w:jc w:val="both"/>
        <w:rPr>
          <w:rFonts w:ascii="Arial" w:hAnsi="Arial" w:cs="Arial"/>
          <w:sz w:val="22"/>
        </w:rPr>
      </w:pPr>
      <w:r w:rsidRPr="00315A22">
        <w:rPr>
          <w:rFonts w:ascii="Arial" w:hAnsi="Arial" w:cs="Arial"/>
          <w:sz w:val="22"/>
        </w:rPr>
        <w:t>The guidelines for the creation of SDMX cross-domain code lists state that codes should preferably start with letters;</w:t>
      </w:r>
    </w:p>
    <w:p w:rsidR="005567EB" w:rsidRPr="00315A22" w:rsidRDefault="005567EB" w:rsidP="005567EB">
      <w:pPr>
        <w:keepNext/>
        <w:numPr>
          <w:ilvl w:val="0"/>
          <w:numId w:val="2"/>
        </w:numPr>
        <w:spacing w:after="120"/>
        <w:ind w:left="714" w:hanging="357"/>
        <w:jc w:val="both"/>
        <w:rPr>
          <w:rFonts w:ascii="Arial" w:hAnsi="Arial" w:cs="Arial"/>
          <w:sz w:val="22"/>
        </w:rPr>
      </w:pPr>
      <w:r w:rsidRPr="00315A22">
        <w:rPr>
          <w:rFonts w:ascii="Arial" w:hAnsi="Arial" w:cs="Arial"/>
          <w:sz w:val="22"/>
        </w:rPr>
        <w:t xml:space="preserve">Proposing codes 1 and 2 for male and female respectively would necessitate to add an explanatory note similar to the one published by ISO, i.e.: </w:t>
      </w:r>
    </w:p>
    <w:p w:rsidR="005567EB" w:rsidRPr="00315A22" w:rsidRDefault="005567EB" w:rsidP="00A924B4">
      <w:pPr>
        <w:keepLines/>
        <w:ind w:left="1276"/>
        <w:jc w:val="both"/>
        <w:rPr>
          <w:rFonts w:ascii="Arial" w:hAnsi="Arial" w:cs="Arial"/>
          <w:sz w:val="22"/>
        </w:rPr>
      </w:pPr>
      <w:r w:rsidRPr="00315A22">
        <w:rPr>
          <w:rFonts w:ascii="Arial" w:hAnsi="Arial" w:cs="Arial"/>
          <w:sz w:val="22"/>
        </w:rPr>
        <w:t>"</w:t>
      </w:r>
      <w:r w:rsidRPr="00315A22">
        <w:rPr>
          <w:rFonts w:ascii="Arial" w:hAnsi="Arial" w:cs="Arial"/>
          <w:i/>
          <w:sz w:val="22"/>
        </w:rPr>
        <w:t>No significance is to be placed upon the fact that “Male” is coded “1” and “Female” is coded “2”. This standard was developed based upon predominant practices of the countries involved and does not convey any meaning of importance, ranking or any other basis that could imply discrimination</w:t>
      </w:r>
      <w:r w:rsidRPr="00315A22">
        <w:rPr>
          <w:rFonts w:ascii="Arial" w:hAnsi="Arial" w:cs="Arial"/>
          <w:sz w:val="22"/>
        </w:rPr>
        <w:t>."</w:t>
      </w:r>
    </w:p>
    <w:p w:rsidR="002369E4" w:rsidRPr="00315A22" w:rsidRDefault="002369E4" w:rsidP="002369E4">
      <w:pPr>
        <w:spacing w:before="360" w:after="120"/>
        <w:rPr>
          <w:rFonts w:ascii="Arial" w:hAnsi="Arial" w:cs="Arial"/>
          <w:b/>
          <w:sz w:val="22"/>
        </w:rPr>
      </w:pPr>
      <w:r w:rsidRPr="00315A22">
        <w:rPr>
          <w:rFonts w:ascii="Arial" w:hAnsi="Arial" w:cs="Arial"/>
          <w:b/>
          <w:sz w:val="22"/>
        </w:rPr>
        <w:t>Changes compared to version 2.0</w:t>
      </w:r>
    </w:p>
    <w:p w:rsidR="002369E4" w:rsidRPr="00315A22" w:rsidRDefault="002369E4" w:rsidP="0034025B">
      <w:pPr>
        <w:spacing w:before="120" w:after="120"/>
        <w:jc w:val="both"/>
        <w:rPr>
          <w:rFonts w:ascii="Arial" w:hAnsi="Arial" w:cs="Arial"/>
          <w:sz w:val="22"/>
        </w:rPr>
      </w:pPr>
      <w:r w:rsidRPr="00315A22">
        <w:rPr>
          <w:rFonts w:ascii="Arial" w:hAnsi="Arial" w:cs="Arial"/>
          <w:sz w:val="22"/>
        </w:rPr>
        <w:t xml:space="preserve">The generic, non-breakdown codes (starting with _) have been added. The main reason is that these codes are almost always required when representing SEX, so the Cross-Domain CL_SEX Code List may be reused </w:t>
      </w:r>
      <w:r w:rsidR="00D156C0">
        <w:rPr>
          <w:rFonts w:ascii="Arial" w:hAnsi="Arial" w:cs="Arial"/>
          <w:sz w:val="22"/>
        </w:rPr>
        <w:t xml:space="preserve">and/or </w:t>
      </w:r>
      <w:r w:rsidRPr="00315A22">
        <w:rPr>
          <w:rFonts w:ascii="Arial" w:hAnsi="Arial" w:cs="Arial"/>
          <w:sz w:val="22"/>
        </w:rPr>
        <w:t>referenced while avoiding the creation of a new Code List (as was the case with version 2.0).</w:t>
      </w:r>
      <w:bookmarkStart w:id="2" w:name="_GoBack"/>
      <w:bookmarkEnd w:id="2"/>
    </w:p>
    <w:sectPr w:rsidR="002369E4" w:rsidRPr="00315A22" w:rsidSect="0093799E">
      <w:pgSz w:w="11906" w:h="16838"/>
      <w:pgMar w:top="1440" w:right="1416"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502" w:rsidRDefault="00AD5502" w:rsidP="000B2790">
      <w:r>
        <w:separator/>
      </w:r>
    </w:p>
  </w:endnote>
  <w:endnote w:type="continuationSeparator" w:id="0">
    <w:p w:rsidR="00AD5502" w:rsidRDefault="00AD5502" w:rsidP="000B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502" w:rsidRDefault="00AD5502" w:rsidP="000B2790">
      <w:r>
        <w:separator/>
      </w:r>
    </w:p>
  </w:footnote>
  <w:footnote w:type="continuationSeparator" w:id="0">
    <w:p w:rsidR="00AD5502" w:rsidRDefault="00AD5502" w:rsidP="000B2790">
      <w:r>
        <w:continuationSeparator/>
      </w:r>
    </w:p>
  </w:footnote>
  <w:footnote w:id="1">
    <w:p w:rsidR="004F0467" w:rsidRDefault="004F0467">
      <w:pPr>
        <w:pStyle w:val="FootnoteText"/>
      </w:pPr>
      <w:r>
        <w:rPr>
          <w:rStyle w:val="FootnoteReference"/>
        </w:rPr>
        <w:footnoteRef/>
      </w:r>
      <w:r>
        <w:t xml:space="preserve"> </w:t>
      </w:r>
      <w:hyperlink r:id="rId1" w:anchor="CodeListGuideline" w:history="1">
        <w:r w:rsidR="007E7345" w:rsidRPr="009B483B">
          <w:rPr>
            <w:rStyle w:val="Hyperlink"/>
          </w:rPr>
          <w:t>https://sdmx.org/?page_id=4345%20-%20CodeListGuideline#CodeListGuideline</w:t>
        </w:r>
      </w:hyperlink>
      <w:r w:rsidR="007E7345">
        <w:t xml:space="preserve">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686"/>
    <w:multiLevelType w:val="hybridMultilevel"/>
    <w:tmpl w:val="EF8A0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2E2460"/>
    <w:multiLevelType w:val="multilevel"/>
    <w:tmpl w:val="7DD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LW_DocType" w:val="NORMAL"/>
  </w:docVars>
  <w:rsids>
    <w:rsidRoot w:val="00F348A8"/>
    <w:rsid w:val="00047E7E"/>
    <w:rsid w:val="00051524"/>
    <w:rsid w:val="00054301"/>
    <w:rsid w:val="00055F1C"/>
    <w:rsid w:val="0006064F"/>
    <w:rsid w:val="00076E57"/>
    <w:rsid w:val="00081391"/>
    <w:rsid w:val="0008360E"/>
    <w:rsid w:val="00090758"/>
    <w:rsid w:val="000B10CD"/>
    <w:rsid w:val="000B2790"/>
    <w:rsid w:val="000C4557"/>
    <w:rsid w:val="000C69E0"/>
    <w:rsid w:val="000C6FFD"/>
    <w:rsid w:val="000E03AA"/>
    <w:rsid w:val="000E180D"/>
    <w:rsid w:val="000F2041"/>
    <w:rsid w:val="0010032D"/>
    <w:rsid w:val="001038E3"/>
    <w:rsid w:val="00105CD2"/>
    <w:rsid w:val="00111C00"/>
    <w:rsid w:val="0011615C"/>
    <w:rsid w:val="00120EDF"/>
    <w:rsid w:val="001261BE"/>
    <w:rsid w:val="0013395F"/>
    <w:rsid w:val="0014397E"/>
    <w:rsid w:val="001444D1"/>
    <w:rsid w:val="00155F7A"/>
    <w:rsid w:val="00164606"/>
    <w:rsid w:val="001752D3"/>
    <w:rsid w:val="00175EED"/>
    <w:rsid w:val="00177DF7"/>
    <w:rsid w:val="00181EBC"/>
    <w:rsid w:val="001843B0"/>
    <w:rsid w:val="00191E12"/>
    <w:rsid w:val="0019745A"/>
    <w:rsid w:val="001A0293"/>
    <w:rsid w:val="001A4124"/>
    <w:rsid w:val="001B2842"/>
    <w:rsid w:val="001B5C2E"/>
    <w:rsid w:val="001D7E7B"/>
    <w:rsid w:val="001E5CD7"/>
    <w:rsid w:val="001E7430"/>
    <w:rsid w:val="001F0C07"/>
    <w:rsid w:val="001F3827"/>
    <w:rsid w:val="002018E2"/>
    <w:rsid w:val="00202B7B"/>
    <w:rsid w:val="0021091C"/>
    <w:rsid w:val="00211042"/>
    <w:rsid w:val="002139D9"/>
    <w:rsid w:val="002158A9"/>
    <w:rsid w:val="00221C91"/>
    <w:rsid w:val="0023357F"/>
    <w:rsid w:val="00234A00"/>
    <w:rsid w:val="002369E4"/>
    <w:rsid w:val="002376F5"/>
    <w:rsid w:val="00250757"/>
    <w:rsid w:val="00271B4F"/>
    <w:rsid w:val="002A7B3E"/>
    <w:rsid w:val="002C13AC"/>
    <w:rsid w:val="002E303A"/>
    <w:rsid w:val="002F1511"/>
    <w:rsid w:val="002F65BA"/>
    <w:rsid w:val="0031158B"/>
    <w:rsid w:val="003124C1"/>
    <w:rsid w:val="0031289E"/>
    <w:rsid w:val="00315A22"/>
    <w:rsid w:val="003272C0"/>
    <w:rsid w:val="00334D16"/>
    <w:rsid w:val="0034025B"/>
    <w:rsid w:val="0035181D"/>
    <w:rsid w:val="00360633"/>
    <w:rsid w:val="003620F3"/>
    <w:rsid w:val="0036348B"/>
    <w:rsid w:val="0037584D"/>
    <w:rsid w:val="003771FF"/>
    <w:rsid w:val="00382C8B"/>
    <w:rsid w:val="0038594C"/>
    <w:rsid w:val="00390245"/>
    <w:rsid w:val="00393EB7"/>
    <w:rsid w:val="003A12B9"/>
    <w:rsid w:val="003A6A3F"/>
    <w:rsid w:val="003B0D41"/>
    <w:rsid w:val="003B3101"/>
    <w:rsid w:val="003B5481"/>
    <w:rsid w:val="003B63AE"/>
    <w:rsid w:val="003B6C96"/>
    <w:rsid w:val="003C39B3"/>
    <w:rsid w:val="003C3CAD"/>
    <w:rsid w:val="003D6E3F"/>
    <w:rsid w:val="00401D07"/>
    <w:rsid w:val="0040543A"/>
    <w:rsid w:val="00406395"/>
    <w:rsid w:val="0041631E"/>
    <w:rsid w:val="004245F9"/>
    <w:rsid w:val="00425718"/>
    <w:rsid w:val="00447A0D"/>
    <w:rsid w:val="004B1638"/>
    <w:rsid w:val="004C2AB8"/>
    <w:rsid w:val="004C5962"/>
    <w:rsid w:val="004D0BD1"/>
    <w:rsid w:val="004D3E05"/>
    <w:rsid w:val="004D60BE"/>
    <w:rsid w:val="004E109B"/>
    <w:rsid w:val="004F0467"/>
    <w:rsid w:val="004F3C5D"/>
    <w:rsid w:val="004F7C82"/>
    <w:rsid w:val="00511D47"/>
    <w:rsid w:val="00514D38"/>
    <w:rsid w:val="005204CE"/>
    <w:rsid w:val="0053708E"/>
    <w:rsid w:val="005434F1"/>
    <w:rsid w:val="00555936"/>
    <w:rsid w:val="005567EB"/>
    <w:rsid w:val="005576FF"/>
    <w:rsid w:val="00563EB5"/>
    <w:rsid w:val="00570760"/>
    <w:rsid w:val="0058667A"/>
    <w:rsid w:val="00596C6A"/>
    <w:rsid w:val="005A7581"/>
    <w:rsid w:val="005A79D6"/>
    <w:rsid w:val="005B1C04"/>
    <w:rsid w:val="005B2AC6"/>
    <w:rsid w:val="005D0014"/>
    <w:rsid w:val="005D3257"/>
    <w:rsid w:val="005E1556"/>
    <w:rsid w:val="005E36AA"/>
    <w:rsid w:val="005E6786"/>
    <w:rsid w:val="005E762C"/>
    <w:rsid w:val="005F73C0"/>
    <w:rsid w:val="006054F9"/>
    <w:rsid w:val="0060741D"/>
    <w:rsid w:val="006131FB"/>
    <w:rsid w:val="006137C7"/>
    <w:rsid w:val="00620BA3"/>
    <w:rsid w:val="006236E4"/>
    <w:rsid w:val="00624B56"/>
    <w:rsid w:val="006251D4"/>
    <w:rsid w:val="006339EF"/>
    <w:rsid w:val="00642D6C"/>
    <w:rsid w:val="00645D46"/>
    <w:rsid w:val="00667CB3"/>
    <w:rsid w:val="006733EE"/>
    <w:rsid w:val="006930A6"/>
    <w:rsid w:val="006A009D"/>
    <w:rsid w:val="006A0832"/>
    <w:rsid w:val="006A0A10"/>
    <w:rsid w:val="006A618B"/>
    <w:rsid w:val="006B2846"/>
    <w:rsid w:val="006B3F87"/>
    <w:rsid w:val="006B50EE"/>
    <w:rsid w:val="006B52CE"/>
    <w:rsid w:val="006C185D"/>
    <w:rsid w:val="006C2519"/>
    <w:rsid w:val="006D68D6"/>
    <w:rsid w:val="006E763C"/>
    <w:rsid w:val="006F3702"/>
    <w:rsid w:val="006F5CA4"/>
    <w:rsid w:val="006F7000"/>
    <w:rsid w:val="007057D7"/>
    <w:rsid w:val="00705FCC"/>
    <w:rsid w:val="00710F26"/>
    <w:rsid w:val="00740197"/>
    <w:rsid w:val="007425D6"/>
    <w:rsid w:val="0074494A"/>
    <w:rsid w:val="00745B79"/>
    <w:rsid w:val="007516FF"/>
    <w:rsid w:val="00756D9D"/>
    <w:rsid w:val="00763968"/>
    <w:rsid w:val="007640EB"/>
    <w:rsid w:val="00764E7A"/>
    <w:rsid w:val="00766123"/>
    <w:rsid w:val="0077131D"/>
    <w:rsid w:val="00795F6A"/>
    <w:rsid w:val="007A4FEC"/>
    <w:rsid w:val="007A6701"/>
    <w:rsid w:val="007B25A5"/>
    <w:rsid w:val="007B6796"/>
    <w:rsid w:val="007C4387"/>
    <w:rsid w:val="007D7949"/>
    <w:rsid w:val="007E7345"/>
    <w:rsid w:val="007F4B88"/>
    <w:rsid w:val="007F7DB5"/>
    <w:rsid w:val="008005A5"/>
    <w:rsid w:val="00805376"/>
    <w:rsid w:val="00805914"/>
    <w:rsid w:val="00811FCA"/>
    <w:rsid w:val="00816DBA"/>
    <w:rsid w:val="00821F85"/>
    <w:rsid w:val="0082277D"/>
    <w:rsid w:val="00826CA1"/>
    <w:rsid w:val="00830981"/>
    <w:rsid w:val="00834830"/>
    <w:rsid w:val="00834EEA"/>
    <w:rsid w:val="00835B1C"/>
    <w:rsid w:val="008434FA"/>
    <w:rsid w:val="00844A68"/>
    <w:rsid w:val="00844ADF"/>
    <w:rsid w:val="0086353E"/>
    <w:rsid w:val="008806E6"/>
    <w:rsid w:val="00881670"/>
    <w:rsid w:val="00885790"/>
    <w:rsid w:val="00892F2E"/>
    <w:rsid w:val="00892F8A"/>
    <w:rsid w:val="008964EA"/>
    <w:rsid w:val="008A75C9"/>
    <w:rsid w:val="008B2B8D"/>
    <w:rsid w:val="008B4223"/>
    <w:rsid w:val="008C5DE0"/>
    <w:rsid w:val="008D2C51"/>
    <w:rsid w:val="008E05E9"/>
    <w:rsid w:val="008E356D"/>
    <w:rsid w:val="008F6FE1"/>
    <w:rsid w:val="00900B64"/>
    <w:rsid w:val="009011E4"/>
    <w:rsid w:val="00903033"/>
    <w:rsid w:val="00905CDD"/>
    <w:rsid w:val="00917DA0"/>
    <w:rsid w:val="0093799E"/>
    <w:rsid w:val="009418BE"/>
    <w:rsid w:val="009509A8"/>
    <w:rsid w:val="00951AFE"/>
    <w:rsid w:val="009528B4"/>
    <w:rsid w:val="00957F64"/>
    <w:rsid w:val="0096068A"/>
    <w:rsid w:val="009657CE"/>
    <w:rsid w:val="00975F9D"/>
    <w:rsid w:val="00987855"/>
    <w:rsid w:val="00990DFF"/>
    <w:rsid w:val="009914AD"/>
    <w:rsid w:val="009A0CD0"/>
    <w:rsid w:val="009B467A"/>
    <w:rsid w:val="009B482C"/>
    <w:rsid w:val="009E38A6"/>
    <w:rsid w:val="009E57FC"/>
    <w:rsid w:val="009F485A"/>
    <w:rsid w:val="00A003B2"/>
    <w:rsid w:val="00A007BC"/>
    <w:rsid w:val="00A05343"/>
    <w:rsid w:val="00A1361E"/>
    <w:rsid w:val="00A35DAD"/>
    <w:rsid w:val="00A52568"/>
    <w:rsid w:val="00A841B8"/>
    <w:rsid w:val="00A863F4"/>
    <w:rsid w:val="00A912D0"/>
    <w:rsid w:val="00A924B4"/>
    <w:rsid w:val="00A9371A"/>
    <w:rsid w:val="00AA0EAD"/>
    <w:rsid w:val="00AB0B3D"/>
    <w:rsid w:val="00AB65A2"/>
    <w:rsid w:val="00AC07FC"/>
    <w:rsid w:val="00AC59BA"/>
    <w:rsid w:val="00AC7DFA"/>
    <w:rsid w:val="00AD024F"/>
    <w:rsid w:val="00AD3323"/>
    <w:rsid w:val="00AD5502"/>
    <w:rsid w:val="00AE4427"/>
    <w:rsid w:val="00AE67F8"/>
    <w:rsid w:val="00AF7C9B"/>
    <w:rsid w:val="00B0428B"/>
    <w:rsid w:val="00B144B3"/>
    <w:rsid w:val="00B2268D"/>
    <w:rsid w:val="00B311B1"/>
    <w:rsid w:val="00B47160"/>
    <w:rsid w:val="00B56BB4"/>
    <w:rsid w:val="00B57F77"/>
    <w:rsid w:val="00B65E9A"/>
    <w:rsid w:val="00B84EB6"/>
    <w:rsid w:val="00B86324"/>
    <w:rsid w:val="00B911CD"/>
    <w:rsid w:val="00B91A7C"/>
    <w:rsid w:val="00B94866"/>
    <w:rsid w:val="00BA162C"/>
    <w:rsid w:val="00BA5238"/>
    <w:rsid w:val="00BB6C4C"/>
    <w:rsid w:val="00BB7A79"/>
    <w:rsid w:val="00BC10F9"/>
    <w:rsid w:val="00BC2875"/>
    <w:rsid w:val="00BD594C"/>
    <w:rsid w:val="00BE463E"/>
    <w:rsid w:val="00BF1FFF"/>
    <w:rsid w:val="00C0033D"/>
    <w:rsid w:val="00C11ABC"/>
    <w:rsid w:val="00C307E0"/>
    <w:rsid w:val="00C36D9C"/>
    <w:rsid w:val="00C43F52"/>
    <w:rsid w:val="00C53805"/>
    <w:rsid w:val="00C64677"/>
    <w:rsid w:val="00C74EC8"/>
    <w:rsid w:val="00C753AD"/>
    <w:rsid w:val="00C978F5"/>
    <w:rsid w:val="00CA0416"/>
    <w:rsid w:val="00CA0E15"/>
    <w:rsid w:val="00CA3386"/>
    <w:rsid w:val="00CB2E14"/>
    <w:rsid w:val="00CB2E6D"/>
    <w:rsid w:val="00CC12E1"/>
    <w:rsid w:val="00CC2089"/>
    <w:rsid w:val="00CC504E"/>
    <w:rsid w:val="00CC6FCC"/>
    <w:rsid w:val="00CC77DC"/>
    <w:rsid w:val="00CD372E"/>
    <w:rsid w:val="00CD62C7"/>
    <w:rsid w:val="00CF360C"/>
    <w:rsid w:val="00D12017"/>
    <w:rsid w:val="00D14D42"/>
    <w:rsid w:val="00D156C0"/>
    <w:rsid w:val="00D2214C"/>
    <w:rsid w:val="00D3275F"/>
    <w:rsid w:val="00D33155"/>
    <w:rsid w:val="00D375AA"/>
    <w:rsid w:val="00D46AA9"/>
    <w:rsid w:val="00D7374C"/>
    <w:rsid w:val="00D8043B"/>
    <w:rsid w:val="00D923DC"/>
    <w:rsid w:val="00D95C6D"/>
    <w:rsid w:val="00DA28FC"/>
    <w:rsid w:val="00DA5D44"/>
    <w:rsid w:val="00DA7944"/>
    <w:rsid w:val="00DB00CD"/>
    <w:rsid w:val="00DB0637"/>
    <w:rsid w:val="00DB391B"/>
    <w:rsid w:val="00DD6A3F"/>
    <w:rsid w:val="00DE10B4"/>
    <w:rsid w:val="00DE1AEF"/>
    <w:rsid w:val="00DE3FE8"/>
    <w:rsid w:val="00DE689A"/>
    <w:rsid w:val="00DF3B10"/>
    <w:rsid w:val="00E1240D"/>
    <w:rsid w:val="00E124E9"/>
    <w:rsid w:val="00E151F7"/>
    <w:rsid w:val="00E25796"/>
    <w:rsid w:val="00E26AD5"/>
    <w:rsid w:val="00E3648E"/>
    <w:rsid w:val="00E44B45"/>
    <w:rsid w:val="00E52AFF"/>
    <w:rsid w:val="00E53723"/>
    <w:rsid w:val="00E55184"/>
    <w:rsid w:val="00E5525E"/>
    <w:rsid w:val="00E55453"/>
    <w:rsid w:val="00E571F6"/>
    <w:rsid w:val="00E60FB1"/>
    <w:rsid w:val="00E61D6B"/>
    <w:rsid w:val="00E87387"/>
    <w:rsid w:val="00EB3F76"/>
    <w:rsid w:val="00EC1BFB"/>
    <w:rsid w:val="00ED6001"/>
    <w:rsid w:val="00EE50D2"/>
    <w:rsid w:val="00F01CBD"/>
    <w:rsid w:val="00F050BC"/>
    <w:rsid w:val="00F07411"/>
    <w:rsid w:val="00F07980"/>
    <w:rsid w:val="00F11670"/>
    <w:rsid w:val="00F348A8"/>
    <w:rsid w:val="00F361B8"/>
    <w:rsid w:val="00F46C31"/>
    <w:rsid w:val="00F471D1"/>
    <w:rsid w:val="00F55AAB"/>
    <w:rsid w:val="00F56C3B"/>
    <w:rsid w:val="00F6694B"/>
    <w:rsid w:val="00F716FF"/>
    <w:rsid w:val="00F74EAF"/>
    <w:rsid w:val="00F8428C"/>
    <w:rsid w:val="00F8657B"/>
    <w:rsid w:val="00F87BBF"/>
    <w:rsid w:val="00FA16AE"/>
    <w:rsid w:val="00FA6DEC"/>
    <w:rsid w:val="00FB1363"/>
    <w:rsid w:val="00FB333F"/>
    <w:rsid w:val="00FB5237"/>
    <w:rsid w:val="00FC1008"/>
    <w:rsid w:val="00FC2DA1"/>
    <w:rsid w:val="00FC4554"/>
    <w:rsid w:val="00FC6815"/>
    <w:rsid w:val="00FC74F6"/>
    <w:rsid w:val="00FD1DF0"/>
    <w:rsid w:val="00FD2B36"/>
    <w:rsid w:val="00FE0972"/>
    <w:rsid w:val="00FE5389"/>
    <w:rsid w:val="00FF4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autoRedefine/>
    <w:qFormat/>
    <w:rsid w:val="0093799E"/>
    <w:pPr>
      <w:keepNext/>
      <w:spacing w:before="600"/>
      <w:jc w:val="both"/>
      <w:outlineLvl w:val="1"/>
    </w:pPr>
    <w:rPr>
      <w:rFonts w:ascii="Arial" w:hAnsi="Arial" w:cs="Arial"/>
      <w:b/>
      <w:bCs/>
      <w:i/>
      <w:iCs/>
      <w:color w:val="336699"/>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4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3799E"/>
    <w:rPr>
      <w:rFonts w:ascii="Arial" w:hAnsi="Arial" w:cs="Arial"/>
      <w:b/>
      <w:bCs/>
      <w:i/>
      <w:iCs/>
      <w:color w:val="336699"/>
      <w:sz w:val="24"/>
      <w:szCs w:val="28"/>
      <w:lang w:eastAsia="en-US"/>
    </w:rPr>
  </w:style>
  <w:style w:type="paragraph" w:customStyle="1" w:styleId="style1">
    <w:name w:val="style1"/>
    <w:basedOn w:val="Normal"/>
    <w:rsid w:val="00F348A8"/>
    <w:pPr>
      <w:spacing w:before="100" w:beforeAutospacing="1" w:after="100" w:afterAutospacing="1"/>
    </w:pPr>
    <w:rPr>
      <w:rFonts w:ascii="Arial" w:hAnsi="Arial" w:cs="Arial"/>
    </w:rPr>
  </w:style>
  <w:style w:type="character" w:styleId="Strong">
    <w:name w:val="Strong"/>
    <w:qFormat/>
    <w:rsid w:val="00F348A8"/>
    <w:rPr>
      <w:b/>
      <w:bCs/>
    </w:rPr>
  </w:style>
  <w:style w:type="paragraph" w:styleId="BalloonText">
    <w:name w:val="Balloon Text"/>
    <w:basedOn w:val="Normal"/>
    <w:link w:val="BalloonTextChar"/>
    <w:rsid w:val="00AD024F"/>
    <w:rPr>
      <w:rFonts w:ascii="Tahoma" w:hAnsi="Tahoma" w:cs="Tahoma"/>
      <w:sz w:val="16"/>
      <w:szCs w:val="16"/>
    </w:rPr>
  </w:style>
  <w:style w:type="character" w:customStyle="1" w:styleId="BalloonTextChar">
    <w:name w:val="Balloon Text Char"/>
    <w:link w:val="BalloonText"/>
    <w:rsid w:val="00AD024F"/>
    <w:rPr>
      <w:rFonts w:ascii="Tahoma" w:hAnsi="Tahoma" w:cs="Tahoma"/>
      <w:sz w:val="16"/>
      <w:szCs w:val="16"/>
    </w:rPr>
  </w:style>
  <w:style w:type="character" w:styleId="Hyperlink">
    <w:name w:val="Hyperlink"/>
    <w:unhideWhenUsed/>
    <w:rsid w:val="00C11ABC"/>
    <w:rPr>
      <w:color w:val="0000FF"/>
      <w:u w:val="single"/>
    </w:rPr>
  </w:style>
  <w:style w:type="paragraph" w:customStyle="1" w:styleId="DocumentTitle">
    <w:name w:val="Document Title"/>
    <w:basedOn w:val="Normal"/>
    <w:rsid w:val="00642D6C"/>
    <w:pPr>
      <w:suppressAutoHyphens/>
      <w:spacing w:after="240"/>
      <w:jc w:val="center"/>
    </w:pPr>
    <w:rPr>
      <w:rFonts w:ascii="Arial" w:hAnsi="Arial" w:cs="Arial"/>
      <w:b/>
      <w:bCs/>
      <w:caps/>
      <w:color w:val="000080"/>
      <w:sz w:val="44"/>
      <w:szCs w:val="44"/>
      <w:lang w:val="de-DE" w:eastAsia="ar-SA"/>
    </w:rPr>
  </w:style>
  <w:style w:type="paragraph" w:styleId="FootnoteText">
    <w:name w:val="footnote text"/>
    <w:basedOn w:val="Normal"/>
    <w:link w:val="FootnoteTextChar"/>
    <w:rsid w:val="000B2790"/>
    <w:rPr>
      <w:sz w:val="20"/>
      <w:szCs w:val="20"/>
    </w:rPr>
  </w:style>
  <w:style w:type="character" w:customStyle="1" w:styleId="FootnoteTextChar">
    <w:name w:val="Footnote Text Char"/>
    <w:basedOn w:val="DefaultParagraphFont"/>
    <w:link w:val="FootnoteText"/>
    <w:rsid w:val="000B2790"/>
  </w:style>
  <w:style w:type="character" w:styleId="FootnoteReference">
    <w:name w:val="footnote reference"/>
    <w:rsid w:val="000B2790"/>
    <w:rPr>
      <w:vertAlign w:val="superscript"/>
    </w:rPr>
  </w:style>
  <w:style w:type="character" w:styleId="FollowedHyperlink">
    <w:name w:val="FollowedHyperlink"/>
    <w:basedOn w:val="DefaultParagraphFont"/>
    <w:rsid w:val="007E73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693425">
      <w:bodyDiv w:val="1"/>
      <w:marLeft w:val="0"/>
      <w:marRight w:val="0"/>
      <w:marTop w:val="0"/>
      <w:marBottom w:val="0"/>
      <w:divBdr>
        <w:top w:val="none" w:sz="0" w:space="0" w:color="auto"/>
        <w:left w:val="none" w:sz="0" w:space="0" w:color="auto"/>
        <w:bottom w:val="none" w:sz="0" w:space="0" w:color="auto"/>
        <w:right w:val="none" w:sz="0" w:space="0" w:color="auto"/>
      </w:divBdr>
    </w:div>
    <w:div w:id="972323745">
      <w:bodyDiv w:val="1"/>
      <w:marLeft w:val="0"/>
      <w:marRight w:val="0"/>
      <w:marTop w:val="0"/>
      <w:marBottom w:val="0"/>
      <w:divBdr>
        <w:top w:val="none" w:sz="0" w:space="0" w:color="auto"/>
        <w:left w:val="none" w:sz="0" w:space="0" w:color="auto"/>
        <w:bottom w:val="none" w:sz="0" w:space="0" w:color="auto"/>
        <w:right w:val="none" w:sz="0" w:space="0" w:color="auto"/>
      </w:divBdr>
    </w:div>
    <w:div w:id="21103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4345%20-%20CodeListGuid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AE3B3-A90F-4793-9FC0-A59C419E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440</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CL_SEX</vt:lpstr>
    </vt:vector>
  </TitlesOfParts>
  <Company>European Commission</Company>
  <LinksUpToDate>false</LinksUpToDate>
  <CharactersWithSpaces>2760</CharactersWithSpaces>
  <SharedDoc>false</SharedDoc>
  <HLinks>
    <vt:vector size="6" baseType="variant">
      <vt:variant>
        <vt:i4>4587549</vt:i4>
      </vt:variant>
      <vt:variant>
        <vt:i4>0</vt:i4>
      </vt:variant>
      <vt:variant>
        <vt:i4>0</vt:i4>
      </vt:variant>
      <vt:variant>
        <vt:i4>5</vt:i4>
      </vt:variant>
      <vt:variant>
        <vt:lpwstr>http://sdmx.org/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CL_SEX</dc:title>
  <dc:creator>delcada</dc:creator>
  <cp:lastModifiedBy>DELCAMBRE Danny (ESTAT)</cp:lastModifiedBy>
  <cp:revision>8</cp:revision>
  <dcterms:created xsi:type="dcterms:W3CDTF">2017-06-15T13:56:00Z</dcterms:created>
  <dcterms:modified xsi:type="dcterms:W3CDTF">2017-09-19T12:56:00Z</dcterms:modified>
</cp:coreProperties>
</file>